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5735" w14:textId="2B6872DE" w:rsidR="00DF154D" w:rsidRDefault="003D3759" w:rsidP="003D3759">
      <w:pPr>
        <w:rPr>
          <w:rFonts w:ascii="Calibri" w:hAnsi="Calibri" w:cs="Calibri"/>
          <w:b/>
          <w:color w:val="13576B"/>
          <w:sz w:val="32"/>
          <w:szCs w:val="32"/>
        </w:rPr>
      </w:pPr>
      <w:bookmarkStart w:id="0" w:name="_Hlk111121205"/>
      <w:bookmarkStart w:id="1" w:name="_Hlk116472656"/>
      <w:r w:rsidRPr="00616069">
        <w:rPr>
          <w:rFonts w:ascii="Calibri" w:hAnsi="Calibri" w:cs="Calibri"/>
          <w:b/>
          <w:color w:val="13576B"/>
          <w:sz w:val="32"/>
          <w:szCs w:val="32"/>
        </w:rPr>
        <w:t xml:space="preserve">ČBA Hypomonitor: </w:t>
      </w:r>
      <w:r w:rsidR="00F83C40">
        <w:rPr>
          <w:rFonts w:ascii="Calibri" w:hAnsi="Calibri" w:cs="Calibri"/>
          <w:b/>
          <w:color w:val="13576B"/>
          <w:sz w:val="32"/>
          <w:szCs w:val="32"/>
        </w:rPr>
        <w:t>Duben stabilizoval silnou úroveň hypoték</w:t>
      </w:r>
      <w:r w:rsidR="00B72A9B">
        <w:rPr>
          <w:rFonts w:ascii="Calibri" w:hAnsi="Calibri" w:cs="Calibri"/>
          <w:b/>
          <w:color w:val="13576B"/>
          <w:sz w:val="32"/>
          <w:szCs w:val="32"/>
        </w:rPr>
        <w:t>, sazba 4,65 %</w:t>
      </w:r>
      <w:r w:rsidR="00A42D6B">
        <w:rPr>
          <w:rFonts w:ascii="Calibri" w:hAnsi="Calibri" w:cs="Calibri"/>
          <w:b/>
          <w:color w:val="13576B"/>
          <w:sz w:val="32"/>
          <w:szCs w:val="32"/>
        </w:rPr>
        <w:t xml:space="preserve"> </w:t>
      </w:r>
      <w:r w:rsidR="00F83C40">
        <w:rPr>
          <w:rFonts w:ascii="Calibri" w:hAnsi="Calibri" w:cs="Calibri"/>
          <w:b/>
          <w:color w:val="13576B"/>
          <w:sz w:val="32"/>
          <w:szCs w:val="32"/>
        </w:rPr>
        <w:t xml:space="preserve"> </w:t>
      </w:r>
      <w:r w:rsidR="00A83BF6">
        <w:rPr>
          <w:rFonts w:ascii="Calibri" w:hAnsi="Calibri" w:cs="Calibri"/>
          <w:b/>
          <w:color w:val="13576B"/>
          <w:sz w:val="32"/>
          <w:szCs w:val="32"/>
        </w:rPr>
        <w:t xml:space="preserve"> </w:t>
      </w:r>
    </w:p>
    <w:p w14:paraId="4F3263AD" w14:textId="120B8382" w:rsidR="00574588" w:rsidRPr="00DF154D" w:rsidRDefault="00F83C40" w:rsidP="003D3759">
      <w:pPr>
        <w:rPr>
          <w:rFonts w:ascii="Calibri" w:hAnsi="Calibri" w:cs="Calibri"/>
          <w:b/>
          <w:color w:val="13576B"/>
          <w:sz w:val="24"/>
          <w:szCs w:val="24"/>
          <w:highlight w:val="yellow"/>
        </w:rPr>
      </w:pPr>
      <w:r>
        <w:rPr>
          <w:rFonts w:ascii="Calibri" w:hAnsi="Calibri" w:cs="Calibri"/>
          <w:b/>
          <w:color w:val="13576B"/>
          <w:sz w:val="24"/>
          <w:szCs w:val="24"/>
        </w:rPr>
        <w:t>Duben navzdory mírné korekci</w:t>
      </w:r>
      <w:r w:rsidR="00A83BF6">
        <w:rPr>
          <w:rFonts w:ascii="Calibri" w:hAnsi="Calibri" w:cs="Calibri"/>
          <w:b/>
          <w:color w:val="13576B"/>
          <w:sz w:val="24"/>
          <w:szCs w:val="24"/>
        </w:rPr>
        <w:t xml:space="preserve"> pokračoval v silných </w:t>
      </w:r>
      <w:r w:rsidR="00641532">
        <w:rPr>
          <w:rFonts w:ascii="Calibri" w:hAnsi="Calibri" w:cs="Calibri"/>
          <w:b/>
          <w:color w:val="13576B"/>
          <w:sz w:val="24"/>
          <w:szCs w:val="24"/>
        </w:rPr>
        <w:t>objem</w:t>
      </w:r>
      <w:r w:rsidR="00A83BF6">
        <w:rPr>
          <w:rFonts w:ascii="Calibri" w:hAnsi="Calibri" w:cs="Calibri"/>
          <w:b/>
          <w:color w:val="13576B"/>
          <w:sz w:val="24"/>
          <w:szCs w:val="24"/>
        </w:rPr>
        <w:t>ech</w:t>
      </w:r>
      <w:r w:rsidR="00641532">
        <w:rPr>
          <w:rFonts w:ascii="Calibri" w:hAnsi="Calibri" w:cs="Calibri"/>
          <w:b/>
          <w:color w:val="13576B"/>
          <w:sz w:val="24"/>
          <w:szCs w:val="24"/>
        </w:rPr>
        <w:t xml:space="preserve"> nových hypoték </w:t>
      </w:r>
      <w:r w:rsidR="00A83BF6">
        <w:rPr>
          <w:rFonts w:ascii="Calibri" w:hAnsi="Calibri" w:cs="Calibri"/>
          <w:b/>
          <w:color w:val="13576B"/>
          <w:sz w:val="24"/>
          <w:szCs w:val="24"/>
        </w:rPr>
        <w:t>podpořený</w:t>
      </w:r>
      <w:r w:rsidR="000C12D3">
        <w:rPr>
          <w:rFonts w:ascii="Calibri" w:hAnsi="Calibri" w:cs="Calibri"/>
          <w:b/>
          <w:color w:val="13576B"/>
          <w:sz w:val="24"/>
          <w:szCs w:val="24"/>
        </w:rPr>
        <w:t>ch</w:t>
      </w:r>
      <w:r w:rsidR="00A83BF6">
        <w:rPr>
          <w:rFonts w:ascii="Calibri" w:hAnsi="Calibri" w:cs="Calibri"/>
          <w:b/>
          <w:color w:val="13576B"/>
          <w:sz w:val="24"/>
          <w:szCs w:val="24"/>
        </w:rPr>
        <w:t xml:space="preserve"> </w:t>
      </w:r>
      <w:r w:rsidR="007F690B">
        <w:rPr>
          <w:rFonts w:ascii="Calibri" w:hAnsi="Calibri" w:cs="Calibri"/>
          <w:b/>
          <w:color w:val="13576B"/>
          <w:sz w:val="24"/>
          <w:szCs w:val="24"/>
        </w:rPr>
        <w:t>dalším</w:t>
      </w:r>
      <w:r w:rsidR="00A83BF6">
        <w:rPr>
          <w:rFonts w:ascii="Calibri" w:hAnsi="Calibri" w:cs="Calibri"/>
          <w:b/>
          <w:color w:val="13576B"/>
          <w:sz w:val="24"/>
          <w:szCs w:val="24"/>
        </w:rPr>
        <w:t xml:space="preserve"> mírným</w:t>
      </w:r>
      <w:r w:rsidR="007F690B">
        <w:rPr>
          <w:rFonts w:ascii="Calibri" w:hAnsi="Calibri" w:cs="Calibri"/>
          <w:b/>
          <w:color w:val="13576B"/>
          <w:sz w:val="24"/>
          <w:szCs w:val="24"/>
        </w:rPr>
        <w:t xml:space="preserve"> pokles</w:t>
      </w:r>
      <w:r w:rsidR="008B62E9">
        <w:rPr>
          <w:rFonts w:ascii="Calibri" w:hAnsi="Calibri" w:cs="Calibri"/>
          <w:b/>
          <w:color w:val="13576B"/>
          <w:sz w:val="24"/>
          <w:szCs w:val="24"/>
        </w:rPr>
        <w:t>em</w:t>
      </w:r>
      <w:r w:rsidR="00641532">
        <w:rPr>
          <w:rFonts w:ascii="Calibri" w:hAnsi="Calibri" w:cs="Calibri"/>
          <w:b/>
          <w:color w:val="13576B"/>
          <w:sz w:val="24"/>
          <w:szCs w:val="24"/>
        </w:rPr>
        <w:t xml:space="preserve"> </w:t>
      </w:r>
      <w:r w:rsidR="000070E2" w:rsidRPr="00DF154D">
        <w:rPr>
          <w:rFonts w:ascii="Calibri" w:hAnsi="Calibri" w:cs="Calibri"/>
          <w:b/>
          <w:color w:val="13576B"/>
          <w:sz w:val="24"/>
          <w:szCs w:val="24"/>
        </w:rPr>
        <w:t>průměrn</w:t>
      </w:r>
      <w:r w:rsidR="005D05FD">
        <w:rPr>
          <w:rFonts w:ascii="Calibri" w:hAnsi="Calibri" w:cs="Calibri"/>
          <w:b/>
          <w:color w:val="13576B"/>
          <w:sz w:val="24"/>
          <w:szCs w:val="24"/>
        </w:rPr>
        <w:t>é</w:t>
      </w:r>
      <w:r w:rsidR="000070E2" w:rsidRPr="00DF154D">
        <w:rPr>
          <w:rFonts w:ascii="Calibri" w:hAnsi="Calibri" w:cs="Calibri"/>
          <w:b/>
          <w:color w:val="13576B"/>
          <w:sz w:val="24"/>
          <w:szCs w:val="24"/>
        </w:rPr>
        <w:t xml:space="preserve"> </w:t>
      </w:r>
      <w:r w:rsidR="00404E84">
        <w:rPr>
          <w:rFonts w:ascii="Calibri" w:hAnsi="Calibri" w:cs="Calibri"/>
          <w:b/>
          <w:color w:val="13576B"/>
          <w:sz w:val="24"/>
          <w:szCs w:val="24"/>
        </w:rPr>
        <w:t xml:space="preserve">hypoteční </w:t>
      </w:r>
      <w:r w:rsidR="000070E2" w:rsidRPr="00DF154D">
        <w:rPr>
          <w:rFonts w:ascii="Calibri" w:hAnsi="Calibri" w:cs="Calibri"/>
          <w:b/>
          <w:color w:val="13576B"/>
          <w:sz w:val="24"/>
          <w:szCs w:val="24"/>
        </w:rPr>
        <w:t>sazb</w:t>
      </w:r>
      <w:r w:rsidR="00465526" w:rsidRPr="00DF154D">
        <w:rPr>
          <w:rFonts w:ascii="Calibri" w:hAnsi="Calibri" w:cs="Calibri"/>
          <w:b/>
          <w:color w:val="13576B"/>
          <w:sz w:val="24"/>
          <w:szCs w:val="24"/>
        </w:rPr>
        <w:t>y</w:t>
      </w:r>
      <w:r w:rsidR="00530245" w:rsidRPr="00DF154D">
        <w:rPr>
          <w:rFonts w:ascii="Calibri" w:hAnsi="Calibri" w:cs="Calibri"/>
          <w:b/>
          <w:color w:val="13576B"/>
          <w:sz w:val="24"/>
          <w:szCs w:val="24"/>
        </w:rPr>
        <w:t xml:space="preserve"> na </w:t>
      </w:r>
      <w:r w:rsidR="00574588" w:rsidRPr="00DF154D">
        <w:rPr>
          <w:rFonts w:ascii="Calibri" w:hAnsi="Calibri" w:cs="Calibri"/>
          <w:b/>
          <w:color w:val="13576B"/>
          <w:sz w:val="24"/>
          <w:szCs w:val="24"/>
        </w:rPr>
        <w:t>4,</w:t>
      </w:r>
      <w:r w:rsidR="00A83BF6">
        <w:rPr>
          <w:rFonts w:ascii="Calibri" w:hAnsi="Calibri" w:cs="Calibri"/>
          <w:b/>
          <w:color w:val="13576B"/>
          <w:sz w:val="24"/>
          <w:szCs w:val="24"/>
        </w:rPr>
        <w:t>6</w:t>
      </w:r>
      <w:r>
        <w:rPr>
          <w:rFonts w:ascii="Calibri" w:hAnsi="Calibri" w:cs="Calibri"/>
          <w:b/>
          <w:color w:val="13576B"/>
          <w:sz w:val="24"/>
          <w:szCs w:val="24"/>
        </w:rPr>
        <w:t>5</w:t>
      </w:r>
      <w:r w:rsidR="00C878A2">
        <w:rPr>
          <w:rFonts w:ascii="Calibri" w:hAnsi="Calibri" w:cs="Calibri"/>
          <w:b/>
          <w:color w:val="13576B"/>
          <w:sz w:val="24"/>
          <w:szCs w:val="24"/>
        </w:rPr>
        <w:t xml:space="preserve"> </w:t>
      </w:r>
      <w:r w:rsidR="00574588" w:rsidRPr="00DF154D">
        <w:rPr>
          <w:rFonts w:ascii="Calibri" w:hAnsi="Calibri" w:cs="Calibri"/>
          <w:b/>
          <w:color w:val="13576B"/>
          <w:sz w:val="24"/>
          <w:szCs w:val="24"/>
        </w:rPr>
        <w:t>%</w:t>
      </w:r>
      <w:r w:rsidR="007E0A18" w:rsidRPr="00DF154D">
        <w:rPr>
          <w:rFonts w:ascii="Calibri" w:hAnsi="Calibri" w:cs="Calibri"/>
          <w:b/>
          <w:color w:val="13576B"/>
          <w:sz w:val="24"/>
          <w:szCs w:val="24"/>
        </w:rPr>
        <w:t>.</w:t>
      </w:r>
    </w:p>
    <w:bookmarkEnd w:id="0"/>
    <w:p w14:paraId="5E7258BB" w14:textId="77777777" w:rsidR="0001227F" w:rsidRPr="002138C0" w:rsidRDefault="0001227F" w:rsidP="0001227F">
      <w:pPr>
        <w:rPr>
          <w:rFonts w:ascii="Calibri" w:hAnsi="Calibri" w:cs="Calibri"/>
          <w:b/>
          <w:bCs/>
          <w:highlight w:val="yellow"/>
        </w:rPr>
      </w:pPr>
    </w:p>
    <w:p w14:paraId="412E5A4A" w14:textId="60A7880E" w:rsidR="007967E6" w:rsidRDefault="007967E6" w:rsidP="007967E6">
      <w:pPr>
        <w:overflowPunct/>
        <w:autoSpaceDE/>
        <w:autoSpaceDN/>
        <w:adjustRightInd/>
        <w:textAlignment w:val="auto"/>
        <w:rPr>
          <w:rFonts w:ascii="Calibri" w:hAnsi="Calibri" w:cs="Calibri"/>
          <w:b/>
          <w:color w:val="13576B"/>
          <w:sz w:val="22"/>
          <w:szCs w:val="22"/>
        </w:rPr>
      </w:pPr>
      <w:r w:rsidRPr="007967E6">
        <w:rPr>
          <w:rFonts w:ascii="Calibri" w:hAnsi="Calibri" w:cs="Calibri"/>
          <w:b/>
          <w:bCs/>
          <w:color w:val="13576B"/>
          <w:sz w:val="22"/>
          <w:szCs w:val="22"/>
        </w:rPr>
        <w:t xml:space="preserve">Praha, </w:t>
      </w:r>
      <w:r>
        <w:rPr>
          <w:rFonts w:ascii="Calibri" w:hAnsi="Calibri" w:cs="Calibri"/>
          <w:b/>
          <w:bCs/>
          <w:color w:val="13576B"/>
          <w:sz w:val="22"/>
          <w:szCs w:val="22"/>
        </w:rPr>
        <w:t>16</w:t>
      </w:r>
      <w:r w:rsidRPr="007967E6">
        <w:rPr>
          <w:rFonts w:ascii="Calibri" w:hAnsi="Calibri" w:cs="Calibri"/>
          <w:b/>
          <w:bCs/>
          <w:color w:val="13576B"/>
          <w:sz w:val="22"/>
          <w:szCs w:val="22"/>
        </w:rPr>
        <w:t xml:space="preserve">. května 2025 – V dubnu 2025 poskytly banky a stavební spořitelny nové hypotéky za 26 miliard Kč. Oproti březnu aktivita objemově zeslábla o 4 %, </w:t>
      </w:r>
      <w:r w:rsidR="00F83C40" w:rsidRPr="007967E6">
        <w:rPr>
          <w:rFonts w:ascii="Calibri" w:hAnsi="Calibri" w:cs="Calibri"/>
          <w:b/>
          <w:bCs/>
          <w:color w:val="13576B"/>
          <w:sz w:val="22"/>
          <w:szCs w:val="22"/>
        </w:rPr>
        <w:t>což odpovídá</w:t>
      </w:r>
      <w:r w:rsidRPr="007967E6">
        <w:rPr>
          <w:rFonts w:ascii="Calibri" w:hAnsi="Calibri" w:cs="Calibri"/>
          <w:b/>
          <w:bCs/>
          <w:color w:val="13576B"/>
          <w:sz w:val="22"/>
          <w:szCs w:val="22"/>
        </w:rPr>
        <w:t xml:space="preserve"> </w:t>
      </w:r>
      <w:r w:rsidR="00F83C40">
        <w:rPr>
          <w:rFonts w:ascii="Calibri" w:hAnsi="Calibri" w:cs="Calibri"/>
          <w:b/>
          <w:bCs/>
          <w:color w:val="13576B"/>
          <w:sz w:val="22"/>
          <w:szCs w:val="22"/>
        </w:rPr>
        <w:t xml:space="preserve">jak </w:t>
      </w:r>
      <w:r w:rsidRPr="007967E6">
        <w:rPr>
          <w:rFonts w:ascii="Calibri" w:hAnsi="Calibri" w:cs="Calibri"/>
          <w:b/>
          <w:bCs/>
          <w:color w:val="13576B"/>
          <w:sz w:val="22"/>
          <w:szCs w:val="22"/>
        </w:rPr>
        <w:t>sezónnímu vlivu</w:t>
      </w:r>
      <w:r w:rsidR="00F83C40">
        <w:rPr>
          <w:rFonts w:ascii="Calibri" w:hAnsi="Calibri" w:cs="Calibri"/>
          <w:b/>
          <w:bCs/>
          <w:color w:val="13576B"/>
          <w:sz w:val="22"/>
          <w:szCs w:val="22"/>
        </w:rPr>
        <w:t xml:space="preserve">, tak mírné korekci po silnějším březnu. </w:t>
      </w:r>
      <w:r w:rsidRPr="007967E6">
        <w:rPr>
          <w:rFonts w:ascii="Calibri" w:hAnsi="Calibri" w:cs="Calibri"/>
          <w:b/>
          <w:bCs/>
          <w:color w:val="13576B"/>
          <w:sz w:val="22"/>
          <w:szCs w:val="22"/>
        </w:rPr>
        <w:t xml:space="preserve">Průměrná realizovaná sazba hypoték nepatrně dále klesla na 4,65 % z březnových 4,68 %. Její meziroční pokles o 0,44% bodu snižuje měsíční splátky </w:t>
      </w:r>
      <w:r w:rsidR="00F83C40">
        <w:rPr>
          <w:rFonts w:ascii="Calibri" w:hAnsi="Calibri" w:cs="Calibri"/>
          <w:b/>
          <w:bCs/>
          <w:color w:val="13576B"/>
          <w:sz w:val="22"/>
          <w:szCs w:val="22"/>
        </w:rPr>
        <w:t>více než</w:t>
      </w:r>
      <w:r w:rsidR="0037346E">
        <w:rPr>
          <w:rFonts w:ascii="Calibri" w:hAnsi="Calibri" w:cs="Calibri"/>
          <w:b/>
          <w:bCs/>
          <w:color w:val="13576B"/>
          <w:sz w:val="22"/>
          <w:szCs w:val="22"/>
        </w:rPr>
        <w:t xml:space="preserve"> o</w:t>
      </w:r>
      <w:r w:rsidR="00F83C40">
        <w:rPr>
          <w:rFonts w:ascii="Calibri" w:hAnsi="Calibri" w:cs="Calibri"/>
          <w:b/>
          <w:bCs/>
          <w:color w:val="13576B"/>
          <w:sz w:val="22"/>
          <w:szCs w:val="22"/>
        </w:rPr>
        <w:t xml:space="preserve"> tisíc korun, </w:t>
      </w:r>
      <w:r w:rsidRPr="007967E6">
        <w:rPr>
          <w:rFonts w:ascii="Calibri" w:hAnsi="Calibri" w:cs="Calibri"/>
          <w:b/>
          <w:bCs/>
          <w:color w:val="13576B"/>
          <w:sz w:val="22"/>
          <w:szCs w:val="22"/>
        </w:rPr>
        <w:t xml:space="preserve">přibližně o 1,2 % čistého příjmu žadatele o hypotéku. Průměrná velikost skutečně nově poskytnuté hypotéky v dubnu </w:t>
      </w:r>
      <w:r w:rsidR="00436F5C">
        <w:rPr>
          <w:rFonts w:ascii="Calibri" w:hAnsi="Calibri" w:cs="Calibri"/>
          <w:b/>
          <w:bCs/>
          <w:color w:val="13576B"/>
          <w:sz w:val="22"/>
          <w:szCs w:val="22"/>
        </w:rPr>
        <w:t>nepatrně</w:t>
      </w:r>
      <w:r w:rsidRPr="007967E6">
        <w:rPr>
          <w:rFonts w:ascii="Calibri" w:hAnsi="Calibri" w:cs="Calibri"/>
          <w:b/>
          <w:bCs/>
          <w:color w:val="13576B"/>
          <w:sz w:val="22"/>
          <w:szCs w:val="22"/>
        </w:rPr>
        <w:t xml:space="preserve"> stoupla na 4,08 milionu korun, což meziročně zvedlo měsíční splátku </w:t>
      </w:r>
      <w:r w:rsidR="00F83C40">
        <w:rPr>
          <w:rFonts w:ascii="Calibri" w:hAnsi="Calibri" w:cs="Calibri"/>
          <w:b/>
          <w:bCs/>
          <w:color w:val="13576B"/>
          <w:sz w:val="22"/>
          <w:szCs w:val="22"/>
        </w:rPr>
        <w:t>více než</w:t>
      </w:r>
      <w:r w:rsidR="00011AF5">
        <w:rPr>
          <w:rFonts w:ascii="Calibri" w:hAnsi="Calibri" w:cs="Calibri"/>
          <w:b/>
          <w:bCs/>
          <w:color w:val="13576B"/>
          <w:sz w:val="22"/>
          <w:szCs w:val="22"/>
        </w:rPr>
        <w:t xml:space="preserve"> o</w:t>
      </w:r>
      <w:r w:rsidR="00F83C40">
        <w:rPr>
          <w:rFonts w:ascii="Calibri" w:hAnsi="Calibri" w:cs="Calibri"/>
          <w:b/>
          <w:bCs/>
          <w:color w:val="13576B"/>
          <w:sz w:val="22"/>
          <w:szCs w:val="22"/>
        </w:rPr>
        <w:t xml:space="preserve"> dva a půl tisíce korun, tedy </w:t>
      </w:r>
      <w:r w:rsidRPr="007967E6">
        <w:rPr>
          <w:rFonts w:ascii="Calibri" w:hAnsi="Calibri" w:cs="Calibri"/>
          <w:b/>
          <w:bCs/>
          <w:color w:val="13576B"/>
          <w:sz w:val="22"/>
          <w:szCs w:val="22"/>
        </w:rPr>
        <w:t xml:space="preserve">přibližně 3 % tohoto příjmu.  Pokud hypotéky udrží dynamiku z posledních dvou měsíců, pak by mohl objem nových hypoték v roce 2025 dosáhnout úrovně 293 miliard Kč, </w:t>
      </w:r>
      <w:r>
        <w:rPr>
          <w:rFonts w:ascii="Calibri" w:hAnsi="Calibri" w:cs="Calibri"/>
          <w:b/>
          <w:bCs/>
          <w:color w:val="13576B"/>
          <w:sz w:val="22"/>
          <w:szCs w:val="22"/>
        </w:rPr>
        <w:t>tedy více než</w:t>
      </w:r>
      <w:r w:rsidR="00011AF5">
        <w:rPr>
          <w:rFonts w:ascii="Calibri" w:hAnsi="Calibri" w:cs="Calibri"/>
          <w:b/>
          <w:bCs/>
          <w:color w:val="13576B"/>
          <w:sz w:val="22"/>
          <w:szCs w:val="22"/>
        </w:rPr>
        <w:t xml:space="preserve"> o</w:t>
      </w:r>
      <w:r>
        <w:rPr>
          <w:rFonts w:ascii="Calibri" w:hAnsi="Calibri" w:cs="Calibri"/>
          <w:b/>
          <w:bCs/>
          <w:color w:val="13576B"/>
          <w:sz w:val="22"/>
          <w:szCs w:val="22"/>
        </w:rPr>
        <w:t xml:space="preserve"> čtvrtinu </w:t>
      </w:r>
      <w:r w:rsidRPr="007967E6">
        <w:rPr>
          <w:rFonts w:ascii="Calibri" w:hAnsi="Calibri" w:cs="Calibri"/>
          <w:b/>
          <w:bCs/>
          <w:color w:val="13576B"/>
          <w:sz w:val="22"/>
          <w:szCs w:val="22"/>
        </w:rPr>
        <w:t>ve srovnání s</w:t>
      </w:r>
      <w:r>
        <w:rPr>
          <w:rFonts w:ascii="Calibri" w:hAnsi="Calibri" w:cs="Calibri"/>
          <w:b/>
          <w:bCs/>
          <w:color w:val="13576B"/>
          <w:sz w:val="22"/>
          <w:szCs w:val="22"/>
        </w:rPr>
        <w:t> loňským rokem</w:t>
      </w:r>
      <w:r w:rsidRPr="007967E6">
        <w:rPr>
          <w:rFonts w:ascii="Calibri" w:hAnsi="Calibri" w:cs="Calibri"/>
          <w:b/>
          <w:bCs/>
          <w:color w:val="13576B"/>
          <w:sz w:val="22"/>
          <w:szCs w:val="22"/>
        </w:rPr>
        <w:t xml:space="preserve">. </w:t>
      </w:r>
      <w:r w:rsidRPr="006E2E7E">
        <w:rPr>
          <w:rFonts w:ascii="Calibri" w:hAnsi="Calibri" w:cs="Calibri"/>
          <w:b/>
          <w:color w:val="13576B"/>
          <w:sz w:val="22"/>
          <w:szCs w:val="22"/>
        </w:rPr>
        <w:t>Tato</w:t>
      </w:r>
      <w:r>
        <w:rPr>
          <w:rFonts w:ascii="Calibri" w:hAnsi="Calibri" w:cs="Calibri"/>
          <w:b/>
          <w:color w:val="13576B"/>
          <w:sz w:val="22"/>
          <w:szCs w:val="22"/>
        </w:rPr>
        <w:t xml:space="preserve"> úroveň by za celý rok </w:t>
      </w:r>
      <w:r w:rsidR="00F83C40">
        <w:rPr>
          <w:rFonts w:ascii="Calibri" w:hAnsi="Calibri" w:cs="Calibri"/>
          <w:b/>
          <w:color w:val="13576B"/>
          <w:sz w:val="22"/>
          <w:szCs w:val="22"/>
        </w:rPr>
        <w:t>zůstala</w:t>
      </w:r>
      <w:r>
        <w:rPr>
          <w:rFonts w:ascii="Calibri" w:hAnsi="Calibri" w:cs="Calibri"/>
          <w:b/>
          <w:color w:val="13576B"/>
          <w:sz w:val="22"/>
          <w:szCs w:val="22"/>
        </w:rPr>
        <w:t xml:space="preserve"> přibližně na půl cesty mezi covidovými roky 2020 (224 mld. Kč) a 2021 (379 mld.). </w:t>
      </w:r>
      <w:r w:rsidRPr="007967E6">
        <w:rPr>
          <w:rFonts w:ascii="Calibri" w:hAnsi="Calibri" w:cs="Calibri"/>
          <w:b/>
          <w:bCs/>
          <w:color w:val="13576B"/>
          <w:sz w:val="22"/>
          <w:szCs w:val="22"/>
        </w:rPr>
        <w:t>Uvedené informace plynou z údajů ČBA Hypomonitoru, který zachycuje data všech tuzemských bank a stavebních spořitelen poskytujících hypoteční úvěry.</w:t>
      </w:r>
      <w:r w:rsidR="006E2E7E" w:rsidRPr="006E2E7E">
        <w:rPr>
          <w:rFonts w:ascii="Calibri" w:hAnsi="Calibri" w:cs="Calibri"/>
          <w:b/>
          <w:color w:val="13576B"/>
          <w:sz w:val="22"/>
          <w:szCs w:val="22"/>
        </w:rPr>
        <w:t xml:space="preserve"> </w:t>
      </w:r>
    </w:p>
    <w:p w14:paraId="35C46D8C" w14:textId="7D18004E" w:rsidR="00C878A2" w:rsidRDefault="00C878A2" w:rsidP="0001227F">
      <w:pPr>
        <w:rPr>
          <w:rFonts w:ascii="Calibri" w:hAnsi="Calibri" w:cs="Calibri"/>
          <w:b/>
          <w:color w:val="13576B"/>
          <w:sz w:val="22"/>
          <w:szCs w:val="22"/>
        </w:rPr>
      </w:pPr>
    </w:p>
    <w:p w14:paraId="44AD2489" w14:textId="2EC25370" w:rsidR="002A5D11" w:rsidRPr="000B064D" w:rsidRDefault="00F83C40" w:rsidP="002A5D11">
      <w:pPr>
        <w:rPr>
          <w:rFonts w:ascii="Calibri" w:hAnsi="Calibri" w:cs="Calibri"/>
          <w:b/>
          <w:color w:val="13576B"/>
          <w:sz w:val="23"/>
          <w:szCs w:val="23"/>
        </w:rPr>
      </w:pPr>
      <w:r>
        <w:rPr>
          <w:rFonts w:ascii="Calibri" w:hAnsi="Calibri" w:cs="Calibri"/>
          <w:b/>
          <w:color w:val="13576B"/>
          <w:sz w:val="23"/>
          <w:szCs w:val="23"/>
        </w:rPr>
        <w:t xml:space="preserve">Duben přinesl mírnou korekci po březnovém boomu </w:t>
      </w:r>
      <w:r w:rsidR="00A83BF6" w:rsidRPr="000B064D">
        <w:rPr>
          <w:rFonts w:ascii="Calibri" w:hAnsi="Calibri" w:cs="Calibri"/>
          <w:b/>
          <w:color w:val="13576B"/>
          <w:sz w:val="23"/>
          <w:szCs w:val="23"/>
        </w:rPr>
        <w:t>n</w:t>
      </w:r>
      <w:r w:rsidR="00287580" w:rsidRPr="000B064D">
        <w:rPr>
          <w:rFonts w:ascii="Calibri" w:hAnsi="Calibri" w:cs="Calibri"/>
          <w:b/>
          <w:color w:val="13576B"/>
          <w:sz w:val="23"/>
          <w:szCs w:val="23"/>
        </w:rPr>
        <w:t xml:space="preserve">ově </w:t>
      </w:r>
      <w:r w:rsidR="002A5D11" w:rsidRPr="000B064D">
        <w:rPr>
          <w:rFonts w:ascii="Calibri" w:hAnsi="Calibri" w:cs="Calibri"/>
          <w:b/>
          <w:color w:val="13576B"/>
          <w:sz w:val="23"/>
          <w:szCs w:val="23"/>
        </w:rPr>
        <w:t xml:space="preserve">poskytnutých hypoték </w:t>
      </w:r>
    </w:p>
    <w:p w14:paraId="1A2432CD" w14:textId="77777777" w:rsidR="00C56C08" w:rsidRPr="00C53EEF" w:rsidRDefault="00C56C08" w:rsidP="0001227F">
      <w:pPr>
        <w:rPr>
          <w:rFonts w:ascii="Calibri" w:hAnsi="Calibri" w:cs="Calibri"/>
          <w:b/>
          <w:color w:val="13576B"/>
          <w:sz w:val="22"/>
          <w:szCs w:val="22"/>
        </w:rPr>
      </w:pPr>
    </w:p>
    <w:p w14:paraId="6603DB89" w14:textId="350F0DED" w:rsidR="00F83C40" w:rsidRDefault="00F83C40" w:rsidP="00F83C40">
      <w:pPr>
        <w:overflowPunct/>
        <w:autoSpaceDE/>
        <w:autoSpaceDN/>
        <w:adjustRightInd/>
        <w:textAlignment w:val="auto"/>
        <w:rPr>
          <w:rFonts w:ascii="Calibri" w:hAnsi="Calibri" w:cs="Calibri"/>
          <w:color w:val="000000"/>
          <w:sz w:val="22"/>
          <w:szCs w:val="22"/>
        </w:rPr>
      </w:pPr>
      <w:r w:rsidRPr="00F83C40">
        <w:rPr>
          <w:rFonts w:ascii="Calibri" w:hAnsi="Calibri" w:cs="Calibri"/>
          <w:b/>
          <w:bCs/>
          <w:color w:val="000000"/>
          <w:sz w:val="22"/>
          <w:szCs w:val="22"/>
        </w:rPr>
        <w:t xml:space="preserve">V dubnu poskytly banky a stavební spořitelny skutečně nové hypoteční úvěry za 26 mld. Kč a k tomu klienti navíc refinancovali </w:t>
      </w:r>
      <w:r>
        <w:rPr>
          <w:rFonts w:ascii="Calibri" w:hAnsi="Calibri" w:cs="Calibri"/>
          <w:b/>
          <w:bCs/>
          <w:color w:val="000000"/>
          <w:sz w:val="22"/>
          <w:szCs w:val="22"/>
        </w:rPr>
        <w:t xml:space="preserve">či navýšili </w:t>
      </w:r>
      <w:r w:rsidRPr="00F83C40">
        <w:rPr>
          <w:rFonts w:ascii="Calibri" w:hAnsi="Calibri" w:cs="Calibri"/>
          <w:b/>
          <w:bCs/>
          <w:color w:val="000000"/>
          <w:sz w:val="22"/>
          <w:szCs w:val="22"/>
        </w:rPr>
        <w:t>své hypotéky v rozsahu 6,2 mld. Kč.</w:t>
      </w:r>
      <w:r w:rsidRPr="00F83C40">
        <w:rPr>
          <w:rFonts w:ascii="Calibri" w:hAnsi="Calibri" w:cs="Calibri"/>
          <w:color w:val="000000"/>
          <w:sz w:val="22"/>
          <w:szCs w:val="22"/>
        </w:rPr>
        <w:t xml:space="preserve"> Oproti březnu tak nová hypoteční aktivita objemově klesla přibližně o 4 %, což odpovídá </w:t>
      </w:r>
      <w:r>
        <w:rPr>
          <w:rFonts w:ascii="Calibri" w:hAnsi="Calibri" w:cs="Calibri"/>
          <w:color w:val="000000"/>
          <w:sz w:val="22"/>
          <w:szCs w:val="22"/>
        </w:rPr>
        <w:t xml:space="preserve">jak </w:t>
      </w:r>
      <w:r w:rsidRPr="00F83C40">
        <w:rPr>
          <w:rFonts w:ascii="Calibri" w:hAnsi="Calibri" w:cs="Calibri"/>
          <w:color w:val="000000"/>
          <w:sz w:val="22"/>
          <w:szCs w:val="22"/>
        </w:rPr>
        <w:t>sezónnímu vlivu (obvykle objem nových hypoték v dubnu meziměsíčně klesne o 10 %; předchozí měsíc stoupl o 29 % v porovnání s obvyklými 23 %)</w:t>
      </w:r>
      <w:r>
        <w:rPr>
          <w:rFonts w:ascii="Calibri" w:hAnsi="Calibri" w:cs="Calibri"/>
          <w:color w:val="000000"/>
          <w:sz w:val="22"/>
          <w:szCs w:val="22"/>
        </w:rPr>
        <w:t>, tak mírné korekci po silném březnov</w:t>
      </w:r>
      <w:r w:rsidR="00DB2F25">
        <w:rPr>
          <w:rFonts w:ascii="Calibri" w:hAnsi="Calibri" w:cs="Calibri"/>
          <w:color w:val="000000"/>
          <w:sz w:val="22"/>
          <w:szCs w:val="22"/>
        </w:rPr>
        <w:t>é</w:t>
      </w:r>
      <w:r>
        <w:rPr>
          <w:rFonts w:ascii="Calibri" w:hAnsi="Calibri" w:cs="Calibri"/>
          <w:color w:val="000000"/>
          <w:sz w:val="22"/>
          <w:szCs w:val="22"/>
        </w:rPr>
        <w:t>m objemu.</w:t>
      </w:r>
      <w:r w:rsidRPr="00F83C40">
        <w:rPr>
          <w:rFonts w:ascii="Calibri" w:hAnsi="Calibri" w:cs="Calibri"/>
          <w:color w:val="000000"/>
          <w:sz w:val="22"/>
          <w:szCs w:val="22"/>
        </w:rPr>
        <w:t xml:space="preserve"> Po sezónní úpravě přinesla dubnová čísla mírný pokles (přibližně </w:t>
      </w:r>
      <w:r w:rsidR="00B47C1C">
        <w:rPr>
          <w:rFonts w:ascii="Calibri" w:hAnsi="Calibri" w:cs="Calibri"/>
          <w:color w:val="000000"/>
          <w:sz w:val="22"/>
          <w:szCs w:val="22"/>
        </w:rPr>
        <w:t xml:space="preserve">na </w:t>
      </w:r>
      <w:r w:rsidRPr="00F83C40">
        <w:rPr>
          <w:rFonts w:ascii="Calibri" w:hAnsi="Calibri" w:cs="Calibri"/>
          <w:color w:val="000000"/>
          <w:sz w:val="22"/>
          <w:szCs w:val="22"/>
        </w:rPr>
        <w:t>23,9 mld. Kč ve srovnání s 24,3 mld. v předchozích třech měsících)</w:t>
      </w:r>
      <w:r>
        <w:rPr>
          <w:rFonts w:ascii="Calibri" w:hAnsi="Calibri" w:cs="Calibri"/>
          <w:color w:val="000000"/>
          <w:sz w:val="22"/>
          <w:szCs w:val="22"/>
        </w:rPr>
        <w:t xml:space="preserve">. Jejich objem je tak o necelou polovinu vyšší než v </w:t>
      </w:r>
      <w:r w:rsidRPr="00F83C40">
        <w:rPr>
          <w:rFonts w:ascii="Calibri" w:hAnsi="Calibri" w:cs="Calibri"/>
          <w:color w:val="000000"/>
          <w:sz w:val="22"/>
          <w:szCs w:val="22"/>
        </w:rPr>
        <w:t>první</w:t>
      </w:r>
      <w:r>
        <w:rPr>
          <w:rFonts w:ascii="Calibri" w:hAnsi="Calibri" w:cs="Calibri"/>
          <w:color w:val="000000"/>
          <w:sz w:val="22"/>
          <w:szCs w:val="22"/>
        </w:rPr>
        <w:t>m</w:t>
      </w:r>
      <w:r w:rsidRPr="00F83C40">
        <w:rPr>
          <w:rFonts w:ascii="Calibri" w:hAnsi="Calibri" w:cs="Calibri"/>
          <w:color w:val="000000"/>
          <w:sz w:val="22"/>
          <w:szCs w:val="22"/>
        </w:rPr>
        <w:t xml:space="preserve"> </w:t>
      </w:r>
      <w:r w:rsidR="00B47C1C">
        <w:rPr>
          <w:rFonts w:ascii="Calibri" w:hAnsi="Calibri" w:cs="Calibri"/>
          <w:color w:val="000000"/>
          <w:sz w:val="22"/>
          <w:szCs w:val="22"/>
        </w:rPr>
        <w:t>?</w:t>
      </w:r>
      <w:r w:rsidRPr="00F83C40">
        <w:rPr>
          <w:rFonts w:ascii="Calibri" w:hAnsi="Calibri" w:cs="Calibri"/>
          <w:color w:val="000000"/>
          <w:sz w:val="22"/>
          <w:szCs w:val="22"/>
        </w:rPr>
        <w:t>pol</w:t>
      </w:r>
      <w:r>
        <w:rPr>
          <w:rFonts w:ascii="Calibri" w:hAnsi="Calibri" w:cs="Calibri"/>
          <w:color w:val="000000"/>
          <w:sz w:val="22"/>
          <w:szCs w:val="22"/>
        </w:rPr>
        <w:t>oletí</w:t>
      </w:r>
      <w:r w:rsidR="00B47C1C">
        <w:rPr>
          <w:rFonts w:ascii="Calibri" w:hAnsi="Calibri" w:cs="Calibri"/>
          <w:color w:val="000000"/>
          <w:sz w:val="22"/>
          <w:szCs w:val="22"/>
        </w:rPr>
        <w:t>?</w:t>
      </w:r>
      <w:r>
        <w:rPr>
          <w:rFonts w:ascii="Calibri" w:hAnsi="Calibri" w:cs="Calibri"/>
          <w:color w:val="000000"/>
          <w:sz w:val="22"/>
          <w:szCs w:val="22"/>
        </w:rPr>
        <w:t xml:space="preserve"> </w:t>
      </w:r>
      <w:r w:rsidRPr="00F83C40">
        <w:rPr>
          <w:rFonts w:ascii="Calibri" w:hAnsi="Calibri" w:cs="Calibri"/>
          <w:color w:val="000000"/>
          <w:sz w:val="22"/>
          <w:szCs w:val="22"/>
        </w:rPr>
        <w:t xml:space="preserve">minulého roku. V meziročním vyjádření růst objemu poskytnutých hypoték v dubnu zvolnil na 37 % z březnových 75 % a po 83% meziročním nárůstu v minulém roce. </w:t>
      </w:r>
    </w:p>
    <w:p w14:paraId="43C1C6ED" w14:textId="77777777" w:rsidR="00F83C40" w:rsidRDefault="00F83C40" w:rsidP="00F83C40">
      <w:pPr>
        <w:overflowPunct/>
        <w:autoSpaceDE/>
        <w:autoSpaceDN/>
        <w:adjustRightInd/>
        <w:textAlignment w:val="auto"/>
        <w:rPr>
          <w:rFonts w:ascii="Calibri" w:hAnsi="Calibri" w:cs="Calibri"/>
          <w:color w:val="000000"/>
          <w:sz w:val="22"/>
          <w:szCs w:val="22"/>
        </w:rPr>
      </w:pPr>
    </w:p>
    <w:p w14:paraId="64FAAB75" w14:textId="56DFF19A" w:rsidR="00F83C40" w:rsidRPr="00F83C40" w:rsidRDefault="00F83C40" w:rsidP="00F83C40">
      <w:pPr>
        <w:overflowPunct/>
        <w:autoSpaceDE/>
        <w:autoSpaceDN/>
        <w:adjustRightInd/>
        <w:textAlignment w:val="auto"/>
        <w:rPr>
          <w:rFonts w:ascii="Calibri" w:hAnsi="Calibri" w:cs="Calibri"/>
          <w:color w:val="000000"/>
          <w:sz w:val="22"/>
          <w:szCs w:val="22"/>
        </w:rPr>
      </w:pPr>
      <w:r w:rsidRPr="00F83C40">
        <w:rPr>
          <w:rFonts w:ascii="Calibri" w:hAnsi="Calibri" w:cs="Calibri"/>
          <w:b/>
          <w:bCs/>
          <w:color w:val="000000"/>
          <w:sz w:val="22"/>
          <w:szCs w:val="22"/>
        </w:rPr>
        <w:t>Počet nových hypoték v dubnu dosáhl 6389 kusů, což je o 21 % více než před rokem.</w:t>
      </w:r>
      <w:r w:rsidRPr="00F83C40">
        <w:rPr>
          <w:rFonts w:ascii="Calibri" w:hAnsi="Calibri" w:cs="Calibri"/>
          <w:color w:val="000000"/>
          <w:sz w:val="22"/>
          <w:szCs w:val="22"/>
        </w:rPr>
        <w:t xml:space="preserve"> Odhadujeme, že po sezónním očištění se jejich počet pohybuje okolo 6064, přibližně 1 % pod průměrným počtem (6103) v předchozích třech měsících. </w:t>
      </w:r>
      <w:r w:rsidR="00154B70" w:rsidRPr="00154B70">
        <w:rPr>
          <w:rFonts w:ascii="Calibri" w:hAnsi="Calibri" w:cs="Calibri"/>
          <w:color w:val="000000"/>
          <w:sz w:val="22"/>
          <w:szCs w:val="22"/>
        </w:rPr>
        <w:t>Dynamik</w:t>
      </w:r>
      <w:r w:rsidR="00154B70">
        <w:rPr>
          <w:rFonts w:ascii="Calibri" w:hAnsi="Calibri" w:cs="Calibri"/>
          <w:color w:val="000000"/>
          <w:sz w:val="22"/>
          <w:szCs w:val="22"/>
        </w:rPr>
        <w:t>a</w:t>
      </w:r>
      <w:r w:rsidR="00154B70" w:rsidRPr="00154B70">
        <w:rPr>
          <w:rFonts w:ascii="Calibri" w:hAnsi="Calibri" w:cs="Calibri"/>
          <w:color w:val="000000"/>
          <w:sz w:val="22"/>
          <w:szCs w:val="22"/>
        </w:rPr>
        <w:t xml:space="preserve"> počtu nových hypoték v posledních dvou měsících implikuje jejich letošní nárůst na celkový počet okolo 73 tisíc, což by bylo téměř o pětinu více než v loňském roce a přiblížil by se počtu z roku 2019.</w:t>
      </w:r>
    </w:p>
    <w:p w14:paraId="6D0DF5DF" w14:textId="41EAD2E0" w:rsidR="0080372E" w:rsidRPr="002B35B7" w:rsidRDefault="006E04F7" w:rsidP="002B35B7">
      <w:pPr>
        <w:spacing w:before="240" w:after="120"/>
        <w:rPr>
          <w:rFonts w:ascii="Calibri" w:hAnsi="Calibri" w:cs="Calibri"/>
          <w:b/>
          <w:color w:val="13576B"/>
          <w:sz w:val="23"/>
          <w:szCs w:val="23"/>
        </w:rPr>
      </w:pPr>
      <w:bookmarkStart w:id="2" w:name="_Hlk111121228"/>
      <w:bookmarkStart w:id="3" w:name="_Hlk119308742"/>
      <w:r w:rsidRPr="003F159E">
        <w:rPr>
          <w:rFonts w:ascii="Calibri" w:hAnsi="Calibri" w:cs="Calibri"/>
          <w:b/>
          <w:color w:val="13576B"/>
          <w:sz w:val="23"/>
          <w:szCs w:val="23"/>
        </w:rPr>
        <w:t>Tabulka č. 1: Shrnutí objemu poskytnutých hypoték a průměrných úrokových sazeb za</w:t>
      </w:r>
      <w:r w:rsidR="003E393C" w:rsidRPr="003F159E">
        <w:rPr>
          <w:rFonts w:ascii="Calibri" w:hAnsi="Calibri" w:cs="Calibri"/>
          <w:b/>
          <w:color w:val="13576B"/>
          <w:sz w:val="23"/>
          <w:szCs w:val="23"/>
        </w:rPr>
        <w:t xml:space="preserve"> </w:t>
      </w:r>
      <w:r w:rsidR="00F83C40">
        <w:rPr>
          <w:rFonts w:ascii="Calibri" w:hAnsi="Calibri" w:cs="Calibri"/>
          <w:b/>
          <w:color w:val="13576B"/>
          <w:sz w:val="23"/>
          <w:szCs w:val="23"/>
        </w:rPr>
        <w:t>duben</w:t>
      </w:r>
      <w:r w:rsidR="001306A2" w:rsidRPr="003F159E">
        <w:rPr>
          <w:rFonts w:ascii="Calibri" w:hAnsi="Calibri" w:cs="Calibri"/>
          <w:b/>
          <w:color w:val="13576B"/>
          <w:sz w:val="23"/>
          <w:szCs w:val="23"/>
        </w:rPr>
        <w:t xml:space="preserve"> </w:t>
      </w:r>
      <w:r w:rsidRPr="003F159E">
        <w:rPr>
          <w:rFonts w:ascii="Calibri" w:hAnsi="Calibri" w:cs="Calibri"/>
          <w:b/>
          <w:color w:val="13576B"/>
          <w:sz w:val="23"/>
          <w:szCs w:val="23"/>
        </w:rPr>
        <w:t>202</w:t>
      </w:r>
      <w:r w:rsidR="00641532">
        <w:rPr>
          <w:rFonts w:ascii="Calibri" w:hAnsi="Calibri" w:cs="Calibri"/>
          <w:b/>
          <w:color w:val="13576B"/>
          <w:sz w:val="23"/>
          <w:szCs w:val="23"/>
        </w:rPr>
        <w:t>5</w:t>
      </w:r>
    </w:p>
    <w:tbl>
      <w:tblPr>
        <w:tblW w:w="6560" w:type="dxa"/>
        <w:tblCellMar>
          <w:left w:w="70" w:type="dxa"/>
          <w:right w:w="70" w:type="dxa"/>
        </w:tblCellMar>
        <w:tblLook w:val="04A0" w:firstRow="1" w:lastRow="0" w:firstColumn="1" w:lastColumn="0" w:noHBand="0" w:noVBand="1"/>
      </w:tblPr>
      <w:tblGrid>
        <w:gridCol w:w="3539"/>
        <w:gridCol w:w="1101"/>
        <w:gridCol w:w="960"/>
        <w:gridCol w:w="960"/>
      </w:tblGrid>
      <w:tr w:rsidR="006E04F7" w:rsidRPr="002138C0" w14:paraId="17FF1971" w14:textId="77777777" w:rsidTr="00356809">
        <w:trPr>
          <w:trHeight w:val="300"/>
        </w:trPr>
        <w:tc>
          <w:tcPr>
            <w:tcW w:w="3539" w:type="dxa"/>
            <w:tcBorders>
              <w:top w:val="nil"/>
              <w:left w:val="nil"/>
              <w:bottom w:val="nil"/>
              <w:right w:val="nil"/>
            </w:tcBorders>
            <w:shd w:val="clear" w:color="000000" w:fill="FFFFFF"/>
            <w:noWrap/>
            <w:vAlign w:val="bottom"/>
            <w:hideMark/>
          </w:tcPr>
          <w:p w14:paraId="3A7F3251" w14:textId="316ED53A" w:rsidR="006E04F7" w:rsidRPr="00072DB9" w:rsidRDefault="006E04F7" w:rsidP="00356809">
            <w:pPr>
              <w:overflowPunct/>
              <w:autoSpaceDE/>
              <w:autoSpaceDN/>
              <w:adjustRightInd/>
              <w:jc w:val="left"/>
              <w:textAlignment w:val="auto"/>
              <w:rPr>
                <w:rFonts w:ascii="Calibri" w:hAnsi="Calibri" w:cs="Calibri"/>
                <w:color w:val="000000"/>
                <w:sz w:val="22"/>
                <w:szCs w:val="22"/>
              </w:rPr>
            </w:pPr>
            <w:r w:rsidRPr="00072DB9">
              <w:rPr>
                <w:rFonts w:ascii="Calibri" w:hAnsi="Calibri" w:cs="Calibri"/>
                <w:color w:val="000000"/>
                <w:sz w:val="22"/>
                <w:szCs w:val="22"/>
              </w:rPr>
              <w:t> </w:t>
            </w:r>
          </w:p>
        </w:tc>
        <w:tc>
          <w:tcPr>
            <w:tcW w:w="1101" w:type="dxa"/>
            <w:vMerge w:val="restart"/>
            <w:tcBorders>
              <w:top w:val="nil"/>
              <w:left w:val="nil"/>
              <w:bottom w:val="single" w:sz="4" w:space="0" w:color="000000"/>
              <w:right w:val="single" w:sz="4" w:space="0" w:color="auto"/>
            </w:tcBorders>
            <w:shd w:val="clear" w:color="000000" w:fill="FFFFFF"/>
            <w:vAlign w:val="bottom"/>
            <w:hideMark/>
          </w:tcPr>
          <w:p w14:paraId="3CBA24DE" w14:textId="77777777" w:rsidR="006E04F7" w:rsidRPr="00072DB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072DB9">
              <w:rPr>
                <w:rFonts w:ascii="Calibri Light" w:hAnsi="Calibri Light" w:cs="Calibri Light"/>
                <w:b/>
                <w:bCs/>
                <w:color w:val="13576B"/>
                <w:sz w:val="22"/>
                <w:szCs w:val="22"/>
              </w:rPr>
              <w:t>Objem</w:t>
            </w:r>
            <w:r w:rsidRPr="00072DB9">
              <w:rPr>
                <w:rFonts w:ascii="Calibri Light" w:hAnsi="Calibri Light" w:cs="Calibri Light"/>
                <w:b/>
                <w:bCs/>
                <w:color w:val="13576B"/>
                <w:sz w:val="22"/>
                <w:szCs w:val="22"/>
              </w:rPr>
              <w:br/>
              <w:t>(mld. Kč)</w:t>
            </w:r>
          </w:p>
        </w:tc>
        <w:tc>
          <w:tcPr>
            <w:tcW w:w="9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C253183" w14:textId="77777777" w:rsidR="006E04F7" w:rsidRPr="00072DB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072DB9">
              <w:rPr>
                <w:rFonts w:ascii="Calibri Light" w:hAnsi="Calibri Light" w:cs="Calibri Light"/>
                <w:b/>
                <w:bCs/>
                <w:color w:val="13576B"/>
                <w:sz w:val="22"/>
                <w:szCs w:val="22"/>
              </w:rPr>
              <w:t>Počet</w:t>
            </w:r>
          </w:p>
        </w:tc>
        <w:tc>
          <w:tcPr>
            <w:tcW w:w="960" w:type="dxa"/>
            <w:vMerge w:val="restart"/>
            <w:tcBorders>
              <w:top w:val="nil"/>
              <w:left w:val="nil"/>
              <w:bottom w:val="single" w:sz="4" w:space="0" w:color="000000"/>
              <w:right w:val="nil"/>
            </w:tcBorders>
            <w:shd w:val="clear" w:color="000000" w:fill="FFFFFF"/>
            <w:vAlign w:val="bottom"/>
            <w:hideMark/>
          </w:tcPr>
          <w:p w14:paraId="49E958C3" w14:textId="77777777" w:rsidR="006E04F7" w:rsidRPr="00072DB9" w:rsidRDefault="006E04F7" w:rsidP="00356809">
            <w:pPr>
              <w:overflowPunct/>
              <w:autoSpaceDE/>
              <w:autoSpaceDN/>
              <w:adjustRightInd/>
              <w:jc w:val="center"/>
              <w:textAlignment w:val="auto"/>
              <w:rPr>
                <w:rFonts w:ascii="Calibri Light" w:hAnsi="Calibri Light" w:cs="Calibri Light"/>
                <w:b/>
                <w:bCs/>
                <w:color w:val="13576B"/>
                <w:sz w:val="22"/>
                <w:szCs w:val="22"/>
              </w:rPr>
            </w:pPr>
            <w:r w:rsidRPr="00072DB9">
              <w:rPr>
                <w:rFonts w:ascii="Calibri Light" w:hAnsi="Calibri Light" w:cs="Calibri Light"/>
                <w:b/>
                <w:bCs/>
                <w:color w:val="13576B"/>
                <w:sz w:val="22"/>
                <w:szCs w:val="22"/>
              </w:rPr>
              <w:t>Sazba</w:t>
            </w:r>
            <w:r w:rsidRPr="00072DB9">
              <w:rPr>
                <w:rFonts w:ascii="Calibri Light" w:hAnsi="Calibri Light" w:cs="Calibri Light"/>
                <w:b/>
                <w:bCs/>
                <w:color w:val="13576B"/>
                <w:sz w:val="22"/>
                <w:szCs w:val="22"/>
              </w:rPr>
              <w:br/>
              <w:t xml:space="preserve"> (%)</w:t>
            </w:r>
          </w:p>
        </w:tc>
      </w:tr>
      <w:tr w:rsidR="006E04F7" w:rsidRPr="002138C0" w14:paraId="07461CAA" w14:textId="77777777" w:rsidTr="00356809">
        <w:trPr>
          <w:trHeight w:val="300"/>
        </w:trPr>
        <w:tc>
          <w:tcPr>
            <w:tcW w:w="3539" w:type="dxa"/>
            <w:tcBorders>
              <w:top w:val="nil"/>
              <w:left w:val="nil"/>
              <w:bottom w:val="single" w:sz="4" w:space="0" w:color="auto"/>
              <w:right w:val="nil"/>
            </w:tcBorders>
            <w:shd w:val="clear" w:color="000000" w:fill="FFFFFF"/>
            <w:noWrap/>
            <w:vAlign w:val="bottom"/>
            <w:hideMark/>
          </w:tcPr>
          <w:p w14:paraId="307FCD68" w14:textId="715FBAEA" w:rsidR="006E04F7" w:rsidRPr="00072DB9" w:rsidRDefault="006E04F7" w:rsidP="00356809">
            <w:pPr>
              <w:overflowPunct/>
              <w:autoSpaceDE/>
              <w:autoSpaceDN/>
              <w:adjustRightInd/>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 </w:t>
            </w:r>
          </w:p>
        </w:tc>
        <w:tc>
          <w:tcPr>
            <w:tcW w:w="1101" w:type="dxa"/>
            <w:vMerge/>
            <w:tcBorders>
              <w:top w:val="nil"/>
              <w:left w:val="nil"/>
              <w:bottom w:val="single" w:sz="4" w:space="0" w:color="000000"/>
              <w:right w:val="single" w:sz="4" w:space="0" w:color="auto"/>
            </w:tcBorders>
            <w:vAlign w:val="center"/>
            <w:hideMark/>
          </w:tcPr>
          <w:p w14:paraId="31F7E1F4" w14:textId="77777777" w:rsidR="006E04F7" w:rsidRPr="00072DB9" w:rsidRDefault="006E04F7" w:rsidP="00356809">
            <w:pPr>
              <w:overflowPunct/>
              <w:autoSpaceDE/>
              <w:autoSpaceDN/>
              <w:adjustRightInd/>
              <w:jc w:val="left"/>
              <w:textAlignment w:val="auto"/>
              <w:rPr>
                <w:rFonts w:ascii="Calibri Light" w:hAnsi="Calibri Light" w:cs="Calibri Light"/>
                <w:b/>
                <w:bCs/>
                <w:color w:val="13576B"/>
                <w:sz w:val="22"/>
                <w:szCs w:val="22"/>
              </w:rPr>
            </w:pPr>
          </w:p>
        </w:tc>
        <w:tc>
          <w:tcPr>
            <w:tcW w:w="960" w:type="dxa"/>
            <w:vMerge/>
            <w:tcBorders>
              <w:top w:val="nil"/>
              <w:left w:val="single" w:sz="4" w:space="0" w:color="auto"/>
              <w:bottom w:val="single" w:sz="4" w:space="0" w:color="000000"/>
              <w:right w:val="single" w:sz="4" w:space="0" w:color="auto"/>
            </w:tcBorders>
            <w:vAlign w:val="center"/>
            <w:hideMark/>
          </w:tcPr>
          <w:p w14:paraId="0DA418F2" w14:textId="77777777" w:rsidR="006E04F7" w:rsidRPr="00072DB9" w:rsidRDefault="006E04F7" w:rsidP="00356809">
            <w:pPr>
              <w:overflowPunct/>
              <w:autoSpaceDE/>
              <w:autoSpaceDN/>
              <w:adjustRightInd/>
              <w:jc w:val="left"/>
              <w:textAlignment w:val="auto"/>
              <w:rPr>
                <w:rFonts w:ascii="Calibri Light" w:hAnsi="Calibri Light" w:cs="Calibri Light"/>
                <w:b/>
                <w:bCs/>
                <w:color w:val="13576B"/>
                <w:sz w:val="22"/>
                <w:szCs w:val="22"/>
              </w:rPr>
            </w:pPr>
          </w:p>
        </w:tc>
        <w:tc>
          <w:tcPr>
            <w:tcW w:w="960" w:type="dxa"/>
            <w:vMerge/>
            <w:tcBorders>
              <w:top w:val="nil"/>
              <w:left w:val="nil"/>
              <w:bottom w:val="single" w:sz="4" w:space="0" w:color="000000"/>
              <w:right w:val="nil"/>
            </w:tcBorders>
            <w:vAlign w:val="center"/>
            <w:hideMark/>
          </w:tcPr>
          <w:p w14:paraId="6B5DC471" w14:textId="77777777" w:rsidR="006E04F7" w:rsidRPr="00072DB9" w:rsidRDefault="006E04F7" w:rsidP="00356809">
            <w:pPr>
              <w:overflowPunct/>
              <w:autoSpaceDE/>
              <w:autoSpaceDN/>
              <w:adjustRightInd/>
              <w:jc w:val="left"/>
              <w:textAlignment w:val="auto"/>
              <w:rPr>
                <w:rFonts w:ascii="Calibri Light" w:hAnsi="Calibri Light" w:cs="Calibri Light"/>
                <w:b/>
                <w:bCs/>
                <w:color w:val="13576B"/>
                <w:sz w:val="22"/>
                <w:szCs w:val="22"/>
              </w:rPr>
            </w:pPr>
          </w:p>
        </w:tc>
      </w:tr>
      <w:tr w:rsidR="002B35B7" w:rsidRPr="002138C0" w14:paraId="35D90BA7" w14:textId="77777777" w:rsidTr="00991D3E">
        <w:trPr>
          <w:trHeight w:val="300"/>
        </w:trPr>
        <w:tc>
          <w:tcPr>
            <w:tcW w:w="3539" w:type="dxa"/>
            <w:tcBorders>
              <w:top w:val="nil"/>
              <w:left w:val="nil"/>
              <w:bottom w:val="single" w:sz="4" w:space="0" w:color="auto"/>
              <w:right w:val="nil"/>
            </w:tcBorders>
            <w:shd w:val="clear" w:color="000000" w:fill="FFFFFF"/>
            <w:noWrap/>
            <w:vAlign w:val="bottom"/>
            <w:hideMark/>
          </w:tcPr>
          <w:p w14:paraId="27C651BE" w14:textId="55D0463E" w:rsidR="002B35B7" w:rsidRPr="00072DB9" w:rsidRDefault="002B35B7" w:rsidP="002B35B7">
            <w:pPr>
              <w:overflowPunct/>
              <w:autoSpaceDE/>
              <w:autoSpaceDN/>
              <w:adjustRightInd/>
              <w:jc w:val="left"/>
              <w:textAlignment w:val="auto"/>
              <w:rPr>
                <w:rFonts w:ascii="Calibri Light" w:hAnsi="Calibri Light" w:cs="Calibri Light"/>
                <w:b/>
                <w:bCs/>
                <w:color w:val="000000"/>
                <w:sz w:val="22"/>
                <w:szCs w:val="22"/>
              </w:rPr>
            </w:pPr>
            <w:r w:rsidRPr="00072DB9">
              <w:rPr>
                <w:rFonts w:ascii="Calibri Light" w:hAnsi="Calibri Light" w:cs="Calibri Light"/>
                <w:b/>
                <w:bCs/>
                <w:color w:val="000000"/>
                <w:sz w:val="22"/>
                <w:szCs w:val="22"/>
              </w:rPr>
              <w:t>Celkem</w:t>
            </w:r>
          </w:p>
        </w:tc>
        <w:tc>
          <w:tcPr>
            <w:tcW w:w="1101" w:type="dxa"/>
            <w:tcBorders>
              <w:top w:val="nil"/>
              <w:left w:val="nil"/>
              <w:bottom w:val="single" w:sz="4" w:space="0" w:color="auto"/>
              <w:right w:val="single" w:sz="4" w:space="0" w:color="auto"/>
            </w:tcBorders>
            <w:shd w:val="clear" w:color="000000" w:fill="FFFFFF"/>
            <w:noWrap/>
            <w:vAlign w:val="center"/>
            <w:hideMark/>
          </w:tcPr>
          <w:p w14:paraId="7E3AB166" w14:textId="232B4779" w:rsidR="002B35B7" w:rsidRPr="00072DB9" w:rsidRDefault="002B35B7" w:rsidP="002B35B7">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color w:val="000000"/>
                <w:sz w:val="22"/>
                <w:szCs w:val="22"/>
              </w:rPr>
              <w:t>32,2</w:t>
            </w:r>
          </w:p>
        </w:tc>
        <w:tc>
          <w:tcPr>
            <w:tcW w:w="960" w:type="dxa"/>
            <w:tcBorders>
              <w:top w:val="nil"/>
              <w:left w:val="nil"/>
              <w:bottom w:val="single" w:sz="4" w:space="0" w:color="auto"/>
              <w:right w:val="single" w:sz="4" w:space="0" w:color="auto"/>
            </w:tcBorders>
            <w:shd w:val="clear" w:color="000000" w:fill="FFFFFF"/>
            <w:noWrap/>
            <w:vAlign w:val="center"/>
            <w:hideMark/>
          </w:tcPr>
          <w:p w14:paraId="2CB48BEB" w14:textId="12A23082" w:rsidR="002B35B7" w:rsidRPr="00072DB9" w:rsidRDefault="002B35B7" w:rsidP="002B35B7">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8 148</w:t>
            </w:r>
          </w:p>
        </w:tc>
        <w:tc>
          <w:tcPr>
            <w:tcW w:w="960" w:type="dxa"/>
            <w:tcBorders>
              <w:top w:val="nil"/>
              <w:left w:val="nil"/>
              <w:bottom w:val="single" w:sz="4" w:space="0" w:color="auto"/>
              <w:right w:val="nil"/>
            </w:tcBorders>
            <w:shd w:val="clear" w:color="000000" w:fill="FFFFFF"/>
            <w:noWrap/>
            <w:vAlign w:val="center"/>
            <w:hideMark/>
          </w:tcPr>
          <w:p w14:paraId="25688592" w14:textId="6BF58B3E" w:rsidR="002B35B7" w:rsidRPr="00072DB9" w:rsidRDefault="002B35B7" w:rsidP="002B35B7">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4,63</w:t>
            </w:r>
          </w:p>
        </w:tc>
      </w:tr>
      <w:tr w:rsidR="002B35B7" w:rsidRPr="002138C0" w14:paraId="76C06795" w14:textId="77777777" w:rsidTr="00991D3E">
        <w:trPr>
          <w:trHeight w:val="300"/>
        </w:trPr>
        <w:tc>
          <w:tcPr>
            <w:tcW w:w="3539" w:type="dxa"/>
            <w:tcBorders>
              <w:top w:val="single" w:sz="4" w:space="0" w:color="auto"/>
              <w:left w:val="nil"/>
              <w:bottom w:val="nil"/>
              <w:right w:val="nil"/>
            </w:tcBorders>
            <w:shd w:val="solid" w:color="DAF3EA" w:fill="C1F7E9"/>
            <w:noWrap/>
            <w:vAlign w:val="bottom"/>
            <w:hideMark/>
          </w:tcPr>
          <w:p w14:paraId="62A0E8CC" w14:textId="77777777" w:rsidR="002B35B7" w:rsidRPr="00072DB9" w:rsidRDefault="002B35B7" w:rsidP="002B35B7">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072DB9">
              <w:rPr>
                <w:rFonts w:ascii="Calibri Light" w:hAnsi="Calibri Light" w:cs="Calibri Light"/>
                <w:b/>
                <w:bCs/>
                <w:color w:val="000000"/>
                <w:sz w:val="22"/>
                <w:szCs w:val="22"/>
              </w:rPr>
              <w:t xml:space="preserve">Nové úvěry </w:t>
            </w:r>
          </w:p>
        </w:tc>
        <w:tc>
          <w:tcPr>
            <w:tcW w:w="1101" w:type="dxa"/>
            <w:tcBorders>
              <w:top w:val="single" w:sz="4" w:space="0" w:color="auto"/>
              <w:left w:val="nil"/>
              <w:bottom w:val="nil"/>
              <w:right w:val="single" w:sz="4" w:space="0" w:color="auto"/>
            </w:tcBorders>
            <w:shd w:val="solid" w:color="DAF3EA" w:fill="C1F7E9"/>
            <w:noWrap/>
            <w:vAlign w:val="center"/>
            <w:hideMark/>
          </w:tcPr>
          <w:p w14:paraId="520FBFDC" w14:textId="7CCCEE2F" w:rsidR="002B35B7" w:rsidRPr="00072DB9" w:rsidRDefault="002B35B7" w:rsidP="002B35B7">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26,0</w:t>
            </w:r>
          </w:p>
        </w:tc>
        <w:tc>
          <w:tcPr>
            <w:tcW w:w="960" w:type="dxa"/>
            <w:tcBorders>
              <w:top w:val="single" w:sz="4" w:space="0" w:color="auto"/>
              <w:left w:val="nil"/>
              <w:bottom w:val="nil"/>
              <w:right w:val="single" w:sz="4" w:space="0" w:color="auto"/>
            </w:tcBorders>
            <w:shd w:val="solid" w:color="DAF3EA" w:fill="C1F7E9"/>
            <w:noWrap/>
            <w:vAlign w:val="center"/>
            <w:hideMark/>
          </w:tcPr>
          <w:p w14:paraId="41404E63" w14:textId="432E8EAE" w:rsidR="002B35B7" w:rsidRPr="00072DB9" w:rsidRDefault="002B35B7" w:rsidP="002B35B7">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6 389</w:t>
            </w:r>
          </w:p>
        </w:tc>
        <w:tc>
          <w:tcPr>
            <w:tcW w:w="960" w:type="dxa"/>
            <w:tcBorders>
              <w:top w:val="single" w:sz="4" w:space="0" w:color="auto"/>
              <w:left w:val="nil"/>
              <w:bottom w:val="nil"/>
              <w:right w:val="nil"/>
            </w:tcBorders>
            <w:shd w:val="solid" w:color="DAF3EA" w:fill="C1F7E9"/>
            <w:noWrap/>
            <w:vAlign w:val="center"/>
            <w:hideMark/>
          </w:tcPr>
          <w:p w14:paraId="5B0C0248" w14:textId="4DD311C4" w:rsidR="002B35B7" w:rsidRPr="00072DB9" w:rsidRDefault="002B35B7" w:rsidP="002B35B7">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b/>
                <w:bCs/>
                <w:color w:val="000000"/>
                <w:sz w:val="22"/>
                <w:szCs w:val="22"/>
              </w:rPr>
              <w:t>4,65</w:t>
            </w:r>
          </w:p>
        </w:tc>
      </w:tr>
      <w:tr w:rsidR="002B35B7" w:rsidRPr="002138C0" w14:paraId="6E865282" w14:textId="77777777" w:rsidTr="002344B5">
        <w:trPr>
          <w:trHeight w:val="300"/>
        </w:trPr>
        <w:tc>
          <w:tcPr>
            <w:tcW w:w="3539" w:type="dxa"/>
            <w:tcBorders>
              <w:top w:val="nil"/>
              <w:left w:val="nil"/>
              <w:bottom w:val="nil"/>
              <w:right w:val="nil"/>
            </w:tcBorders>
            <w:shd w:val="clear" w:color="000000" w:fill="FFFFFF"/>
            <w:noWrap/>
            <w:vAlign w:val="bottom"/>
            <w:hideMark/>
          </w:tcPr>
          <w:p w14:paraId="4E52C0C1" w14:textId="77777777" w:rsidR="002B35B7" w:rsidRPr="00072DB9" w:rsidRDefault="002B35B7" w:rsidP="002B35B7">
            <w:pPr>
              <w:overflowPunct/>
              <w:autoSpaceDE/>
              <w:autoSpaceDN/>
              <w:adjustRightInd/>
              <w:ind w:firstLineChars="200" w:firstLine="440"/>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 xml:space="preserve">z toho: </w:t>
            </w:r>
          </w:p>
        </w:tc>
        <w:tc>
          <w:tcPr>
            <w:tcW w:w="1101" w:type="dxa"/>
            <w:tcBorders>
              <w:top w:val="nil"/>
              <w:left w:val="nil"/>
              <w:bottom w:val="nil"/>
              <w:right w:val="single" w:sz="4" w:space="0" w:color="auto"/>
            </w:tcBorders>
            <w:shd w:val="clear" w:color="000000" w:fill="FFFFFF"/>
            <w:noWrap/>
            <w:vAlign w:val="center"/>
            <w:hideMark/>
          </w:tcPr>
          <w:p w14:paraId="57B98F3E" w14:textId="5E6D9FA5" w:rsidR="002B35B7" w:rsidRPr="00072DB9" w:rsidRDefault="002B35B7" w:rsidP="002B35B7">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c>
          <w:tcPr>
            <w:tcW w:w="960" w:type="dxa"/>
            <w:tcBorders>
              <w:top w:val="nil"/>
              <w:left w:val="nil"/>
              <w:bottom w:val="nil"/>
              <w:right w:val="single" w:sz="4" w:space="0" w:color="auto"/>
            </w:tcBorders>
            <w:shd w:val="clear" w:color="000000" w:fill="FFFFFF"/>
            <w:noWrap/>
            <w:vAlign w:val="center"/>
            <w:hideMark/>
          </w:tcPr>
          <w:p w14:paraId="04B92348" w14:textId="416DED6E" w:rsidR="002B35B7" w:rsidRPr="00072DB9" w:rsidRDefault="002B35B7" w:rsidP="002B35B7">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center"/>
            <w:hideMark/>
          </w:tcPr>
          <w:p w14:paraId="4D8B27E5" w14:textId="27AE57AF" w:rsidR="002B35B7" w:rsidRPr="00072DB9" w:rsidRDefault="002B35B7" w:rsidP="002B35B7">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 </w:t>
            </w:r>
          </w:p>
        </w:tc>
      </w:tr>
      <w:tr w:rsidR="002B35B7" w:rsidRPr="002138C0" w14:paraId="10DD8204" w14:textId="77777777" w:rsidTr="002344B5">
        <w:trPr>
          <w:trHeight w:val="300"/>
        </w:trPr>
        <w:tc>
          <w:tcPr>
            <w:tcW w:w="3539" w:type="dxa"/>
            <w:tcBorders>
              <w:top w:val="nil"/>
              <w:left w:val="nil"/>
              <w:bottom w:val="nil"/>
              <w:right w:val="nil"/>
            </w:tcBorders>
            <w:shd w:val="clear" w:color="000000" w:fill="FFFFFF"/>
            <w:noWrap/>
            <w:vAlign w:val="bottom"/>
            <w:hideMark/>
          </w:tcPr>
          <w:p w14:paraId="321828A8" w14:textId="74481CAD" w:rsidR="002B35B7" w:rsidRPr="00072DB9" w:rsidRDefault="002B35B7" w:rsidP="002B35B7">
            <w:pPr>
              <w:overflowPunct/>
              <w:autoSpaceDE/>
              <w:autoSpaceDN/>
              <w:adjustRightInd/>
              <w:ind w:firstLineChars="300" w:firstLine="660"/>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na koupi</w:t>
            </w:r>
          </w:p>
        </w:tc>
        <w:tc>
          <w:tcPr>
            <w:tcW w:w="1101" w:type="dxa"/>
            <w:tcBorders>
              <w:top w:val="nil"/>
              <w:left w:val="nil"/>
              <w:bottom w:val="nil"/>
              <w:right w:val="single" w:sz="4" w:space="0" w:color="auto"/>
            </w:tcBorders>
            <w:shd w:val="clear" w:color="000000" w:fill="FFFFFF"/>
            <w:noWrap/>
            <w:vAlign w:val="center"/>
            <w:hideMark/>
          </w:tcPr>
          <w:p w14:paraId="63DC905E" w14:textId="099788B4" w:rsidR="002B35B7" w:rsidRPr="00072DB9" w:rsidRDefault="002B35B7" w:rsidP="002B35B7">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20,5</w:t>
            </w:r>
          </w:p>
        </w:tc>
        <w:tc>
          <w:tcPr>
            <w:tcW w:w="960" w:type="dxa"/>
            <w:tcBorders>
              <w:top w:val="nil"/>
              <w:left w:val="nil"/>
              <w:bottom w:val="nil"/>
              <w:right w:val="single" w:sz="4" w:space="0" w:color="auto"/>
            </w:tcBorders>
            <w:shd w:val="clear" w:color="000000" w:fill="FFFFFF"/>
            <w:noWrap/>
            <w:vAlign w:val="center"/>
            <w:hideMark/>
          </w:tcPr>
          <w:p w14:paraId="1F9B5019" w14:textId="3D7583D1" w:rsidR="002B35B7" w:rsidRPr="00072DB9" w:rsidRDefault="002B35B7" w:rsidP="002B35B7">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4 935</w:t>
            </w:r>
          </w:p>
        </w:tc>
        <w:tc>
          <w:tcPr>
            <w:tcW w:w="960" w:type="dxa"/>
            <w:tcBorders>
              <w:top w:val="nil"/>
              <w:left w:val="nil"/>
              <w:bottom w:val="nil"/>
              <w:right w:val="nil"/>
            </w:tcBorders>
            <w:shd w:val="clear" w:color="000000" w:fill="FFFFFF"/>
            <w:noWrap/>
            <w:vAlign w:val="center"/>
            <w:hideMark/>
          </w:tcPr>
          <w:p w14:paraId="245CA2C7" w14:textId="4A479738" w:rsidR="002B35B7" w:rsidRPr="00072DB9" w:rsidRDefault="002B35B7" w:rsidP="002B35B7">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4,64</w:t>
            </w:r>
          </w:p>
        </w:tc>
      </w:tr>
      <w:tr w:rsidR="002B35B7" w:rsidRPr="002138C0" w14:paraId="6815BAA0" w14:textId="77777777" w:rsidTr="002344B5">
        <w:trPr>
          <w:trHeight w:val="300"/>
        </w:trPr>
        <w:tc>
          <w:tcPr>
            <w:tcW w:w="3539" w:type="dxa"/>
            <w:tcBorders>
              <w:top w:val="nil"/>
              <w:left w:val="nil"/>
              <w:bottom w:val="nil"/>
              <w:right w:val="nil"/>
            </w:tcBorders>
            <w:shd w:val="clear" w:color="000000" w:fill="FFFFFF"/>
            <w:noWrap/>
            <w:vAlign w:val="bottom"/>
            <w:hideMark/>
          </w:tcPr>
          <w:p w14:paraId="1CD17F24" w14:textId="02A472AC" w:rsidR="002B35B7" w:rsidRPr="00072DB9" w:rsidRDefault="002B35B7" w:rsidP="002B35B7">
            <w:pPr>
              <w:overflowPunct/>
              <w:autoSpaceDE/>
              <w:autoSpaceDN/>
              <w:adjustRightInd/>
              <w:ind w:firstLineChars="300" w:firstLine="660"/>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na výstavbu</w:t>
            </w:r>
          </w:p>
        </w:tc>
        <w:tc>
          <w:tcPr>
            <w:tcW w:w="1101" w:type="dxa"/>
            <w:tcBorders>
              <w:top w:val="nil"/>
              <w:left w:val="nil"/>
              <w:bottom w:val="nil"/>
              <w:right w:val="single" w:sz="4" w:space="0" w:color="auto"/>
            </w:tcBorders>
            <w:shd w:val="clear" w:color="000000" w:fill="FFFFFF"/>
            <w:noWrap/>
            <w:vAlign w:val="center"/>
            <w:hideMark/>
          </w:tcPr>
          <w:p w14:paraId="2C073796" w14:textId="6CBBC83F" w:rsidR="002B35B7" w:rsidRPr="00072DB9" w:rsidRDefault="002B35B7" w:rsidP="002B35B7">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4,3</w:t>
            </w:r>
          </w:p>
        </w:tc>
        <w:tc>
          <w:tcPr>
            <w:tcW w:w="960" w:type="dxa"/>
            <w:tcBorders>
              <w:top w:val="nil"/>
              <w:left w:val="nil"/>
              <w:bottom w:val="nil"/>
              <w:right w:val="single" w:sz="4" w:space="0" w:color="auto"/>
            </w:tcBorders>
            <w:shd w:val="clear" w:color="000000" w:fill="FFFFFF"/>
            <w:noWrap/>
            <w:vAlign w:val="center"/>
            <w:hideMark/>
          </w:tcPr>
          <w:p w14:paraId="2BEC2F1D" w14:textId="7F3DEE4F" w:rsidR="002B35B7" w:rsidRPr="00072DB9" w:rsidRDefault="002B35B7" w:rsidP="002B35B7">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1 078</w:t>
            </w:r>
          </w:p>
        </w:tc>
        <w:tc>
          <w:tcPr>
            <w:tcW w:w="960" w:type="dxa"/>
            <w:tcBorders>
              <w:top w:val="nil"/>
              <w:left w:val="nil"/>
              <w:bottom w:val="nil"/>
              <w:right w:val="nil"/>
            </w:tcBorders>
            <w:shd w:val="clear" w:color="000000" w:fill="FFFFFF"/>
            <w:noWrap/>
            <w:vAlign w:val="center"/>
            <w:hideMark/>
          </w:tcPr>
          <w:p w14:paraId="1ED8392A" w14:textId="541899A2" w:rsidR="002B35B7" w:rsidRPr="00072DB9" w:rsidRDefault="002B35B7" w:rsidP="002B35B7">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4,61</w:t>
            </w:r>
          </w:p>
        </w:tc>
      </w:tr>
      <w:tr w:rsidR="002B35B7" w:rsidRPr="002138C0" w14:paraId="13F97586"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24A57913" w14:textId="6B59A630" w:rsidR="002B35B7" w:rsidRPr="00072DB9" w:rsidRDefault="002B35B7" w:rsidP="002B35B7">
            <w:pPr>
              <w:overflowPunct/>
              <w:autoSpaceDE/>
              <w:autoSpaceDN/>
              <w:adjustRightInd/>
              <w:ind w:firstLineChars="300" w:firstLine="660"/>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ostatní</w:t>
            </w:r>
          </w:p>
        </w:tc>
        <w:tc>
          <w:tcPr>
            <w:tcW w:w="1101" w:type="dxa"/>
            <w:tcBorders>
              <w:top w:val="nil"/>
              <w:left w:val="nil"/>
              <w:bottom w:val="single" w:sz="4" w:space="0" w:color="auto"/>
              <w:right w:val="single" w:sz="4" w:space="0" w:color="auto"/>
            </w:tcBorders>
            <w:shd w:val="clear" w:color="000000" w:fill="FFFFFF"/>
            <w:noWrap/>
            <w:vAlign w:val="center"/>
            <w:hideMark/>
          </w:tcPr>
          <w:p w14:paraId="7B22856C" w14:textId="5058C81A" w:rsidR="002B35B7" w:rsidRPr="00072DB9" w:rsidRDefault="002B35B7" w:rsidP="002B35B7">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1,2</w:t>
            </w:r>
          </w:p>
        </w:tc>
        <w:tc>
          <w:tcPr>
            <w:tcW w:w="960" w:type="dxa"/>
            <w:tcBorders>
              <w:top w:val="nil"/>
              <w:left w:val="nil"/>
              <w:bottom w:val="single" w:sz="4" w:space="0" w:color="auto"/>
              <w:right w:val="single" w:sz="4" w:space="0" w:color="auto"/>
            </w:tcBorders>
            <w:shd w:val="clear" w:color="000000" w:fill="FFFFFF"/>
            <w:noWrap/>
            <w:vAlign w:val="center"/>
            <w:hideMark/>
          </w:tcPr>
          <w:p w14:paraId="766570EC" w14:textId="49176855" w:rsidR="002B35B7" w:rsidRPr="00072DB9" w:rsidRDefault="002B35B7" w:rsidP="002B35B7">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376</w:t>
            </w:r>
          </w:p>
        </w:tc>
        <w:tc>
          <w:tcPr>
            <w:tcW w:w="960" w:type="dxa"/>
            <w:tcBorders>
              <w:top w:val="nil"/>
              <w:left w:val="nil"/>
              <w:bottom w:val="single" w:sz="4" w:space="0" w:color="auto"/>
              <w:right w:val="nil"/>
            </w:tcBorders>
            <w:shd w:val="clear" w:color="000000" w:fill="FFFFFF"/>
            <w:noWrap/>
            <w:vAlign w:val="center"/>
            <w:hideMark/>
          </w:tcPr>
          <w:p w14:paraId="2CAA1522" w14:textId="050871B0" w:rsidR="002B35B7" w:rsidRPr="00072DB9" w:rsidRDefault="002B35B7" w:rsidP="002B35B7">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4,87</w:t>
            </w:r>
          </w:p>
        </w:tc>
      </w:tr>
      <w:tr w:rsidR="002B35B7" w:rsidRPr="002138C0" w14:paraId="219FB66B"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641E43AF" w14:textId="77777777" w:rsidR="002B35B7" w:rsidRPr="00072DB9" w:rsidRDefault="002B35B7" w:rsidP="002B35B7">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072DB9">
              <w:rPr>
                <w:rFonts w:ascii="Calibri Light" w:hAnsi="Calibri Light" w:cs="Calibri Light"/>
                <w:b/>
                <w:bCs/>
                <w:color w:val="000000"/>
                <w:sz w:val="22"/>
                <w:szCs w:val="22"/>
              </w:rPr>
              <w:t>Refinancované z jiné instituce</w:t>
            </w:r>
          </w:p>
        </w:tc>
        <w:tc>
          <w:tcPr>
            <w:tcW w:w="1101" w:type="dxa"/>
            <w:tcBorders>
              <w:top w:val="nil"/>
              <w:left w:val="nil"/>
              <w:bottom w:val="single" w:sz="4" w:space="0" w:color="auto"/>
              <w:right w:val="single" w:sz="4" w:space="0" w:color="auto"/>
            </w:tcBorders>
            <w:shd w:val="clear" w:color="000000" w:fill="FFFFFF"/>
            <w:noWrap/>
            <w:vAlign w:val="center"/>
            <w:hideMark/>
          </w:tcPr>
          <w:p w14:paraId="78177EA4" w14:textId="4544FC20" w:rsidR="002B35B7" w:rsidRPr="00072DB9" w:rsidRDefault="002B35B7" w:rsidP="002B35B7">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color w:val="000000"/>
                <w:sz w:val="22"/>
                <w:szCs w:val="22"/>
              </w:rPr>
              <w:t>4,8</w:t>
            </w:r>
          </w:p>
        </w:tc>
        <w:tc>
          <w:tcPr>
            <w:tcW w:w="960" w:type="dxa"/>
            <w:tcBorders>
              <w:top w:val="nil"/>
              <w:left w:val="nil"/>
              <w:bottom w:val="single" w:sz="4" w:space="0" w:color="auto"/>
              <w:right w:val="single" w:sz="4" w:space="0" w:color="auto"/>
            </w:tcBorders>
            <w:shd w:val="clear" w:color="000000" w:fill="FFFFFF"/>
            <w:noWrap/>
            <w:vAlign w:val="center"/>
            <w:hideMark/>
          </w:tcPr>
          <w:p w14:paraId="38625343" w14:textId="6446F362" w:rsidR="002B35B7" w:rsidRPr="00072DB9" w:rsidRDefault="002B35B7" w:rsidP="002B35B7">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1 402</w:t>
            </w:r>
          </w:p>
        </w:tc>
        <w:tc>
          <w:tcPr>
            <w:tcW w:w="960" w:type="dxa"/>
            <w:tcBorders>
              <w:top w:val="nil"/>
              <w:left w:val="nil"/>
              <w:bottom w:val="single" w:sz="4" w:space="0" w:color="auto"/>
              <w:right w:val="nil"/>
            </w:tcBorders>
            <w:shd w:val="clear" w:color="000000" w:fill="FFFFFF"/>
            <w:noWrap/>
            <w:vAlign w:val="center"/>
            <w:hideMark/>
          </w:tcPr>
          <w:p w14:paraId="2F210A95" w14:textId="77C682BC" w:rsidR="002B35B7" w:rsidRPr="00072DB9" w:rsidRDefault="002B35B7" w:rsidP="002B35B7">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color w:val="000000"/>
                <w:sz w:val="22"/>
                <w:szCs w:val="22"/>
              </w:rPr>
              <w:t>4,63</w:t>
            </w:r>
          </w:p>
        </w:tc>
      </w:tr>
      <w:tr w:rsidR="002B35B7" w:rsidRPr="002138C0" w14:paraId="3D627EA7" w14:textId="77777777" w:rsidTr="002344B5">
        <w:trPr>
          <w:trHeight w:val="300"/>
        </w:trPr>
        <w:tc>
          <w:tcPr>
            <w:tcW w:w="3539" w:type="dxa"/>
            <w:tcBorders>
              <w:top w:val="nil"/>
              <w:left w:val="nil"/>
              <w:bottom w:val="single" w:sz="4" w:space="0" w:color="auto"/>
              <w:right w:val="nil"/>
            </w:tcBorders>
            <w:shd w:val="clear" w:color="000000" w:fill="FFFFFF"/>
            <w:noWrap/>
            <w:vAlign w:val="bottom"/>
            <w:hideMark/>
          </w:tcPr>
          <w:p w14:paraId="0725FADF" w14:textId="733CDA02" w:rsidR="002B35B7" w:rsidRPr="00072DB9" w:rsidRDefault="002B35B7" w:rsidP="002B35B7">
            <w:pPr>
              <w:overflowPunct/>
              <w:autoSpaceDE/>
              <w:autoSpaceDN/>
              <w:adjustRightInd/>
              <w:ind w:firstLineChars="100" w:firstLine="221"/>
              <w:jc w:val="left"/>
              <w:textAlignment w:val="auto"/>
              <w:rPr>
                <w:rFonts w:ascii="Calibri Light" w:hAnsi="Calibri Light" w:cs="Calibri Light"/>
                <w:b/>
                <w:bCs/>
                <w:color w:val="000000"/>
                <w:sz w:val="22"/>
                <w:szCs w:val="22"/>
              </w:rPr>
            </w:pPr>
            <w:r w:rsidRPr="00072DB9">
              <w:rPr>
                <w:rFonts w:ascii="Calibri Light" w:hAnsi="Calibri Light" w:cs="Calibri Light"/>
                <w:b/>
                <w:bCs/>
                <w:color w:val="000000"/>
                <w:sz w:val="22"/>
                <w:szCs w:val="22"/>
              </w:rPr>
              <w:t>Refinancované interně</w:t>
            </w:r>
          </w:p>
        </w:tc>
        <w:tc>
          <w:tcPr>
            <w:tcW w:w="1101" w:type="dxa"/>
            <w:tcBorders>
              <w:top w:val="nil"/>
              <w:left w:val="nil"/>
              <w:bottom w:val="single" w:sz="4" w:space="0" w:color="auto"/>
              <w:right w:val="single" w:sz="4" w:space="0" w:color="auto"/>
            </w:tcBorders>
            <w:shd w:val="clear" w:color="000000" w:fill="FFFFFF"/>
            <w:noWrap/>
            <w:vAlign w:val="center"/>
            <w:hideMark/>
          </w:tcPr>
          <w:p w14:paraId="5715E1E0" w14:textId="2C9E2C62" w:rsidR="002B35B7" w:rsidRPr="00072DB9" w:rsidRDefault="002B35B7" w:rsidP="002B35B7">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color w:val="000000"/>
                <w:sz w:val="22"/>
                <w:szCs w:val="22"/>
              </w:rPr>
              <w:t>1,4</w:t>
            </w:r>
          </w:p>
        </w:tc>
        <w:tc>
          <w:tcPr>
            <w:tcW w:w="960" w:type="dxa"/>
            <w:tcBorders>
              <w:top w:val="nil"/>
              <w:left w:val="nil"/>
              <w:bottom w:val="single" w:sz="4" w:space="0" w:color="auto"/>
              <w:right w:val="single" w:sz="4" w:space="0" w:color="auto"/>
            </w:tcBorders>
            <w:shd w:val="clear" w:color="000000" w:fill="FFFFFF"/>
            <w:noWrap/>
            <w:vAlign w:val="center"/>
            <w:hideMark/>
          </w:tcPr>
          <w:p w14:paraId="7D87364C" w14:textId="2BA2C2ED" w:rsidR="002B35B7" w:rsidRPr="00072DB9" w:rsidRDefault="002B35B7" w:rsidP="002B35B7">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357</w:t>
            </w:r>
          </w:p>
        </w:tc>
        <w:tc>
          <w:tcPr>
            <w:tcW w:w="960" w:type="dxa"/>
            <w:tcBorders>
              <w:top w:val="nil"/>
              <w:left w:val="nil"/>
              <w:bottom w:val="single" w:sz="4" w:space="0" w:color="auto"/>
              <w:right w:val="nil"/>
            </w:tcBorders>
            <w:shd w:val="clear" w:color="000000" w:fill="FFFFFF"/>
            <w:noWrap/>
            <w:vAlign w:val="center"/>
            <w:hideMark/>
          </w:tcPr>
          <w:p w14:paraId="473AFF57" w14:textId="4F6A73D7" w:rsidR="002B35B7" w:rsidRPr="00072DB9" w:rsidRDefault="002B35B7" w:rsidP="002B35B7">
            <w:pPr>
              <w:overflowPunct/>
              <w:autoSpaceDE/>
              <w:autoSpaceDN/>
              <w:adjustRightInd/>
              <w:jc w:val="center"/>
              <w:textAlignment w:val="auto"/>
              <w:rPr>
                <w:rFonts w:asciiTheme="majorHAnsi" w:hAnsiTheme="majorHAnsi" w:cstheme="majorHAnsi"/>
                <w:b/>
                <w:bCs/>
                <w:color w:val="000000"/>
                <w:sz w:val="22"/>
                <w:szCs w:val="22"/>
              </w:rPr>
            </w:pPr>
            <w:r>
              <w:rPr>
                <w:rFonts w:ascii="Calibri Light" w:hAnsi="Calibri Light" w:cs="Calibri Light"/>
                <w:color w:val="000000"/>
                <w:sz w:val="22"/>
                <w:szCs w:val="22"/>
              </w:rPr>
              <w:t>4,40</w:t>
            </w:r>
          </w:p>
        </w:tc>
      </w:tr>
      <w:tr w:rsidR="006E04F7" w:rsidRPr="002138C0" w14:paraId="763F0D46" w14:textId="77777777" w:rsidTr="00356809">
        <w:trPr>
          <w:trHeight w:val="300"/>
        </w:trPr>
        <w:tc>
          <w:tcPr>
            <w:tcW w:w="3539" w:type="dxa"/>
            <w:tcBorders>
              <w:top w:val="nil"/>
              <w:left w:val="nil"/>
              <w:bottom w:val="nil"/>
              <w:right w:val="nil"/>
            </w:tcBorders>
            <w:shd w:val="clear" w:color="000000" w:fill="FFFFFF"/>
            <w:noWrap/>
            <w:vAlign w:val="bottom"/>
            <w:hideMark/>
          </w:tcPr>
          <w:p w14:paraId="06A1A28A" w14:textId="63A22841" w:rsidR="006E04F7" w:rsidRPr="00072DB9" w:rsidRDefault="006E04F7" w:rsidP="00356809">
            <w:pPr>
              <w:overflowPunct/>
              <w:autoSpaceDE/>
              <w:autoSpaceDN/>
              <w:adjustRightInd/>
              <w:jc w:val="left"/>
              <w:textAlignment w:val="auto"/>
              <w:rPr>
                <w:rFonts w:ascii="Calibri Light" w:hAnsi="Calibri Light" w:cs="Calibri Light"/>
                <w:color w:val="13576B"/>
                <w:sz w:val="20"/>
              </w:rPr>
            </w:pPr>
            <w:r w:rsidRPr="00072DB9">
              <w:rPr>
                <w:rFonts w:ascii="Calibri Light" w:hAnsi="Calibri Light" w:cs="Calibri Light"/>
                <w:color w:val="13576B"/>
                <w:sz w:val="20"/>
              </w:rPr>
              <w:t>Pramen: ČBA Hypomonitor</w:t>
            </w:r>
          </w:p>
        </w:tc>
        <w:tc>
          <w:tcPr>
            <w:tcW w:w="1101" w:type="dxa"/>
            <w:tcBorders>
              <w:top w:val="nil"/>
              <w:left w:val="nil"/>
              <w:bottom w:val="nil"/>
              <w:right w:val="nil"/>
            </w:tcBorders>
            <w:shd w:val="clear" w:color="000000" w:fill="FFFFFF"/>
            <w:noWrap/>
            <w:vAlign w:val="bottom"/>
            <w:hideMark/>
          </w:tcPr>
          <w:p w14:paraId="01E541C2" w14:textId="77777777" w:rsidR="006E04F7" w:rsidRPr="00072DB9" w:rsidRDefault="006E04F7" w:rsidP="00356809">
            <w:pPr>
              <w:overflowPunct/>
              <w:autoSpaceDE/>
              <w:autoSpaceDN/>
              <w:adjustRightInd/>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bottom"/>
            <w:hideMark/>
          </w:tcPr>
          <w:p w14:paraId="531856BD" w14:textId="77777777" w:rsidR="006E04F7" w:rsidRPr="00072DB9" w:rsidRDefault="006E04F7" w:rsidP="00356809">
            <w:pPr>
              <w:overflowPunct/>
              <w:autoSpaceDE/>
              <w:autoSpaceDN/>
              <w:adjustRightInd/>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 </w:t>
            </w:r>
          </w:p>
        </w:tc>
        <w:tc>
          <w:tcPr>
            <w:tcW w:w="960" w:type="dxa"/>
            <w:tcBorders>
              <w:top w:val="nil"/>
              <w:left w:val="nil"/>
              <w:bottom w:val="nil"/>
              <w:right w:val="nil"/>
            </w:tcBorders>
            <w:shd w:val="clear" w:color="000000" w:fill="FFFFFF"/>
            <w:noWrap/>
            <w:vAlign w:val="bottom"/>
            <w:hideMark/>
          </w:tcPr>
          <w:p w14:paraId="67C47165" w14:textId="77777777" w:rsidR="006E04F7" w:rsidRPr="00072DB9" w:rsidRDefault="006E04F7" w:rsidP="00356809">
            <w:pPr>
              <w:overflowPunct/>
              <w:autoSpaceDE/>
              <w:autoSpaceDN/>
              <w:adjustRightInd/>
              <w:jc w:val="left"/>
              <w:textAlignment w:val="auto"/>
              <w:rPr>
                <w:rFonts w:ascii="Calibri Light" w:hAnsi="Calibri Light" w:cs="Calibri Light"/>
                <w:color w:val="000000"/>
                <w:sz w:val="22"/>
                <w:szCs w:val="22"/>
              </w:rPr>
            </w:pPr>
            <w:r w:rsidRPr="00072DB9">
              <w:rPr>
                <w:rFonts w:ascii="Calibri Light" w:hAnsi="Calibri Light" w:cs="Calibri Light"/>
                <w:color w:val="000000"/>
                <w:sz w:val="22"/>
                <w:szCs w:val="22"/>
              </w:rPr>
              <w:t> </w:t>
            </w:r>
          </w:p>
        </w:tc>
      </w:tr>
    </w:tbl>
    <w:p w14:paraId="1FB45B18" w14:textId="77777777" w:rsidR="00452B0E" w:rsidRPr="00287580" w:rsidRDefault="00452B0E" w:rsidP="00452B0E">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Pr>
          <w:rFonts w:ascii="Calibri" w:hAnsi="Calibri" w:cs="Calibri"/>
          <w:i/>
          <w:iCs/>
          <w:color w:val="000000" w:themeColor="text1"/>
          <w:sz w:val="22"/>
          <w:szCs w:val="22"/>
        </w:rPr>
        <w:lastRenderedPageBreak/>
        <w:t>„</w:t>
      </w:r>
      <w:r w:rsidRPr="00A42D6B">
        <w:rPr>
          <w:rFonts w:ascii="Calibri" w:hAnsi="Calibri" w:cs="Calibri"/>
          <w:i/>
          <w:iCs/>
          <w:color w:val="000000" w:themeColor="text1"/>
          <w:sz w:val="22"/>
          <w:szCs w:val="22"/>
        </w:rPr>
        <w:t>Za první čtyři měsíce můžeme pozorovat dynamický růst hypotečního trhu i u stavebních spořitelen. Přestože se trh stavebního spoření zaměřuje především na renovaci a nezajištěné úvěry na bydlení, tak zde máme téměř 80% meziroční růst i v oblasti zajištěných úvěrů.</w:t>
      </w:r>
      <w:r>
        <w:rPr>
          <w:rFonts w:ascii="Calibri" w:hAnsi="Calibri" w:cs="Calibri"/>
          <w:i/>
          <w:iCs/>
          <w:color w:val="000000" w:themeColor="text1"/>
          <w:sz w:val="22"/>
          <w:szCs w:val="22"/>
        </w:rPr>
        <w:t xml:space="preserve"> </w:t>
      </w:r>
      <w:r w:rsidRPr="00A42D6B">
        <w:rPr>
          <w:rFonts w:ascii="Calibri" w:hAnsi="Calibri" w:cs="Calibri"/>
          <w:i/>
          <w:iCs/>
          <w:color w:val="000000" w:themeColor="text1"/>
          <w:sz w:val="22"/>
          <w:szCs w:val="22"/>
        </w:rPr>
        <w:t>Mimo jiné tomu pomáhá relativně dynamický pokles průměrné úrokové sazby v prvních měsících roku 2025, proti pomalému poklesu v roce 2024.</w:t>
      </w:r>
      <w:r>
        <w:rPr>
          <w:rFonts w:ascii="Calibri" w:hAnsi="Calibri" w:cs="Calibri"/>
          <w:i/>
          <w:iCs/>
          <w:color w:val="000000" w:themeColor="text1"/>
          <w:sz w:val="22"/>
          <w:szCs w:val="22"/>
        </w:rPr>
        <w:t>,</w:t>
      </w:r>
      <w:r w:rsidRPr="001177C9">
        <w:rPr>
          <w:rFonts w:ascii="Calibri" w:hAnsi="Calibri" w:cs="Calibri"/>
          <w:i/>
          <w:iCs/>
          <w:sz w:val="22"/>
          <w:szCs w:val="22"/>
        </w:rPr>
        <w:t xml:space="preserve">“ </w:t>
      </w:r>
      <w:r w:rsidRPr="007F690B">
        <w:rPr>
          <w:rFonts w:ascii="Calibri" w:hAnsi="Calibri" w:cs="Calibri"/>
          <w:sz w:val="22"/>
          <w:szCs w:val="22"/>
        </w:rPr>
        <w:t xml:space="preserve">říká </w:t>
      </w:r>
      <w:r>
        <w:rPr>
          <w:rFonts w:ascii="Calibri" w:hAnsi="Calibri" w:cs="Calibri"/>
          <w:b/>
          <w:bCs/>
          <w:sz w:val="22"/>
          <w:szCs w:val="22"/>
        </w:rPr>
        <w:t>Michal Noha</w:t>
      </w:r>
      <w:r w:rsidRPr="007F690B">
        <w:rPr>
          <w:rFonts w:ascii="Calibri" w:hAnsi="Calibri" w:cs="Calibri"/>
          <w:b/>
          <w:bCs/>
          <w:sz w:val="22"/>
          <w:szCs w:val="22"/>
        </w:rPr>
        <w:t xml:space="preserve">, </w:t>
      </w:r>
      <w:r>
        <w:rPr>
          <w:rFonts w:ascii="Calibri" w:hAnsi="Calibri" w:cs="Calibri"/>
          <w:b/>
          <w:bCs/>
          <w:sz w:val="22"/>
          <w:szCs w:val="22"/>
        </w:rPr>
        <w:t xml:space="preserve">produktový </w:t>
      </w:r>
      <w:r w:rsidRPr="008B62E9">
        <w:rPr>
          <w:rFonts w:ascii="Calibri" w:eastAsia="Calibri" w:hAnsi="Calibri" w:cs="Calibri"/>
          <w:b/>
          <w:bCs/>
          <w:sz w:val="22"/>
          <w:szCs w:val="22"/>
        </w:rPr>
        <w:t>manažer z</w:t>
      </w:r>
      <w:r>
        <w:rPr>
          <w:rFonts w:ascii="Calibri" w:eastAsia="Calibri" w:hAnsi="Calibri" w:cs="Calibri"/>
          <w:b/>
          <w:bCs/>
          <w:sz w:val="22"/>
          <w:szCs w:val="22"/>
        </w:rPr>
        <w:t xml:space="preserve"> Raiffeisen Stavební spořitelny. </w:t>
      </w:r>
    </w:p>
    <w:p w14:paraId="72BA020B" w14:textId="77777777" w:rsidR="000B064D" w:rsidRDefault="000B064D" w:rsidP="00237E0B">
      <w:pPr>
        <w:spacing w:before="120" w:after="120"/>
        <w:rPr>
          <w:rFonts w:ascii="Calibri" w:hAnsi="Calibri" w:cs="Calibri"/>
          <w:b/>
          <w:bCs/>
          <w:color w:val="000000"/>
          <w:sz w:val="22"/>
          <w:szCs w:val="22"/>
        </w:rPr>
      </w:pPr>
    </w:p>
    <w:bookmarkEnd w:id="1"/>
    <w:bookmarkEnd w:id="2"/>
    <w:bookmarkEnd w:id="3"/>
    <w:p w14:paraId="3C990047" w14:textId="5DF2108D" w:rsidR="00F83C40" w:rsidRPr="00F83C40" w:rsidRDefault="00F83C40" w:rsidP="00F83C40">
      <w:pPr>
        <w:overflowPunct/>
        <w:autoSpaceDE/>
        <w:autoSpaceDN/>
        <w:adjustRightInd/>
        <w:textAlignment w:val="auto"/>
        <w:rPr>
          <w:rFonts w:ascii="Calibri" w:hAnsi="Calibri" w:cs="Calibri"/>
          <w:color w:val="000000"/>
          <w:sz w:val="22"/>
          <w:szCs w:val="22"/>
        </w:rPr>
      </w:pPr>
      <w:r w:rsidRPr="00F83C40">
        <w:rPr>
          <w:rFonts w:ascii="Calibri" w:hAnsi="Calibri" w:cs="Calibri"/>
          <w:color w:val="000000"/>
          <w:sz w:val="22"/>
          <w:szCs w:val="22"/>
        </w:rPr>
        <w:t xml:space="preserve">Objem refinancovaných a navýšených úvěrů (interně či z jiné instituce) v dubnu stoupl na 6,2 mld. Kč. To je o 58 % více než průměrných 3,9 miliardy refinancovaných v loňském roce a o 188 % nad 2,2 miliardami refinancovanými v roce 2023. Podíl refinancovaných úvěrů na celkovém objemu poskytnutých hypoték pak vzrostl na 19,3 %, což je nad loňským průměrem 16,9 %. Nachází se tak nad 17,2% podílem z let 2022-2023, ovšem stále pod téměř 29% podílem z období 2020-2021, kdy domácnosti refinancovaly za hypoteční sazbu 2,14 %. Zatímco v dubnu 2025 se domácnosti refinancovaly za úrokovou sazbu 4,57 %, což je stále o výrazných 0,5% bodu méně než 5,04 % v dubnu </w:t>
      </w:r>
      <w:r>
        <w:rPr>
          <w:rFonts w:ascii="Calibri" w:hAnsi="Calibri" w:cs="Calibri"/>
          <w:color w:val="000000"/>
          <w:sz w:val="22"/>
          <w:szCs w:val="22"/>
        </w:rPr>
        <w:t>loňského roku</w:t>
      </w:r>
      <w:r w:rsidRPr="00F83C40">
        <w:rPr>
          <w:rFonts w:ascii="Calibri" w:hAnsi="Calibri" w:cs="Calibri"/>
          <w:color w:val="000000"/>
          <w:sz w:val="22"/>
          <w:szCs w:val="22"/>
        </w:rPr>
        <w:t xml:space="preserve">. </w:t>
      </w:r>
    </w:p>
    <w:p w14:paraId="08C8E336" w14:textId="365E0DDB" w:rsidR="008B62E9" w:rsidRDefault="008B62E9" w:rsidP="009A044E">
      <w:pPr>
        <w:rPr>
          <w:rFonts w:ascii="Calibri" w:hAnsi="Calibri" w:cs="Calibri"/>
          <w:b/>
          <w:color w:val="13576B"/>
          <w:sz w:val="23"/>
          <w:szCs w:val="23"/>
        </w:rPr>
      </w:pPr>
    </w:p>
    <w:p w14:paraId="5A1704D2" w14:textId="1F793A93" w:rsidR="009A044E" w:rsidRDefault="009A044E" w:rsidP="009A044E">
      <w:pPr>
        <w:rPr>
          <w:rFonts w:ascii="Calibri" w:hAnsi="Calibri" w:cs="Calibri"/>
          <w:b/>
          <w:color w:val="13576B"/>
          <w:sz w:val="23"/>
          <w:szCs w:val="23"/>
        </w:rPr>
      </w:pPr>
      <w:r w:rsidRPr="008B048B">
        <w:rPr>
          <w:rFonts w:ascii="Calibri" w:hAnsi="Calibri" w:cs="Calibri"/>
          <w:b/>
          <w:color w:val="13576B"/>
          <w:sz w:val="23"/>
          <w:szCs w:val="23"/>
        </w:rPr>
        <w:t xml:space="preserve">Průměrná hypoteční sazba </w:t>
      </w:r>
      <w:r w:rsidR="00F625CA" w:rsidRPr="008B048B">
        <w:rPr>
          <w:rFonts w:ascii="Calibri" w:hAnsi="Calibri" w:cs="Calibri"/>
          <w:b/>
          <w:color w:val="13576B"/>
          <w:sz w:val="23"/>
          <w:szCs w:val="23"/>
        </w:rPr>
        <w:t xml:space="preserve">pokračuje v klesajícím trendu </w:t>
      </w:r>
    </w:p>
    <w:p w14:paraId="6B970EF6" w14:textId="050D6F9F" w:rsidR="008B048B" w:rsidRPr="008B048B" w:rsidRDefault="008B048B" w:rsidP="009A044E">
      <w:pPr>
        <w:rPr>
          <w:rFonts w:ascii="Calibri" w:hAnsi="Calibri" w:cs="Calibri"/>
          <w:b/>
          <w:color w:val="13576B"/>
          <w:sz w:val="23"/>
          <w:szCs w:val="23"/>
        </w:rPr>
      </w:pPr>
    </w:p>
    <w:p w14:paraId="24C2BB28" w14:textId="71BE99AA" w:rsidR="00154B70" w:rsidRDefault="00154B70" w:rsidP="00F625CA">
      <w:pPr>
        <w:rPr>
          <w:rFonts w:ascii="Calibri" w:hAnsi="Calibri" w:cs="Calibri"/>
          <w:color w:val="000000"/>
          <w:sz w:val="22"/>
          <w:szCs w:val="22"/>
        </w:rPr>
      </w:pPr>
      <w:r w:rsidRPr="00154B70">
        <w:rPr>
          <w:rFonts w:ascii="Calibri" w:hAnsi="Calibri" w:cs="Calibri"/>
          <w:b/>
          <w:bCs/>
          <w:color w:val="000000"/>
          <w:sz w:val="22"/>
          <w:szCs w:val="22"/>
        </w:rPr>
        <w:t>Průměrná realizovaná úroková sazba u nových hypoték nepatrně dále klesla na 4,65 % z březnových 4,68 %. Její snížení tak potvrzuje klesající trend pod 5 % naposledy zaznamenaných v červenci 2024</w:t>
      </w:r>
      <w:r w:rsidRPr="00154B70">
        <w:rPr>
          <w:rFonts w:ascii="Calibri" w:hAnsi="Calibri" w:cs="Calibri"/>
          <w:color w:val="000000"/>
          <w:sz w:val="22"/>
          <w:szCs w:val="22"/>
        </w:rPr>
        <w:t>. Její dubnová úroveň je tak o 0,44% bodu níže než 5,09% sazba před rokem, což snižuje měsíční splátky hypotéky přibližně o 1,2 % čistého příjmu žadatele, tedy o 1,1 tis. Kč. Pro srovnání průměrná hodnota hypoteční sazby v roce 2024 dosáhla 5,07 % v porovnání se sazbou 5,81 % v roce 2023.</w:t>
      </w:r>
    </w:p>
    <w:p w14:paraId="2B7EFE49" w14:textId="77777777" w:rsidR="00452B0E" w:rsidRPr="00154B70" w:rsidRDefault="00452B0E" w:rsidP="00F625CA">
      <w:pPr>
        <w:rPr>
          <w:rFonts w:ascii="Calibri" w:hAnsi="Calibri" w:cs="Calibri"/>
          <w:color w:val="000000"/>
          <w:sz w:val="22"/>
          <w:szCs w:val="22"/>
        </w:rPr>
      </w:pPr>
    </w:p>
    <w:p w14:paraId="7847B546" w14:textId="5AC229F6" w:rsidR="00A83BF6" w:rsidRDefault="00A83BF6" w:rsidP="00F625CA">
      <w:pPr>
        <w:rPr>
          <w:rFonts w:ascii="Calibri" w:hAnsi="Calibri" w:cs="Calibri"/>
          <w:bCs/>
          <w:sz w:val="22"/>
          <w:szCs w:val="22"/>
        </w:rPr>
      </w:pPr>
    </w:p>
    <w:p w14:paraId="6492840A" w14:textId="4C77E40A" w:rsidR="005874B8" w:rsidRDefault="005874B8" w:rsidP="005874B8">
      <w:pPr>
        <w:spacing w:after="120"/>
        <w:rPr>
          <w:rFonts w:ascii="Calibri" w:hAnsi="Calibri" w:cs="Calibri"/>
          <w:b/>
          <w:color w:val="13576B"/>
          <w:sz w:val="23"/>
          <w:szCs w:val="23"/>
        </w:rPr>
      </w:pPr>
      <w:r w:rsidRPr="005B4653">
        <w:rPr>
          <w:rFonts w:ascii="Calibri" w:hAnsi="Calibri" w:cs="Calibri"/>
          <w:b/>
          <w:color w:val="13576B"/>
          <w:sz w:val="23"/>
          <w:szCs w:val="23"/>
        </w:rPr>
        <w:t>Graf č. 1: Průměrná hypoteční sazba – nové obchody</w:t>
      </w:r>
    </w:p>
    <w:p w14:paraId="0F619A9F" w14:textId="6334CD12" w:rsidR="0080372E" w:rsidRPr="0080372E" w:rsidRDefault="00154B70" w:rsidP="000B064D">
      <w:pPr>
        <w:rPr>
          <w:rFonts w:ascii="Calibri" w:hAnsi="Calibri" w:cs="Calibri"/>
          <w:bCs/>
          <w:i/>
          <w:iCs/>
          <w:color w:val="13576B"/>
          <w:sz w:val="23"/>
          <w:szCs w:val="23"/>
        </w:rPr>
      </w:pPr>
      <w:r>
        <w:rPr>
          <w:rFonts w:ascii="Calibri" w:hAnsi="Calibri" w:cs="Calibri"/>
          <w:bCs/>
          <w:i/>
          <w:iCs/>
          <w:color w:val="13576B"/>
          <w:sz w:val="23"/>
          <w:szCs w:val="23"/>
        </w:rPr>
        <w:t>Dubnové</w:t>
      </w:r>
      <w:r w:rsidR="0080372E">
        <w:rPr>
          <w:rFonts w:ascii="Calibri" w:hAnsi="Calibri" w:cs="Calibri"/>
          <w:bCs/>
          <w:i/>
          <w:iCs/>
          <w:color w:val="13576B"/>
          <w:sz w:val="23"/>
          <w:szCs w:val="23"/>
        </w:rPr>
        <w:t xml:space="preserve"> výše hypoteční sazby na 4,6</w:t>
      </w:r>
      <w:r>
        <w:rPr>
          <w:rFonts w:ascii="Calibri" w:hAnsi="Calibri" w:cs="Calibri"/>
          <w:bCs/>
          <w:i/>
          <w:iCs/>
          <w:color w:val="13576B"/>
          <w:sz w:val="23"/>
          <w:szCs w:val="23"/>
        </w:rPr>
        <w:t>5</w:t>
      </w:r>
      <w:r w:rsidR="0080372E">
        <w:rPr>
          <w:rFonts w:ascii="Calibri" w:hAnsi="Calibri" w:cs="Calibri"/>
          <w:bCs/>
          <w:i/>
          <w:iCs/>
          <w:color w:val="13576B"/>
          <w:sz w:val="23"/>
          <w:szCs w:val="23"/>
        </w:rPr>
        <w:t xml:space="preserve"> % je </w:t>
      </w:r>
      <w:r>
        <w:rPr>
          <w:rFonts w:ascii="Calibri" w:hAnsi="Calibri" w:cs="Calibri"/>
          <w:bCs/>
          <w:i/>
          <w:iCs/>
          <w:color w:val="13576B"/>
          <w:sz w:val="23"/>
          <w:szCs w:val="23"/>
        </w:rPr>
        <w:t>o necelý</w:t>
      </w:r>
      <w:r w:rsidR="0080372E">
        <w:rPr>
          <w:rFonts w:ascii="Calibri" w:hAnsi="Calibri" w:cs="Calibri"/>
          <w:bCs/>
          <w:i/>
          <w:iCs/>
          <w:color w:val="13576B"/>
          <w:sz w:val="23"/>
          <w:szCs w:val="23"/>
        </w:rPr>
        <w:t xml:space="preserve"> půl procentní bod nižší než před rokem. </w:t>
      </w:r>
    </w:p>
    <w:p w14:paraId="29B8C373" w14:textId="243A4373" w:rsidR="007F690B" w:rsidRPr="002138C0" w:rsidRDefault="00154B70" w:rsidP="005874B8">
      <w:pPr>
        <w:rPr>
          <w:rFonts w:ascii="Calibri" w:hAnsi="Calibri" w:cs="Calibri"/>
          <w:sz w:val="22"/>
          <w:szCs w:val="22"/>
          <w:highlight w:val="yellow"/>
        </w:rPr>
      </w:pPr>
      <w:r w:rsidRPr="00EF43EA">
        <w:rPr>
          <w:rFonts w:ascii="Calibri" w:hAnsi="Calibri" w:cs="Calibri"/>
          <w:noProof/>
          <w:sz w:val="22"/>
          <w:szCs w:val="22"/>
        </w:rPr>
        <w:drawing>
          <wp:inline distT="0" distB="0" distL="0" distR="0" wp14:anchorId="4D17A5EB" wp14:editId="3FD9DE84">
            <wp:extent cx="5153025" cy="3038475"/>
            <wp:effectExtent l="0" t="0" r="9525" b="9525"/>
            <wp:docPr id="16797450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3025" cy="3038475"/>
                    </a:xfrm>
                    <a:prstGeom prst="rect">
                      <a:avLst/>
                    </a:prstGeom>
                    <a:noFill/>
                    <a:ln>
                      <a:noFill/>
                    </a:ln>
                  </pic:spPr>
                </pic:pic>
              </a:graphicData>
            </a:graphic>
          </wp:inline>
        </w:drawing>
      </w:r>
    </w:p>
    <w:p w14:paraId="62D5F729" w14:textId="08370F86" w:rsidR="00691287" w:rsidRPr="00616069" w:rsidRDefault="00691287" w:rsidP="00691287">
      <w:pPr>
        <w:overflowPunct/>
        <w:autoSpaceDE/>
        <w:adjustRightInd/>
        <w:rPr>
          <w:rFonts w:ascii="Calibri Light" w:hAnsi="Calibri Light" w:cs="Calibri Light"/>
          <w:color w:val="13576B"/>
          <w:sz w:val="20"/>
        </w:rPr>
      </w:pPr>
      <w:r w:rsidRPr="002F4CBD">
        <w:rPr>
          <w:rFonts w:ascii="Calibri Light" w:hAnsi="Calibri Light" w:cs="Calibri Light"/>
          <w:color w:val="13576B"/>
          <w:sz w:val="20"/>
        </w:rPr>
        <w:t xml:space="preserve">Pramen: </w:t>
      </w:r>
      <w:r w:rsidR="006F74BF">
        <w:rPr>
          <w:rFonts w:ascii="Calibri Light" w:hAnsi="Calibri Light" w:cs="Calibri Light"/>
          <w:color w:val="13576B"/>
          <w:sz w:val="20"/>
        </w:rPr>
        <w:t xml:space="preserve">ČNB, </w:t>
      </w:r>
      <w:r w:rsidRPr="002F4CBD">
        <w:rPr>
          <w:rFonts w:ascii="Calibri Light" w:hAnsi="Calibri Light" w:cs="Calibri Light"/>
          <w:color w:val="13576B"/>
          <w:sz w:val="20"/>
        </w:rPr>
        <w:t>ČBA Hypomonitor</w:t>
      </w:r>
    </w:p>
    <w:p w14:paraId="31FA0ABF" w14:textId="0D9D88DE" w:rsidR="005874B8" w:rsidRDefault="005874B8" w:rsidP="005874B8">
      <w:pPr>
        <w:rPr>
          <w:rFonts w:ascii="Calibri" w:hAnsi="Calibri" w:cs="Calibri"/>
          <w:sz w:val="22"/>
          <w:szCs w:val="22"/>
          <w:highlight w:val="yellow"/>
        </w:rPr>
      </w:pPr>
    </w:p>
    <w:p w14:paraId="6413F21E" w14:textId="6F16CFAA" w:rsidR="0013679D" w:rsidRPr="00287580" w:rsidRDefault="0013679D" w:rsidP="0013679D">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Pr>
          <w:rFonts w:ascii="Calibri" w:hAnsi="Calibri" w:cs="Calibri"/>
          <w:i/>
          <w:iCs/>
          <w:color w:val="000000" w:themeColor="text1"/>
          <w:sz w:val="22"/>
          <w:szCs w:val="22"/>
        </w:rPr>
        <w:lastRenderedPageBreak/>
        <w:t>„</w:t>
      </w:r>
      <w:r w:rsidRPr="00A42D6B">
        <w:rPr>
          <w:rFonts w:ascii="Calibri" w:hAnsi="Calibri" w:cs="Calibri"/>
          <w:i/>
          <w:iCs/>
          <w:color w:val="000000" w:themeColor="text1"/>
          <w:sz w:val="22"/>
          <w:szCs w:val="22"/>
        </w:rPr>
        <w:t>Zatiaľ to vyzerá na stabilitu trhu s hypotékami. Aj keď objem hypoték vzrástol, čo môže naznačovať mierne oživenie, celková situácia je zatiaľ stabilná a závisí od ekonomických podmienok a úrokových sadzieb v budúcnosti, či nastane výraznejšie oživenie trhu</w:t>
      </w:r>
      <w:r>
        <w:rPr>
          <w:rFonts w:ascii="Calibri" w:hAnsi="Calibri" w:cs="Calibri"/>
          <w:i/>
          <w:iCs/>
          <w:color w:val="000000" w:themeColor="text1"/>
          <w:sz w:val="22"/>
          <w:szCs w:val="22"/>
        </w:rPr>
        <w:t>,</w:t>
      </w:r>
      <w:r w:rsidRPr="001177C9">
        <w:rPr>
          <w:rFonts w:ascii="Calibri" w:hAnsi="Calibri" w:cs="Calibri"/>
          <w:i/>
          <w:iCs/>
          <w:sz w:val="22"/>
          <w:szCs w:val="22"/>
        </w:rPr>
        <w:t xml:space="preserve">“ </w:t>
      </w:r>
      <w:r w:rsidRPr="007F690B">
        <w:rPr>
          <w:rFonts w:ascii="Calibri" w:hAnsi="Calibri" w:cs="Calibri"/>
          <w:sz w:val="22"/>
          <w:szCs w:val="22"/>
        </w:rPr>
        <w:t xml:space="preserve">říká </w:t>
      </w:r>
      <w:r>
        <w:rPr>
          <w:rFonts w:ascii="Calibri" w:hAnsi="Calibri" w:cs="Calibri"/>
          <w:b/>
          <w:bCs/>
          <w:sz w:val="22"/>
          <w:szCs w:val="22"/>
        </w:rPr>
        <w:t>Soňa Holíková</w:t>
      </w:r>
      <w:r w:rsidRPr="007F690B">
        <w:rPr>
          <w:rFonts w:ascii="Calibri" w:hAnsi="Calibri" w:cs="Calibri"/>
          <w:b/>
          <w:bCs/>
          <w:sz w:val="22"/>
          <w:szCs w:val="22"/>
        </w:rPr>
        <w:t xml:space="preserve">, </w:t>
      </w:r>
      <w:r w:rsidRPr="008B62E9">
        <w:rPr>
          <w:rFonts w:ascii="Calibri" w:eastAsia="Calibri" w:hAnsi="Calibri" w:cs="Calibri"/>
          <w:b/>
          <w:bCs/>
          <w:sz w:val="22"/>
          <w:szCs w:val="22"/>
        </w:rPr>
        <w:t xml:space="preserve">manažer hypoték z </w:t>
      </w:r>
      <w:r>
        <w:rPr>
          <w:rFonts w:ascii="Calibri" w:eastAsia="Calibri" w:hAnsi="Calibri" w:cs="Calibri"/>
          <w:b/>
          <w:bCs/>
          <w:sz w:val="22"/>
          <w:szCs w:val="22"/>
        </w:rPr>
        <w:t>mBank</w:t>
      </w:r>
    </w:p>
    <w:p w14:paraId="6C7EAB99" w14:textId="77777777" w:rsidR="0013679D" w:rsidRDefault="0013679D" w:rsidP="00DD1BFF">
      <w:pPr>
        <w:rPr>
          <w:rFonts w:ascii="Calibri" w:hAnsi="Calibri" w:cs="Calibri"/>
          <w:b/>
          <w:bCs/>
          <w:color w:val="000000" w:themeColor="text1"/>
          <w:sz w:val="22"/>
          <w:szCs w:val="22"/>
        </w:rPr>
      </w:pPr>
      <w:bookmarkStart w:id="4" w:name="_Hlk137652102"/>
    </w:p>
    <w:p w14:paraId="2AF139DF" w14:textId="02961B70" w:rsidR="00DD1BFF" w:rsidRPr="00452B0E" w:rsidRDefault="00DD1BFF" w:rsidP="00DD1BFF">
      <w:pPr>
        <w:rPr>
          <w:rFonts w:ascii="Calibri" w:hAnsi="Calibri" w:cs="Calibri"/>
          <w:color w:val="000000" w:themeColor="text1"/>
          <w:sz w:val="22"/>
          <w:szCs w:val="22"/>
        </w:rPr>
      </w:pPr>
      <w:r w:rsidRPr="00452B0E">
        <w:rPr>
          <w:rFonts w:ascii="Calibri" w:hAnsi="Calibri" w:cs="Calibri"/>
          <w:b/>
          <w:bCs/>
          <w:color w:val="000000" w:themeColor="text1"/>
          <w:sz w:val="22"/>
          <w:szCs w:val="22"/>
        </w:rPr>
        <w:t>V uplynulém měsíci byly patrné tři faktory, které ovlivnily směřovaní delších tržních úrokových sazeb,</w:t>
      </w:r>
      <w:r w:rsidRPr="00452B0E">
        <w:rPr>
          <w:rStyle w:val="Znakapoznpodarou"/>
          <w:rFonts w:ascii="Calibri" w:hAnsi="Calibri" w:cs="Calibri"/>
          <w:i/>
          <w:iCs/>
          <w:color w:val="000000" w:themeColor="text1"/>
          <w:sz w:val="22"/>
          <w:szCs w:val="22"/>
        </w:rPr>
        <w:t xml:space="preserve"> </w:t>
      </w:r>
      <w:r w:rsidRPr="00452B0E">
        <w:rPr>
          <w:rStyle w:val="Znakapoznpodarou"/>
          <w:rFonts w:ascii="Calibri" w:hAnsi="Calibri" w:cs="Calibri"/>
          <w:i/>
          <w:iCs/>
          <w:color w:val="000000" w:themeColor="text1"/>
          <w:sz w:val="22"/>
          <w:szCs w:val="22"/>
        </w:rPr>
        <w:footnoteReference w:id="1"/>
      </w:r>
      <w:r w:rsidRPr="00452B0E">
        <w:rPr>
          <w:rFonts w:ascii="Calibri" w:hAnsi="Calibri" w:cs="Calibri"/>
          <w:b/>
          <w:bCs/>
          <w:color w:val="000000" w:themeColor="text1"/>
          <w:sz w:val="22"/>
          <w:szCs w:val="22"/>
        </w:rPr>
        <w:t xml:space="preserve"> které mají klíčový vliv na hypoteční sazby: 1) květnové snížení úrokové sazby ČNB na 3,5 %. Proti tomu ovšem jdou 2) přinejmenším prozatímní uklidnění celních válek; a za 3) česká inflační čísla, která poskytla spíše jestřábí signál pro politiku ČNB. </w:t>
      </w:r>
      <w:r w:rsidRPr="00452B0E">
        <w:rPr>
          <w:rFonts w:ascii="Calibri" w:hAnsi="Calibri" w:cs="Calibri"/>
          <w:color w:val="000000" w:themeColor="text1"/>
          <w:sz w:val="22"/>
          <w:szCs w:val="22"/>
        </w:rPr>
        <w:t xml:space="preserve">Poslední dva z těchto faktorů přispěly k mírné korekci, tedy nárůstu tržních úrokových sazeb po jejich dubnovém propadu, kdy trhy zacenily riziko slabšího ekonomického růstu po představení Trumpových recipročních cel. Například české pětileté úrokové swapy v dubnu poklesly o 0,3% bodu na 3,3 % z březnových 3,6 %. Na druhou stranu se tím ovšem navrátily na úroveň konce léta 2024. Ovšem spíše pozitivní či proinflační data v květnu prozatím navrátila pětileté swapy na 3,4 %. </w:t>
      </w:r>
    </w:p>
    <w:p w14:paraId="0345F2E3" w14:textId="77777777" w:rsidR="00DD1BFF" w:rsidRPr="00452B0E" w:rsidRDefault="00DD1BFF" w:rsidP="00DD1BFF">
      <w:pPr>
        <w:rPr>
          <w:rFonts w:ascii="Calibri" w:hAnsi="Calibri" w:cs="Calibri"/>
          <w:color w:val="FF0000"/>
          <w:sz w:val="22"/>
          <w:szCs w:val="22"/>
        </w:rPr>
      </w:pPr>
    </w:p>
    <w:p w14:paraId="2D839DE5" w14:textId="77777777" w:rsidR="00DD1BFF" w:rsidRPr="00452B0E" w:rsidRDefault="00DD1BFF" w:rsidP="00DD1BFF">
      <w:pPr>
        <w:rPr>
          <w:rFonts w:ascii="Calibri" w:hAnsi="Calibri" w:cs="Calibri"/>
          <w:color w:val="FF0000"/>
          <w:sz w:val="22"/>
          <w:szCs w:val="22"/>
        </w:rPr>
      </w:pPr>
      <w:r w:rsidRPr="00452B0E">
        <w:rPr>
          <w:rFonts w:ascii="Calibri" w:hAnsi="Calibri" w:cs="Calibri"/>
          <w:b/>
          <w:bCs/>
          <w:color w:val="000000" w:themeColor="text1"/>
          <w:sz w:val="22"/>
          <w:szCs w:val="22"/>
        </w:rPr>
        <w:t>Úroková hypoteční sazba na nové hypotéky v dubnu dle Hypomonitoru spadla na 4,65 %. Nacházela se tak přibližně 1,4% bodu na průměrnými tržními swapovými sazbami, což je přibližně o 0,3% bodu nad dlouhodobým průměrem od roku 2014</w:t>
      </w:r>
      <w:r w:rsidRPr="00452B0E">
        <w:rPr>
          <w:rFonts w:ascii="Calibri" w:hAnsi="Calibri" w:cs="Calibri"/>
          <w:color w:val="000000" w:themeColor="text1"/>
          <w:sz w:val="22"/>
          <w:szCs w:val="22"/>
        </w:rPr>
        <w:t>. Pokud nedojde k výraznější korekci tržních úrokových sazeb směrem vzhůru (což by bylo možné ve scénáři vymizení rizika celních válek, tedy se silnějším růstem ekonomiky), pak by současný rozdíl mezi hypoteční a tržní sazbou měl přispět k dalšímu poklesu hypoteční sazby.</w:t>
      </w:r>
    </w:p>
    <w:p w14:paraId="2D4D3336" w14:textId="7C73237D" w:rsidR="00DD1BFF" w:rsidRPr="00F94C20" w:rsidRDefault="00DD1BFF" w:rsidP="00DD1BFF">
      <w:pPr>
        <w:rPr>
          <w:rFonts w:ascii="Calibri" w:hAnsi="Calibri" w:cs="Calibri"/>
          <w:color w:val="FF0000"/>
          <w:sz w:val="22"/>
          <w:szCs w:val="22"/>
        </w:rPr>
      </w:pPr>
    </w:p>
    <w:bookmarkEnd w:id="4"/>
    <w:p w14:paraId="012631B7" w14:textId="77777777" w:rsidR="0076316D" w:rsidRPr="00143BF5" w:rsidRDefault="0076316D" w:rsidP="0076316D">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452B0E">
        <w:rPr>
          <w:rFonts w:ascii="Calibri" w:eastAsia="Calibri" w:hAnsi="Calibri" w:cs="Calibri"/>
          <w:i/>
          <w:iCs/>
          <w:color w:val="000000" w:themeColor="text1"/>
          <w:sz w:val="22"/>
          <w:szCs w:val="22"/>
        </w:rPr>
        <w:t xml:space="preserve">„Udržení současné dynamika nových hypotečních úvěrů by přineslo kreditní impulz v rozsahu 3,4 % HDP. To by bylo výraznější oživení po 1,5% a 2,7% impulsech v letech 2023 a 2024 a představovalo by to tak návrat k impulzům z let 2017-2018. Ovšem počet nových hypoték by letos asi spíše dosáhl roku 2019, kdy nové hypotéky dodaly do ekonomiky impulz v rozsahu 2,7 % HDP,“ </w:t>
      </w:r>
      <w:r w:rsidRPr="00452B0E">
        <w:rPr>
          <w:rFonts w:ascii="Calibri" w:eastAsia="Calibri" w:hAnsi="Calibri" w:cs="Calibri"/>
          <w:b/>
          <w:bCs/>
          <w:sz w:val="22"/>
          <w:szCs w:val="22"/>
        </w:rPr>
        <w:t>přidává Jaromír Šindel, hlavní ekonom České bankovní asociace.</w:t>
      </w:r>
    </w:p>
    <w:p w14:paraId="3809B927" w14:textId="68257C80" w:rsidR="000B064D" w:rsidRDefault="000B064D" w:rsidP="005874B8">
      <w:pPr>
        <w:rPr>
          <w:rFonts w:ascii="Calibri" w:hAnsi="Calibri" w:cs="Calibri"/>
          <w:sz w:val="22"/>
          <w:szCs w:val="22"/>
          <w:highlight w:val="yellow"/>
        </w:rPr>
      </w:pPr>
    </w:p>
    <w:p w14:paraId="4C111FFA" w14:textId="1D2CAEDA" w:rsidR="00A9017B" w:rsidRPr="00A02F5D" w:rsidRDefault="00A9017B" w:rsidP="00B04FE2">
      <w:pPr>
        <w:rPr>
          <w:rFonts w:ascii="Calibri" w:hAnsi="Calibri" w:cs="Calibri"/>
          <w:b/>
          <w:color w:val="13576B"/>
          <w:sz w:val="24"/>
          <w:szCs w:val="24"/>
        </w:rPr>
      </w:pPr>
      <w:bookmarkStart w:id="5" w:name="_Hlk100672905"/>
    </w:p>
    <w:p w14:paraId="72E83631" w14:textId="1D08BEB1" w:rsidR="00B04FE2" w:rsidRPr="00A02F5D" w:rsidRDefault="00E4296A" w:rsidP="00B04FE2">
      <w:pPr>
        <w:rPr>
          <w:rFonts w:ascii="Calibri" w:hAnsi="Calibri" w:cs="Calibri"/>
          <w:b/>
          <w:color w:val="13576B"/>
          <w:sz w:val="24"/>
          <w:szCs w:val="24"/>
        </w:rPr>
      </w:pPr>
      <w:r w:rsidRPr="00A02F5D">
        <w:rPr>
          <w:rFonts w:ascii="Calibri" w:hAnsi="Calibri" w:cs="Calibri"/>
          <w:b/>
          <w:color w:val="13576B"/>
          <w:sz w:val="24"/>
          <w:szCs w:val="24"/>
        </w:rPr>
        <w:t xml:space="preserve">Průměrná velikost </w:t>
      </w:r>
      <w:r w:rsidR="00D73AAF" w:rsidRPr="00A02F5D">
        <w:rPr>
          <w:rFonts w:ascii="Calibri" w:hAnsi="Calibri" w:cs="Calibri"/>
          <w:b/>
          <w:color w:val="13576B"/>
          <w:sz w:val="24"/>
          <w:szCs w:val="24"/>
        </w:rPr>
        <w:t xml:space="preserve">hypotéky </w:t>
      </w:r>
      <w:r w:rsidR="00AF2306">
        <w:rPr>
          <w:rFonts w:ascii="Calibri" w:hAnsi="Calibri" w:cs="Calibri"/>
          <w:b/>
          <w:color w:val="13576B"/>
          <w:sz w:val="24"/>
          <w:szCs w:val="24"/>
        </w:rPr>
        <w:t>v</w:t>
      </w:r>
      <w:r w:rsidR="00436F5C">
        <w:rPr>
          <w:rFonts w:ascii="Calibri" w:hAnsi="Calibri" w:cs="Calibri"/>
          <w:b/>
          <w:color w:val="13576B"/>
          <w:sz w:val="24"/>
          <w:szCs w:val="24"/>
        </w:rPr>
        <w:t> dubnu nepatrně stoupla, ale více stoupla u hypoték určených ke koupi</w:t>
      </w:r>
    </w:p>
    <w:p w14:paraId="28ED20F8" w14:textId="7EED3CD7" w:rsidR="00B31E3C" w:rsidRPr="00A02F5D" w:rsidRDefault="00B31E3C" w:rsidP="00B04FE2">
      <w:pPr>
        <w:rPr>
          <w:rFonts w:ascii="Calibri" w:hAnsi="Calibri" w:cs="Calibri"/>
          <w:b/>
          <w:color w:val="13576B"/>
          <w:sz w:val="24"/>
          <w:szCs w:val="24"/>
        </w:rPr>
      </w:pPr>
    </w:p>
    <w:p w14:paraId="6DD27597" w14:textId="5F4AF973" w:rsidR="00436F5C" w:rsidRPr="00436F5C" w:rsidRDefault="00436F5C" w:rsidP="00436F5C">
      <w:pPr>
        <w:overflowPunct/>
        <w:autoSpaceDE/>
        <w:autoSpaceDN/>
        <w:adjustRightInd/>
        <w:textAlignment w:val="auto"/>
        <w:rPr>
          <w:rFonts w:ascii="Calibri" w:hAnsi="Calibri" w:cs="Calibri"/>
          <w:color w:val="000000"/>
          <w:sz w:val="22"/>
          <w:szCs w:val="22"/>
        </w:rPr>
      </w:pPr>
      <w:r w:rsidRPr="00436F5C">
        <w:rPr>
          <w:rFonts w:ascii="Calibri" w:hAnsi="Calibri" w:cs="Calibri"/>
          <w:b/>
          <w:bCs/>
          <w:color w:val="000000"/>
          <w:sz w:val="22"/>
          <w:szCs w:val="22"/>
        </w:rPr>
        <w:t>Průměrná velikost skutečně nově poskytnuté hypotéky v dubnu nepatrně stoupla na 4,08 mil. Kč</w:t>
      </w:r>
      <w:r w:rsidRPr="00436F5C">
        <w:rPr>
          <w:rFonts w:ascii="Calibri" w:hAnsi="Calibri" w:cs="Calibri"/>
          <w:color w:val="000000"/>
          <w:sz w:val="22"/>
          <w:szCs w:val="22"/>
        </w:rPr>
        <w:t>. Její velikost je tak o 14 % vyšší než 3,59 mil. Kč před rokem. To odráží kombinaci vyšších cen nemovitostí</w:t>
      </w:r>
      <w:r>
        <w:rPr>
          <w:rFonts w:ascii="Calibri" w:hAnsi="Calibri" w:cs="Calibri"/>
          <w:color w:val="000000"/>
          <w:sz w:val="22"/>
          <w:szCs w:val="22"/>
        </w:rPr>
        <w:t xml:space="preserve"> (viz graf níže s vyšším nárůstem průměrné hypotéky na koupi), </w:t>
      </w:r>
      <w:r w:rsidRPr="00436F5C">
        <w:rPr>
          <w:rFonts w:ascii="Calibri" w:hAnsi="Calibri" w:cs="Calibri"/>
          <w:color w:val="000000"/>
          <w:sz w:val="22"/>
          <w:szCs w:val="22"/>
        </w:rPr>
        <w:t xml:space="preserve">růstu mezd a nižších úrokových sazeb. Odhlédneme-li od mimořádné hodnoty téměř 4 mil. Kč v srpnu 2024 (vliv nové legislativy), tak průměrná hodnota od </w:t>
      </w:r>
      <w:r>
        <w:rPr>
          <w:rFonts w:ascii="Calibri" w:hAnsi="Calibri" w:cs="Calibri"/>
          <w:color w:val="000000"/>
          <w:sz w:val="22"/>
          <w:szCs w:val="22"/>
        </w:rPr>
        <w:t>ledna</w:t>
      </w:r>
      <w:r w:rsidRPr="00436F5C">
        <w:rPr>
          <w:rFonts w:ascii="Calibri" w:hAnsi="Calibri" w:cs="Calibri"/>
          <w:color w:val="000000"/>
          <w:sz w:val="22"/>
          <w:szCs w:val="22"/>
        </w:rPr>
        <w:t xml:space="preserve"> postupně roste a o 18 % převyšuje předcházející rekordní úroveň z listopadu 2021 ve výši 3,46 mil. Kč. Dosáhnout na vyšší hypotéku umožňuje postupný pokles hypotečních sazeb</w:t>
      </w:r>
      <w:r>
        <w:rPr>
          <w:rFonts w:ascii="Calibri" w:hAnsi="Calibri" w:cs="Calibri"/>
          <w:color w:val="000000"/>
          <w:sz w:val="22"/>
          <w:szCs w:val="22"/>
        </w:rPr>
        <w:t>,</w:t>
      </w:r>
      <w:r w:rsidRPr="00436F5C">
        <w:rPr>
          <w:rFonts w:ascii="Calibri" w:hAnsi="Calibri" w:cs="Calibri"/>
          <w:color w:val="000000"/>
          <w:sz w:val="22"/>
          <w:szCs w:val="22"/>
        </w:rPr>
        <w:t xml:space="preserve"> či </w:t>
      </w:r>
      <w:r>
        <w:rPr>
          <w:rFonts w:ascii="Calibri" w:hAnsi="Calibri" w:cs="Calibri"/>
          <w:color w:val="000000"/>
          <w:sz w:val="22"/>
          <w:szCs w:val="22"/>
        </w:rPr>
        <w:t xml:space="preserve">postupný růst reálných příjmů domácností, společně s </w:t>
      </w:r>
      <w:r w:rsidRPr="00436F5C">
        <w:rPr>
          <w:rFonts w:ascii="Calibri" w:hAnsi="Calibri" w:cs="Calibri"/>
          <w:color w:val="000000"/>
          <w:sz w:val="22"/>
          <w:szCs w:val="22"/>
        </w:rPr>
        <w:t>pokračující</w:t>
      </w:r>
      <w:r>
        <w:rPr>
          <w:rFonts w:ascii="Calibri" w:hAnsi="Calibri" w:cs="Calibri"/>
          <w:color w:val="000000"/>
          <w:sz w:val="22"/>
          <w:szCs w:val="22"/>
        </w:rPr>
        <w:t>m</w:t>
      </w:r>
      <w:r w:rsidRPr="00436F5C">
        <w:rPr>
          <w:rFonts w:ascii="Calibri" w:hAnsi="Calibri" w:cs="Calibri"/>
          <w:color w:val="000000"/>
          <w:sz w:val="22"/>
          <w:szCs w:val="22"/>
        </w:rPr>
        <w:t xml:space="preserve"> uvolnění</w:t>
      </w:r>
      <w:r>
        <w:rPr>
          <w:rFonts w:ascii="Calibri" w:hAnsi="Calibri" w:cs="Calibri"/>
          <w:color w:val="000000"/>
          <w:sz w:val="22"/>
          <w:szCs w:val="22"/>
        </w:rPr>
        <w:t>m</w:t>
      </w:r>
      <w:r w:rsidRPr="00436F5C">
        <w:rPr>
          <w:rFonts w:ascii="Calibri" w:hAnsi="Calibri" w:cs="Calibri"/>
          <w:color w:val="000000"/>
          <w:sz w:val="22"/>
          <w:szCs w:val="22"/>
        </w:rPr>
        <w:t xml:space="preserve"> makroobezřetnostních příjmových limitů ze strany ČNB. Výše hypotéky pak souvisí také s vývojem cen nemovitostí, které v loňskem roce vyrostly o více než 10 % meziročně (viz </w:t>
      </w:r>
      <w:hyperlink r:id="rId12" w:history="1">
        <w:r w:rsidRPr="00436F5C">
          <w:rPr>
            <w:rStyle w:val="Hypertextovodkaz"/>
            <w:rFonts w:ascii="Calibri" w:hAnsi="Calibri" w:cs="Calibri"/>
            <w:sz w:val="22"/>
            <w:szCs w:val="22"/>
          </w:rPr>
          <w:t>ČBA Monitor</w:t>
        </w:r>
      </w:hyperlink>
      <w:r w:rsidRPr="00436F5C">
        <w:rPr>
          <w:rFonts w:ascii="Calibri" w:hAnsi="Calibri" w:cs="Calibri"/>
          <w:color w:val="000000"/>
          <w:sz w:val="22"/>
          <w:szCs w:val="22"/>
        </w:rPr>
        <w:t xml:space="preserve">). </w:t>
      </w:r>
    </w:p>
    <w:p w14:paraId="0D90987E" w14:textId="77777777" w:rsidR="00436F5C" w:rsidRDefault="00436F5C" w:rsidP="0033440C">
      <w:pPr>
        <w:overflowPunct/>
        <w:autoSpaceDE/>
        <w:autoSpaceDN/>
        <w:adjustRightInd/>
        <w:textAlignment w:val="auto"/>
        <w:rPr>
          <w:rFonts w:ascii="Calibri" w:hAnsi="Calibri" w:cs="Calibri"/>
          <w:color w:val="000000"/>
          <w:sz w:val="22"/>
          <w:szCs w:val="22"/>
        </w:rPr>
      </w:pPr>
    </w:p>
    <w:p w14:paraId="1D487695" w14:textId="77777777" w:rsidR="00436F5C" w:rsidRDefault="00436F5C" w:rsidP="00436F5C">
      <w:pPr>
        <w:spacing w:after="120"/>
        <w:rPr>
          <w:rFonts w:ascii="Calibri" w:hAnsi="Calibri" w:cs="Calibri"/>
          <w:b/>
          <w:color w:val="13576B"/>
          <w:sz w:val="23"/>
          <w:szCs w:val="23"/>
        </w:rPr>
      </w:pPr>
      <w:r w:rsidRPr="00C42E87">
        <w:rPr>
          <w:rFonts w:ascii="Calibri" w:hAnsi="Calibri" w:cs="Calibri"/>
          <w:b/>
          <w:color w:val="13576B"/>
          <w:sz w:val="23"/>
          <w:szCs w:val="23"/>
        </w:rPr>
        <w:t>Graf č. 2: Průměrná výše skutečně nově poskytnuté hypotéky podle účelu</w:t>
      </w:r>
    </w:p>
    <w:p w14:paraId="7FF9E8C0" w14:textId="5E871657" w:rsidR="00436F5C" w:rsidRPr="006C6628" w:rsidRDefault="00436F5C" w:rsidP="00436F5C">
      <w:pPr>
        <w:rPr>
          <w:rFonts w:ascii="Calibri" w:hAnsi="Calibri" w:cs="Calibri"/>
          <w:bCs/>
          <w:i/>
          <w:iCs/>
          <w:color w:val="13576B"/>
          <w:sz w:val="23"/>
          <w:szCs w:val="23"/>
        </w:rPr>
      </w:pPr>
      <w:r>
        <w:rPr>
          <w:rFonts w:ascii="Calibri" w:hAnsi="Calibri" w:cs="Calibri"/>
          <w:bCs/>
          <w:i/>
          <w:iCs/>
          <w:color w:val="13576B"/>
          <w:sz w:val="23"/>
          <w:szCs w:val="23"/>
        </w:rPr>
        <w:t>Mírné dubnové zvýšení průměrné výše hypotéky ovšem skrývá vyšší průměrnou výši u hypotéky ke koupi na úrovni 4,16 mil. Kč.</w:t>
      </w:r>
    </w:p>
    <w:p w14:paraId="3162F78D" w14:textId="11A42A22" w:rsidR="00436F5C" w:rsidRPr="002138C0" w:rsidRDefault="00436F5C" w:rsidP="00436F5C">
      <w:pPr>
        <w:rPr>
          <w:rFonts w:ascii="Calibri" w:hAnsi="Calibri" w:cs="Calibri"/>
          <w:sz w:val="22"/>
          <w:szCs w:val="22"/>
          <w:highlight w:val="yellow"/>
        </w:rPr>
      </w:pPr>
      <w:r w:rsidRPr="00EF43EA">
        <w:rPr>
          <w:rFonts w:ascii="Calibri" w:hAnsi="Calibri" w:cs="Calibri"/>
          <w:noProof/>
          <w:sz w:val="22"/>
          <w:szCs w:val="22"/>
        </w:rPr>
        <w:lastRenderedPageBreak/>
        <w:drawing>
          <wp:inline distT="0" distB="0" distL="0" distR="0" wp14:anchorId="32EC32D7" wp14:editId="17537535">
            <wp:extent cx="4876800" cy="2843526"/>
            <wp:effectExtent l="0" t="0" r="0" b="0"/>
            <wp:docPr id="1953785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1463" cy="2846245"/>
                    </a:xfrm>
                    <a:prstGeom prst="rect">
                      <a:avLst/>
                    </a:prstGeom>
                    <a:noFill/>
                    <a:ln>
                      <a:noFill/>
                    </a:ln>
                  </pic:spPr>
                </pic:pic>
              </a:graphicData>
            </a:graphic>
          </wp:inline>
        </w:drawing>
      </w:r>
    </w:p>
    <w:p w14:paraId="3CBFA1FB" w14:textId="77777777" w:rsidR="00436F5C" w:rsidRPr="00616069" w:rsidRDefault="00436F5C" w:rsidP="00436F5C">
      <w:pPr>
        <w:overflowPunct/>
        <w:autoSpaceDE/>
        <w:adjustRightInd/>
        <w:rPr>
          <w:rFonts w:ascii="Calibri Light" w:hAnsi="Calibri Light" w:cs="Calibri Light"/>
          <w:color w:val="13576B"/>
          <w:sz w:val="20"/>
        </w:rPr>
      </w:pPr>
      <w:r w:rsidRPr="002F4CBD">
        <w:rPr>
          <w:rFonts w:ascii="Calibri Light" w:hAnsi="Calibri Light" w:cs="Calibri Light"/>
          <w:color w:val="13576B"/>
          <w:sz w:val="20"/>
        </w:rPr>
        <w:t xml:space="preserve">Pramen: </w:t>
      </w:r>
      <w:r>
        <w:rPr>
          <w:rFonts w:ascii="Calibri Light" w:hAnsi="Calibri Light" w:cs="Calibri Light"/>
          <w:color w:val="13576B"/>
          <w:sz w:val="20"/>
        </w:rPr>
        <w:t xml:space="preserve">ČNB, </w:t>
      </w:r>
      <w:r w:rsidRPr="002F4CBD">
        <w:rPr>
          <w:rFonts w:ascii="Calibri Light" w:hAnsi="Calibri Light" w:cs="Calibri Light"/>
          <w:color w:val="13576B"/>
          <w:sz w:val="20"/>
        </w:rPr>
        <w:t>ČBA Hypomonitor</w:t>
      </w:r>
    </w:p>
    <w:p w14:paraId="603646D6" w14:textId="77777777" w:rsidR="00436F5C" w:rsidRPr="0033440C" w:rsidRDefault="00436F5C" w:rsidP="0033440C">
      <w:pPr>
        <w:overflowPunct/>
        <w:autoSpaceDE/>
        <w:autoSpaceDN/>
        <w:adjustRightInd/>
        <w:textAlignment w:val="auto"/>
        <w:rPr>
          <w:rFonts w:ascii="Calibri" w:hAnsi="Calibri" w:cs="Calibri"/>
          <w:color w:val="000000"/>
          <w:sz w:val="22"/>
          <w:szCs w:val="22"/>
        </w:rPr>
      </w:pPr>
    </w:p>
    <w:p w14:paraId="4E462F23" w14:textId="77777777" w:rsidR="005343BA" w:rsidRDefault="005343BA" w:rsidP="00263207">
      <w:pPr>
        <w:rPr>
          <w:rFonts w:ascii="Calibri" w:hAnsi="Calibri" w:cs="Calibri"/>
          <w:color w:val="000000" w:themeColor="text1"/>
          <w:sz w:val="22"/>
          <w:szCs w:val="22"/>
        </w:rPr>
      </w:pPr>
    </w:p>
    <w:p w14:paraId="45F044CF" w14:textId="77777777" w:rsidR="005343BA" w:rsidRDefault="005343BA" w:rsidP="005343BA">
      <w:pPr>
        <w:rPr>
          <w:rFonts w:ascii="Calibri" w:hAnsi="Calibri" w:cs="Calibri"/>
          <w:b/>
          <w:color w:val="13576B"/>
          <w:sz w:val="24"/>
          <w:szCs w:val="24"/>
        </w:rPr>
      </w:pPr>
      <w:r w:rsidRPr="00AF2306">
        <w:rPr>
          <w:rFonts w:ascii="Calibri" w:hAnsi="Calibri" w:cs="Calibri"/>
          <w:b/>
          <w:color w:val="13576B"/>
          <w:sz w:val="24"/>
          <w:szCs w:val="24"/>
        </w:rPr>
        <w:t>Dopad na průměrnou splátku</w:t>
      </w:r>
    </w:p>
    <w:p w14:paraId="50D3F3A4" w14:textId="77777777" w:rsidR="005343BA" w:rsidRDefault="005343BA" w:rsidP="00263207">
      <w:pPr>
        <w:rPr>
          <w:rFonts w:ascii="Calibri" w:hAnsi="Calibri" w:cs="Calibri"/>
          <w:color w:val="000000" w:themeColor="text1"/>
          <w:sz w:val="22"/>
          <w:szCs w:val="22"/>
        </w:rPr>
      </w:pPr>
    </w:p>
    <w:p w14:paraId="1538D949" w14:textId="3E0ED00B" w:rsidR="00436F5C" w:rsidRDefault="00436F5C" w:rsidP="00436F5C">
      <w:pPr>
        <w:rPr>
          <w:rFonts w:ascii="Calibri" w:hAnsi="Calibri" w:cs="Calibri"/>
          <w:color w:val="000000" w:themeColor="text1"/>
          <w:sz w:val="22"/>
          <w:szCs w:val="22"/>
        </w:rPr>
      </w:pPr>
      <w:r w:rsidRPr="00436F5C">
        <w:rPr>
          <w:rFonts w:ascii="Calibri" w:hAnsi="Calibri" w:cs="Calibri"/>
          <w:b/>
          <w:bCs/>
          <w:color w:val="000000" w:themeColor="text1"/>
          <w:sz w:val="22"/>
          <w:szCs w:val="22"/>
        </w:rPr>
        <w:t xml:space="preserve">Kombinace poklesu úrokové sazby a vyšší průměrné výše hypotéky v dubnu 2025 ve srovnání s průměrnými hodnotami z roku 2024 zvýšily průměrnou měsíční splátku hypotéky o 1,3 tis. Kč. </w:t>
      </w:r>
      <w:r w:rsidRPr="00436F5C">
        <w:rPr>
          <w:rFonts w:ascii="Calibri" w:hAnsi="Calibri" w:cs="Calibri"/>
          <w:color w:val="000000" w:themeColor="text1"/>
          <w:sz w:val="22"/>
          <w:szCs w:val="22"/>
        </w:rPr>
        <w:t xml:space="preserve">Scénáře vývoje měsíční splátky pro různé délky splatnosti hypotéky znázorňuje tabulka č. 2. Ta napovídá, že pokles hypotečních sazeb přes o 0,4% bodu vůči jejich průměrné výši 5,07 % v roce 2024 přinesl, pro průměrnou velikost hypotéky při jejím obvyklém přibližně 26,6letém splácení, snížení měsíční splátky o více než 1000 Kč na přibližně 22,3 tis. Kč, tedy o 1,1 % čistého příjmu žadatele v porovnání s průměrnou splátkou v minulém roce. Ve srovnání s průměrnou hypoteční sazbou 5,81 % v roce 2023 dosáhla úspora kvůli úrokové sazbě o více než 2800 Kč, což je ovšem opět pro aktuální hodnotu průměrné nové hypotéky. </w:t>
      </w:r>
    </w:p>
    <w:p w14:paraId="6C463B66" w14:textId="77777777" w:rsidR="00436F5C" w:rsidRPr="00436F5C" w:rsidRDefault="00436F5C" w:rsidP="00436F5C">
      <w:pPr>
        <w:rPr>
          <w:rFonts w:ascii="Calibri" w:hAnsi="Calibri" w:cs="Calibri"/>
          <w:color w:val="000000" w:themeColor="text1"/>
          <w:sz w:val="22"/>
          <w:szCs w:val="22"/>
        </w:rPr>
      </w:pPr>
    </w:p>
    <w:p w14:paraId="40F47254" w14:textId="664BA2BF" w:rsidR="00436F5C" w:rsidRDefault="00436F5C" w:rsidP="00436F5C">
      <w:pPr>
        <w:rPr>
          <w:rFonts w:ascii="Calibri" w:hAnsi="Calibri" w:cs="Calibri"/>
          <w:color w:val="000000" w:themeColor="text1"/>
          <w:sz w:val="22"/>
          <w:szCs w:val="22"/>
        </w:rPr>
      </w:pPr>
      <w:r w:rsidRPr="00436F5C">
        <w:rPr>
          <w:rFonts w:ascii="Calibri" w:hAnsi="Calibri" w:cs="Calibri"/>
          <w:color w:val="000000" w:themeColor="text1"/>
          <w:sz w:val="22"/>
          <w:szCs w:val="22"/>
        </w:rPr>
        <w:t xml:space="preserve">Ovšem současná průměrná výše hypotéky je o 11 % vyšší než její průměrná výše v roce 2024, což přispívá k </w:t>
      </w:r>
      <w:r w:rsidR="00A42D6B" w:rsidRPr="00436F5C">
        <w:rPr>
          <w:rFonts w:ascii="Calibri" w:hAnsi="Calibri" w:cs="Calibri"/>
          <w:color w:val="000000" w:themeColor="text1"/>
          <w:sz w:val="22"/>
          <w:szCs w:val="22"/>
        </w:rPr>
        <w:t>navýšení měsíční</w:t>
      </w:r>
      <w:r w:rsidRPr="00436F5C">
        <w:rPr>
          <w:rFonts w:ascii="Calibri" w:hAnsi="Calibri" w:cs="Calibri"/>
          <w:color w:val="000000" w:themeColor="text1"/>
          <w:sz w:val="22"/>
          <w:szCs w:val="22"/>
        </w:rPr>
        <w:t xml:space="preserve"> splátky o 2,2 tis. Kč ve srovnání s průměrnou měsíční splátkou v minulém roce navázanou na loňskou průměrnou výši hypotéky ovšem při současné úrokové sazbě.  Splátka hypotéky ve výši jednoho milionu korun s 30letou splatností se se současnými úrokovými sazbami pohybuje okolo 5,2 tisíce Kč. </w:t>
      </w:r>
    </w:p>
    <w:p w14:paraId="073D20DE" w14:textId="77777777" w:rsidR="00436F5C" w:rsidRPr="00436F5C" w:rsidRDefault="00436F5C" w:rsidP="00436F5C">
      <w:pPr>
        <w:rPr>
          <w:rFonts w:ascii="Calibri" w:hAnsi="Calibri" w:cs="Calibri"/>
          <w:color w:val="000000" w:themeColor="text1"/>
          <w:sz w:val="22"/>
          <w:szCs w:val="22"/>
        </w:rPr>
      </w:pPr>
    </w:p>
    <w:p w14:paraId="6271D812" w14:textId="7CD2CBD1" w:rsidR="00436F5C" w:rsidRPr="00436F5C" w:rsidRDefault="00436F5C" w:rsidP="00436F5C">
      <w:pPr>
        <w:rPr>
          <w:rFonts w:ascii="Calibri" w:hAnsi="Calibri" w:cs="Calibri"/>
          <w:color w:val="000000" w:themeColor="text1"/>
          <w:sz w:val="22"/>
          <w:szCs w:val="22"/>
        </w:rPr>
      </w:pPr>
      <w:r w:rsidRPr="00436F5C">
        <w:rPr>
          <w:rFonts w:ascii="Calibri" w:hAnsi="Calibri" w:cs="Calibri"/>
          <w:color w:val="000000" w:themeColor="text1"/>
          <w:sz w:val="22"/>
          <w:szCs w:val="22"/>
        </w:rPr>
        <w:t>Naopak, ve srovnání s průměrnou 2,8% úrokovou hypoteční sazbou pro nové hypotéky v roce 2019, tak současná hypoteční sazba pro refinancování ve výši 4,57 % při zkrácení splatnosti úvěru zvedá měsíční splátky u průměrné hypotéky přibližně o více než 1800 Kč, tedy asi o 3,8 % současné hrubé průměrné mzdy.</w:t>
      </w:r>
    </w:p>
    <w:p w14:paraId="221FEE89" w14:textId="77777777" w:rsidR="00436F5C" w:rsidRDefault="00436F5C" w:rsidP="00436F5C">
      <w:pPr>
        <w:rPr>
          <w:rFonts w:ascii="Calibri" w:hAnsi="Calibri" w:cs="Calibri"/>
          <w:b/>
          <w:bCs/>
          <w:color w:val="000000" w:themeColor="text1"/>
          <w:sz w:val="22"/>
          <w:szCs w:val="22"/>
        </w:rPr>
      </w:pPr>
    </w:p>
    <w:p w14:paraId="743A0E3C" w14:textId="77777777" w:rsidR="00EF43EA" w:rsidRDefault="00EF43EA" w:rsidP="00436F5C">
      <w:pPr>
        <w:rPr>
          <w:rFonts w:ascii="Calibri" w:hAnsi="Calibri" w:cs="Calibri"/>
          <w:b/>
          <w:bCs/>
          <w:color w:val="000000" w:themeColor="text1"/>
          <w:sz w:val="22"/>
          <w:szCs w:val="22"/>
        </w:rPr>
      </w:pPr>
    </w:p>
    <w:p w14:paraId="0B67BA2A" w14:textId="77777777" w:rsidR="00EF43EA" w:rsidRDefault="00EF43EA" w:rsidP="00436F5C">
      <w:pPr>
        <w:rPr>
          <w:rFonts w:ascii="Calibri" w:hAnsi="Calibri" w:cs="Calibri"/>
          <w:b/>
          <w:bCs/>
          <w:color w:val="000000" w:themeColor="text1"/>
          <w:sz w:val="22"/>
          <w:szCs w:val="22"/>
        </w:rPr>
      </w:pPr>
    </w:p>
    <w:p w14:paraId="0A73DC60" w14:textId="77777777" w:rsidR="00EF43EA" w:rsidRDefault="00EF43EA" w:rsidP="00436F5C">
      <w:pPr>
        <w:rPr>
          <w:rFonts w:ascii="Calibri" w:hAnsi="Calibri" w:cs="Calibri"/>
          <w:b/>
          <w:bCs/>
          <w:color w:val="000000" w:themeColor="text1"/>
          <w:sz w:val="22"/>
          <w:szCs w:val="22"/>
        </w:rPr>
      </w:pPr>
    </w:p>
    <w:p w14:paraId="0382F514" w14:textId="77777777" w:rsidR="00EF43EA" w:rsidRDefault="00EF43EA" w:rsidP="00436F5C">
      <w:pPr>
        <w:rPr>
          <w:rFonts w:ascii="Calibri" w:hAnsi="Calibri" w:cs="Calibri"/>
          <w:b/>
          <w:bCs/>
          <w:color w:val="000000" w:themeColor="text1"/>
          <w:sz w:val="22"/>
          <w:szCs w:val="22"/>
        </w:rPr>
      </w:pPr>
    </w:p>
    <w:p w14:paraId="3F74A82B" w14:textId="77777777" w:rsidR="00EF43EA" w:rsidRDefault="00EF43EA" w:rsidP="00436F5C">
      <w:pPr>
        <w:rPr>
          <w:rFonts w:ascii="Calibri" w:hAnsi="Calibri" w:cs="Calibri"/>
          <w:b/>
          <w:bCs/>
          <w:color w:val="000000" w:themeColor="text1"/>
          <w:sz w:val="22"/>
          <w:szCs w:val="22"/>
        </w:rPr>
      </w:pPr>
    </w:p>
    <w:p w14:paraId="42B6C0C2" w14:textId="77777777" w:rsidR="00EF43EA" w:rsidRDefault="00EF43EA" w:rsidP="00436F5C">
      <w:pPr>
        <w:rPr>
          <w:rFonts w:ascii="Calibri" w:hAnsi="Calibri" w:cs="Calibri"/>
          <w:b/>
          <w:bCs/>
          <w:color w:val="000000" w:themeColor="text1"/>
          <w:sz w:val="22"/>
          <w:szCs w:val="22"/>
        </w:rPr>
      </w:pPr>
    </w:p>
    <w:p w14:paraId="2A288EED" w14:textId="77777777" w:rsidR="00EF43EA" w:rsidRDefault="00EF43EA" w:rsidP="00436F5C">
      <w:pPr>
        <w:rPr>
          <w:rFonts w:ascii="Calibri" w:hAnsi="Calibri" w:cs="Calibri"/>
          <w:b/>
          <w:bCs/>
          <w:color w:val="000000" w:themeColor="text1"/>
          <w:sz w:val="22"/>
          <w:szCs w:val="22"/>
        </w:rPr>
      </w:pPr>
    </w:p>
    <w:p w14:paraId="1A267256" w14:textId="4EA001DC" w:rsidR="009D3067" w:rsidRPr="00515ECA" w:rsidRDefault="009D3067" w:rsidP="007F41A0">
      <w:pPr>
        <w:overflowPunct/>
        <w:autoSpaceDE/>
        <w:autoSpaceDN/>
        <w:adjustRightInd/>
        <w:spacing w:after="160" w:line="259" w:lineRule="auto"/>
        <w:textAlignment w:val="auto"/>
        <w:rPr>
          <w:rFonts w:ascii="Calibri" w:hAnsi="Calibri" w:cs="Calibri"/>
          <w:b/>
          <w:color w:val="13576B"/>
          <w:sz w:val="23"/>
          <w:szCs w:val="23"/>
        </w:rPr>
      </w:pPr>
      <w:bookmarkStart w:id="6" w:name="_Hlk190458144"/>
      <w:bookmarkEnd w:id="5"/>
      <w:r w:rsidRPr="00515ECA">
        <w:rPr>
          <w:rFonts w:ascii="Calibri" w:hAnsi="Calibri" w:cs="Calibri"/>
          <w:b/>
          <w:color w:val="13576B"/>
          <w:sz w:val="23"/>
          <w:szCs w:val="23"/>
        </w:rPr>
        <w:lastRenderedPageBreak/>
        <w:t xml:space="preserve">Tabulka č. 2: </w:t>
      </w:r>
      <w:r w:rsidR="004B441B">
        <w:rPr>
          <w:rFonts w:ascii="Calibri" w:hAnsi="Calibri" w:cs="Calibri"/>
          <w:b/>
          <w:color w:val="13576B"/>
          <w:sz w:val="23"/>
          <w:szCs w:val="23"/>
        </w:rPr>
        <w:t>Ilustrace</w:t>
      </w:r>
      <w:r w:rsidR="00EB1892">
        <w:rPr>
          <w:rFonts w:ascii="Calibri" w:hAnsi="Calibri" w:cs="Calibri"/>
          <w:b/>
          <w:color w:val="13576B"/>
          <w:sz w:val="23"/>
          <w:szCs w:val="23"/>
        </w:rPr>
        <w:t xml:space="preserve"> m</w:t>
      </w:r>
      <w:r w:rsidRPr="00515ECA">
        <w:rPr>
          <w:rFonts w:ascii="Calibri" w:hAnsi="Calibri" w:cs="Calibri"/>
          <w:b/>
          <w:color w:val="13576B"/>
          <w:sz w:val="23"/>
          <w:szCs w:val="23"/>
        </w:rPr>
        <w:t>ěsíční splátk</w:t>
      </w:r>
      <w:r w:rsidR="004B441B">
        <w:rPr>
          <w:rFonts w:ascii="Calibri" w:hAnsi="Calibri" w:cs="Calibri"/>
          <w:b/>
          <w:color w:val="13576B"/>
          <w:sz w:val="23"/>
          <w:szCs w:val="23"/>
        </w:rPr>
        <w:t>y</w:t>
      </w:r>
      <w:r w:rsidRPr="00515ECA">
        <w:rPr>
          <w:rFonts w:ascii="Calibri" w:hAnsi="Calibri" w:cs="Calibri"/>
          <w:b/>
          <w:color w:val="13576B"/>
          <w:sz w:val="23"/>
          <w:szCs w:val="23"/>
        </w:rPr>
        <w:t xml:space="preserve"> průměrné hypotéky v závislosti na délce splatnosti a úrokové sazbě</w:t>
      </w:r>
    </w:p>
    <w:tbl>
      <w:tblPr>
        <w:tblW w:w="10206" w:type="dxa"/>
        <w:tblCellMar>
          <w:left w:w="70" w:type="dxa"/>
          <w:right w:w="70" w:type="dxa"/>
        </w:tblCellMar>
        <w:tblLook w:val="04A0" w:firstRow="1" w:lastRow="0" w:firstColumn="1" w:lastColumn="0" w:noHBand="0" w:noVBand="1"/>
      </w:tblPr>
      <w:tblGrid>
        <w:gridCol w:w="3828"/>
        <w:gridCol w:w="648"/>
        <w:gridCol w:w="955"/>
        <w:gridCol w:w="955"/>
        <w:gridCol w:w="955"/>
        <w:gridCol w:w="955"/>
        <w:gridCol w:w="955"/>
        <w:gridCol w:w="955"/>
      </w:tblGrid>
      <w:tr w:rsidR="00D5517C" w:rsidRPr="002138C0" w14:paraId="2E0F9EE8" w14:textId="77777777" w:rsidTr="00EB1892">
        <w:trPr>
          <w:trHeight w:val="555"/>
        </w:trPr>
        <w:tc>
          <w:tcPr>
            <w:tcW w:w="4476" w:type="dxa"/>
            <w:gridSpan w:val="2"/>
            <w:tcBorders>
              <w:top w:val="nil"/>
              <w:left w:val="nil"/>
              <w:bottom w:val="single" w:sz="4" w:space="0" w:color="auto"/>
              <w:right w:val="nil"/>
            </w:tcBorders>
            <w:shd w:val="clear" w:color="auto" w:fill="auto"/>
            <w:noWrap/>
            <w:vAlign w:val="center"/>
            <w:hideMark/>
          </w:tcPr>
          <w:p w14:paraId="0EFE9691" w14:textId="77777777" w:rsidR="00D5517C" w:rsidRPr="00F23602" w:rsidRDefault="00D5517C" w:rsidP="00D5517C">
            <w:pPr>
              <w:overflowPunct/>
              <w:autoSpaceDE/>
              <w:autoSpaceDN/>
              <w:adjustRightInd/>
              <w:jc w:val="left"/>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Průměrná velikost nové hypotéky v Kč:</w:t>
            </w:r>
          </w:p>
        </w:tc>
        <w:tc>
          <w:tcPr>
            <w:tcW w:w="955" w:type="dxa"/>
            <w:tcBorders>
              <w:top w:val="nil"/>
              <w:left w:val="nil"/>
              <w:bottom w:val="single" w:sz="4" w:space="0" w:color="auto"/>
              <w:right w:val="nil"/>
            </w:tcBorders>
            <w:shd w:val="clear" w:color="auto" w:fill="auto"/>
            <w:noWrap/>
            <w:vAlign w:val="center"/>
            <w:hideMark/>
          </w:tcPr>
          <w:p w14:paraId="57E2DFCA" w14:textId="77777777" w:rsidR="00D5517C" w:rsidRPr="00F23602" w:rsidRDefault="00D5517C" w:rsidP="00D5517C">
            <w:pPr>
              <w:overflowPunct/>
              <w:autoSpaceDE/>
              <w:autoSpaceDN/>
              <w:adjustRightInd/>
              <w:jc w:val="left"/>
              <w:textAlignment w:val="auto"/>
              <w:rPr>
                <w:rFonts w:ascii="Calibri" w:hAnsi="Calibri" w:cs="Calibri"/>
                <w:color w:val="000000"/>
                <w:sz w:val="22"/>
                <w:szCs w:val="22"/>
              </w:rPr>
            </w:pPr>
            <w:r w:rsidRPr="00F23602">
              <w:rPr>
                <w:rFonts w:ascii="Calibri" w:hAnsi="Calibri" w:cs="Calibri"/>
                <w:color w:val="000000"/>
                <w:sz w:val="22"/>
                <w:szCs w:val="22"/>
              </w:rPr>
              <w:t> </w:t>
            </w:r>
          </w:p>
        </w:tc>
        <w:tc>
          <w:tcPr>
            <w:tcW w:w="955" w:type="dxa"/>
            <w:tcBorders>
              <w:top w:val="nil"/>
              <w:left w:val="nil"/>
              <w:bottom w:val="single" w:sz="4" w:space="0" w:color="auto"/>
              <w:right w:val="nil"/>
            </w:tcBorders>
            <w:shd w:val="clear" w:color="auto" w:fill="auto"/>
            <w:noWrap/>
            <w:vAlign w:val="center"/>
            <w:hideMark/>
          </w:tcPr>
          <w:p w14:paraId="35B01B2E" w14:textId="294A28AB" w:rsidR="00D5517C" w:rsidRPr="00F23602" w:rsidRDefault="00D5517C" w:rsidP="00D5517C">
            <w:pPr>
              <w:overflowPunct/>
              <w:autoSpaceDE/>
              <w:autoSpaceDN/>
              <w:adjustRightInd/>
              <w:jc w:val="left"/>
              <w:textAlignment w:val="auto"/>
              <w:rPr>
                <w:rFonts w:ascii="Calibri" w:hAnsi="Calibri" w:cs="Calibri"/>
                <w:color w:val="000000"/>
                <w:sz w:val="22"/>
                <w:szCs w:val="22"/>
              </w:rPr>
            </w:pPr>
            <w:r w:rsidRPr="00F23602">
              <w:rPr>
                <w:rFonts w:ascii="Calibri" w:hAnsi="Calibri" w:cs="Calibri"/>
                <w:color w:val="000000"/>
                <w:sz w:val="22"/>
                <w:szCs w:val="22"/>
              </w:rPr>
              <w:t> </w:t>
            </w:r>
            <w:r w:rsidR="00700C93" w:rsidRPr="00F23602">
              <w:rPr>
                <w:rFonts w:ascii="Calibri" w:hAnsi="Calibri" w:cs="Calibri"/>
                <w:color w:val="000000"/>
                <w:sz w:val="22"/>
                <w:szCs w:val="22"/>
              </w:rPr>
              <w:t xml:space="preserve"> </w:t>
            </w:r>
          </w:p>
        </w:tc>
        <w:tc>
          <w:tcPr>
            <w:tcW w:w="3820" w:type="dxa"/>
            <w:gridSpan w:val="4"/>
            <w:tcBorders>
              <w:top w:val="nil"/>
              <w:left w:val="nil"/>
              <w:bottom w:val="single" w:sz="4" w:space="0" w:color="auto"/>
              <w:right w:val="nil"/>
            </w:tcBorders>
            <w:shd w:val="clear" w:color="auto" w:fill="auto"/>
            <w:noWrap/>
            <w:vAlign w:val="center"/>
            <w:hideMark/>
          </w:tcPr>
          <w:p w14:paraId="400F8289" w14:textId="28BCE55E" w:rsidR="00490505" w:rsidRPr="00F23602" w:rsidRDefault="00A42D6B" w:rsidP="005861DC">
            <w:pPr>
              <w:overflowPunct/>
              <w:autoSpaceDE/>
              <w:autoSpaceDN/>
              <w:adjustRightInd/>
              <w:textAlignment w:val="auto"/>
              <w:rPr>
                <w:rFonts w:ascii="Calibri Light" w:hAnsi="Calibri Light" w:cs="Calibri Light"/>
                <w:b/>
                <w:bCs/>
                <w:color w:val="000000"/>
                <w:sz w:val="22"/>
                <w:szCs w:val="22"/>
              </w:rPr>
            </w:pPr>
            <w:r>
              <w:rPr>
                <w:rFonts w:ascii="Calibri Light" w:hAnsi="Calibri Light" w:cs="Calibri Light"/>
                <w:b/>
                <w:bCs/>
                <w:color w:val="000000"/>
                <w:sz w:val="22"/>
                <w:szCs w:val="22"/>
              </w:rPr>
              <w:t>4 075 140</w:t>
            </w:r>
          </w:p>
        </w:tc>
      </w:tr>
      <w:tr w:rsidR="00F23602" w:rsidRPr="002138C0" w14:paraId="3A9D14C4" w14:textId="77777777" w:rsidTr="00EB1892">
        <w:trPr>
          <w:trHeight w:val="300"/>
        </w:trPr>
        <w:tc>
          <w:tcPr>
            <w:tcW w:w="3828" w:type="dxa"/>
            <w:tcBorders>
              <w:top w:val="nil"/>
              <w:left w:val="nil"/>
              <w:bottom w:val="single" w:sz="4" w:space="0" w:color="auto"/>
              <w:right w:val="nil"/>
            </w:tcBorders>
            <w:shd w:val="clear" w:color="auto" w:fill="auto"/>
            <w:noWrap/>
            <w:vAlign w:val="bottom"/>
            <w:hideMark/>
          </w:tcPr>
          <w:p w14:paraId="284FFBA8" w14:textId="77777777" w:rsidR="00F23602" w:rsidRPr="00F23602" w:rsidRDefault="00F23602" w:rsidP="00F23602">
            <w:pPr>
              <w:overflowPunct/>
              <w:autoSpaceDE/>
              <w:autoSpaceDN/>
              <w:adjustRightInd/>
              <w:jc w:val="left"/>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Průměrná úroková sazba v %:</w:t>
            </w:r>
          </w:p>
        </w:tc>
        <w:tc>
          <w:tcPr>
            <w:tcW w:w="648" w:type="dxa"/>
            <w:tcBorders>
              <w:top w:val="nil"/>
              <w:left w:val="nil"/>
              <w:bottom w:val="single" w:sz="4" w:space="0" w:color="auto"/>
              <w:right w:val="nil"/>
            </w:tcBorders>
            <w:shd w:val="clear" w:color="auto" w:fill="auto"/>
            <w:noWrap/>
            <w:vAlign w:val="bottom"/>
            <w:hideMark/>
          </w:tcPr>
          <w:p w14:paraId="1F76198D" w14:textId="77777777" w:rsidR="00F23602" w:rsidRPr="00F23602" w:rsidRDefault="00F23602" w:rsidP="00F23602">
            <w:pPr>
              <w:overflowPunct/>
              <w:autoSpaceDE/>
              <w:autoSpaceDN/>
              <w:adjustRightInd/>
              <w:jc w:val="left"/>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 </w:t>
            </w:r>
          </w:p>
        </w:tc>
        <w:tc>
          <w:tcPr>
            <w:tcW w:w="955" w:type="dxa"/>
            <w:tcBorders>
              <w:top w:val="nil"/>
              <w:left w:val="nil"/>
              <w:bottom w:val="single" w:sz="4" w:space="0" w:color="auto"/>
              <w:right w:val="nil"/>
            </w:tcBorders>
            <w:shd w:val="clear" w:color="auto" w:fill="auto"/>
            <w:noWrap/>
            <w:vAlign w:val="center"/>
            <w:hideMark/>
          </w:tcPr>
          <w:p w14:paraId="10BEEE92" w14:textId="18F743FA" w:rsidR="00F23602" w:rsidRPr="00F23602" w:rsidRDefault="00F23602" w:rsidP="00F23602">
            <w:pPr>
              <w:overflowPunct/>
              <w:autoSpaceDE/>
              <w:autoSpaceDN/>
              <w:adjustRightInd/>
              <w:jc w:val="center"/>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2,0</w:t>
            </w:r>
          </w:p>
        </w:tc>
        <w:tc>
          <w:tcPr>
            <w:tcW w:w="955" w:type="dxa"/>
            <w:tcBorders>
              <w:top w:val="nil"/>
              <w:left w:val="nil"/>
              <w:bottom w:val="single" w:sz="4" w:space="0" w:color="auto"/>
              <w:right w:val="nil"/>
            </w:tcBorders>
            <w:shd w:val="clear" w:color="auto" w:fill="auto"/>
            <w:noWrap/>
            <w:vAlign w:val="center"/>
            <w:hideMark/>
          </w:tcPr>
          <w:p w14:paraId="07D3214C" w14:textId="1130DD68" w:rsidR="00F23602" w:rsidRPr="00F23602" w:rsidRDefault="00F23602" w:rsidP="00F23602">
            <w:pPr>
              <w:overflowPunct/>
              <w:autoSpaceDE/>
              <w:autoSpaceDN/>
              <w:adjustRightInd/>
              <w:jc w:val="center"/>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3,0</w:t>
            </w:r>
          </w:p>
        </w:tc>
        <w:tc>
          <w:tcPr>
            <w:tcW w:w="955" w:type="dxa"/>
            <w:tcBorders>
              <w:top w:val="nil"/>
              <w:left w:val="nil"/>
              <w:bottom w:val="single" w:sz="4" w:space="0" w:color="auto"/>
              <w:right w:val="nil"/>
            </w:tcBorders>
            <w:shd w:val="clear" w:color="auto" w:fill="auto"/>
            <w:noWrap/>
            <w:vAlign w:val="center"/>
            <w:hideMark/>
          </w:tcPr>
          <w:p w14:paraId="49B1144F" w14:textId="1E0730A6" w:rsidR="00F23602" w:rsidRPr="00F23602" w:rsidRDefault="00F23602" w:rsidP="00F23602">
            <w:pPr>
              <w:overflowPunct/>
              <w:autoSpaceDE/>
              <w:autoSpaceDN/>
              <w:adjustRightInd/>
              <w:jc w:val="center"/>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4,0</w:t>
            </w:r>
          </w:p>
        </w:tc>
        <w:tc>
          <w:tcPr>
            <w:tcW w:w="955" w:type="dxa"/>
            <w:tcBorders>
              <w:top w:val="nil"/>
              <w:left w:val="nil"/>
              <w:bottom w:val="single" w:sz="4" w:space="0" w:color="auto"/>
              <w:right w:val="nil"/>
            </w:tcBorders>
            <w:shd w:val="clear" w:color="000000" w:fill="DAF3EA"/>
            <w:noWrap/>
            <w:vAlign w:val="center"/>
            <w:hideMark/>
          </w:tcPr>
          <w:p w14:paraId="29650147" w14:textId="1B33C9B1" w:rsidR="00F23602" w:rsidRPr="002138C0" w:rsidRDefault="00F23602" w:rsidP="00F23602">
            <w:pPr>
              <w:overflowPunct/>
              <w:autoSpaceDE/>
              <w:autoSpaceDN/>
              <w:adjustRightInd/>
              <w:jc w:val="center"/>
              <w:textAlignment w:val="auto"/>
              <w:rPr>
                <w:rFonts w:ascii="Calibri Light" w:hAnsi="Calibri Light" w:cs="Calibri Light"/>
                <w:b/>
                <w:bCs/>
                <w:color w:val="000000"/>
                <w:sz w:val="22"/>
                <w:szCs w:val="22"/>
                <w:highlight w:val="yellow"/>
              </w:rPr>
            </w:pPr>
            <w:r>
              <w:rPr>
                <w:rFonts w:ascii="Calibri Light" w:hAnsi="Calibri Light" w:cs="Calibri Light"/>
                <w:b/>
                <w:bCs/>
                <w:color w:val="000000"/>
                <w:sz w:val="22"/>
                <w:szCs w:val="22"/>
              </w:rPr>
              <w:t>4,</w:t>
            </w:r>
            <w:r w:rsidR="0033440C">
              <w:rPr>
                <w:rFonts w:ascii="Calibri Light" w:hAnsi="Calibri Light" w:cs="Calibri Light"/>
                <w:b/>
                <w:bCs/>
                <w:color w:val="000000"/>
                <w:sz w:val="22"/>
                <w:szCs w:val="22"/>
              </w:rPr>
              <w:t>6</w:t>
            </w:r>
            <w:r w:rsidR="00A42D6B">
              <w:rPr>
                <w:rFonts w:ascii="Calibri Light" w:hAnsi="Calibri Light" w:cs="Calibri Light"/>
                <w:b/>
                <w:bCs/>
                <w:color w:val="000000"/>
                <w:sz w:val="22"/>
                <w:szCs w:val="22"/>
              </w:rPr>
              <w:t>5</w:t>
            </w:r>
          </w:p>
        </w:tc>
        <w:tc>
          <w:tcPr>
            <w:tcW w:w="955" w:type="dxa"/>
            <w:tcBorders>
              <w:top w:val="nil"/>
              <w:left w:val="nil"/>
              <w:bottom w:val="single" w:sz="4" w:space="0" w:color="auto"/>
              <w:right w:val="nil"/>
            </w:tcBorders>
            <w:shd w:val="clear" w:color="000000" w:fill="FFFFFF" w:themeFill="background1"/>
            <w:noWrap/>
            <w:vAlign w:val="center"/>
            <w:hideMark/>
          </w:tcPr>
          <w:p w14:paraId="22EECDD2" w14:textId="49E02541" w:rsidR="00F23602" w:rsidRPr="002138C0" w:rsidRDefault="00F23602" w:rsidP="00F23602">
            <w:pPr>
              <w:overflowPunct/>
              <w:autoSpaceDE/>
              <w:autoSpaceDN/>
              <w:adjustRightInd/>
              <w:jc w:val="center"/>
              <w:textAlignment w:val="auto"/>
              <w:rPr>
                <w:rFonts w:ascii="Calibri Light" w:hAnsi="Calibri Light" w:cs="Calibri Light"/>
                <w:b/>
                <w:bCs/>
                <w:color w:val="000000"/>
                <w:sz w:val="22"/>
                <w:szCs w:val="22"/>
                <w:highlight w:val="yellow"/>
              </w:rPr>
            </w:pPr>
            <w:r>
              <w:rPr>
                <w:rFonts w:ascii="Calibri Light" w:hAnsi="Calibri Light" w:cs="Calibri Light"/>
                <w:b/>
                <w:bCs/>
                <w:color w:val="000000"/>
                <w:sz w:val="22"/>
                <w:szCs w:val="22"/>
              </w:rPr>
              <w:t>5,0</w:t>
            </w:r>
          </w:p>
        </w:tc>
        <w:tc>
          <w:tcPr>
            <w:tcW w:w="955" w:type="dxa"/>
            <w:tcBorders>
              <w:top w:val="nil"/>
              <w:left w:val="nil"/>
              <w:bottom w:val="single" w:sz="4" w:space="0" w:color="auto"/>
              <w:right w:val="nil"/>
            </w:tcBorders>
            <w:shd w:val="clear" w:color="auto" w:fill="auto"/>
            <w:noWrap/>
            <w:vAlign w:val="center"/>
            <w:hideMark/>
          </w:tcPr>
          <w:p w14:paraId="3E5AC0A3" w14:textId="632AE5E6" w:rsidR="00F23602" w:rsidRPr="002138C0" w:rsidRDefault="00F23602" w:rsidP="00F23602">
            <w:pPr>
              <w:overflowPunct/>
              <w:autoSpaceDE/>
              <w:autoSpaceDN/>
              <w:adjustRightInd/>
              <w:jc w:val="center"/>
              <w:textAlignment w:val="auto"/>
              <w:rPr>
                <w:rFonts w:ascii="Calibri Light" w:hAnsi="Calibri Light" w:cs="Calibri Light"/>
                <w:b/>
                <w:bCs/>
                <w:color w:val="000000"/>
                <w:sz w:val="22"/>
                <w:szCs w:val="22"/>
                <w:highlight w:val="yellow"/>
              </w:rPr>
            </w:pPr>
            <w:r>
              <w:rPr>
                <w:rFonts w:ascii="Calibri Light" w:hAnsi="Calibri Light" w:cs="Calibri Light"/>
                <w:b/>
                <w:bCs/>
                <w:color w:val="000000"/>
                <w:sz w:val="22"/>
                <w:szCs w:val="22"/>
              </w:rPr>
              <w:t>6,0</w:t>
            </w:r>
          </w:p>
        </w:tc>
      </w:tr>
      <w:tr w:rsidR="00D5517C" w:rsidRPr="002138C0" w14:paraId="4905349F" w14:textId="77777777" w:rsidTr="00B3483B">
        <w:trPr>
          <w:trHeight w:val="300"/>
        </w:trPr>
        <w:tc>
          <w:tcPr>
            <w:tcW w:w="3828" w:type="dxa"/>
            <w:tcBorders>
              <w:top w:val="nil"/>
              <w:left w:val="nil"/>
              <w:bottom w:val="nil"/>
              <w:right w:val="nil"/>
            </w:tcBorders>
            <w:shd w:val="clear" w:color="auto" w:fill="auto"/>
            <w:noWrap/>
            <w:vAlign w:val="bottom"/>
            <w:hideMark/>
          </w:tcPr>
          <w:p w14:paraId="37327E18" w14:textId="77777777" w:rsidR="00D5517C" w:rsidRPr="00F23602" w:rsidRDefault="00D5517C" w:rsidP="00D5517C">
            <w:pPr>
              <w:overflowPunct/>
              <w:autoSpaceDE/>
              <w:autoSpaceDN/>
              <w:adjustRightInd/>
              <w:jc w:val="left"/>
              <w:textAlignment w:val="auto"/>
              <w:rPr>
                <w:rFonts w:ascii="Calibri" w:hAnsi="Calibri" w:cs="Calibri"/>
                <w:color w:val="000000"/>
                <w:sz w:val="22"/>
                <w:szCs w:val="22"/>
              </w:rPr>
            </w:pPr>
            <w:r w:rsidRPr="00F23602">
              <w:rPr>
                <w:rFonts w:ascii="Calibri" w:hAnsi="Calibri" w:cs="Calibri"/>
                <w:color w:val="000000"/>
                <w:sz w:val="22"/>
                <w:szCs w:val="22"/>
              </w:rPr>
              <w:t> </w:t>
            </w:r>
          </w:p>
        </w:tc>
        <w:tc>
          <w:tcPr>
            <w:tcW w:w="648" w:type="dxa"/>
            <w:tcBorders>
              <w:top w:val="nil"/>
              <w:left w:val="nil"/>
              <w:right w:val="nil"/>
            </w:tcBorders>
            <w:shd w:val="clear" w:color="auto" w:fill="auto"/>
            <w:noWrap/>
            <w:vAlign w:val="bottom"/>
            <w:hideMark/>
          </w:tcPr>
          <w:p w14:paraId="271C1EDC" w14:textId="77777777" w:rsidR="00D5517C" w:rsidRPr="00F23602" w:rsidRDefault="00D5517C" w:rsidP="00D5517C">
            <w:pPr>
              <w:overflowPunct/>
              <w:autoSpaceDE/>
              <w:autoSpaceDN/>
              <w:adjustRightInd/>
              <w:jc w:val="left"/>
              <w:textAlignment w:val="auto"/>
              <w:rPr>
                <w:rFonts w:ascii="Calibri" w:hAnsi="Calibri" w:cs="Calibri"/>
                <w:color w:val="000000"/>
                <w:sz w:val="22"/>
                <w:szCs w:val="22"/>
              </w:rPr>
            </w:pPr>
            <w:r w:rsidRPr="00F23602">
              <w:rPr>
                <w:rFonts w:ascii="Calibri" w:hAnsi="Calibri" w:cs="Calibri"/>
                <w:color w:val="000000"/>
                <w:sz w:val="22"/>
                <w:szCs w:val="22"/>
              </w:rPr>
              <w:t> </w:t>
            </w:r>
          </w:p>
        </w:tc>
        <w:tc>
          <w:tcPr>
            <w:tcW w:w="955" w:type="dxa"/>
            <w:tcBorders>
              <w:top w:val="nil"/>
              <w:left w:val="nil"/>
              <w:bottom w:val="single" w:sz="4" w:space="0" w:color="auto"/>
              <w:right w:val="nil"/>
            </w:tcBorders>
            <w:shd w:val="clear" w:color="auto" w:fill="auto"/>
            <w:noWrap/>
            <w:vAlign w:val="bottom"/>
            <w:hideMark/>
          </w:tcPr>
          <w:p w14:paraId="7CD8A3FA" w14:textId="77777777" w:rsidR="00D5517C" w:rsidRPr="00F23602" w:rsidRDefault="00D5517C" w:rsidP="00D5517C">
            <w:pPr>
              <w:overflowPunct/>
              <w:autoSpaceDE/>
              <w:autoSpaceDN/>
              <w:adjustRightInd/>
              <w:jc w:val="left"/>
              <w:textAlignment w:val="auto"/>
              <w:rPr>
                <w:rFonts w:ascii="Calibri" w:hAnsi="Calibri" w:cs="Calibri"/>
                <w:color w:val="000000"/>
                <w:sz w:val="22"/>
                <w:szCs w:val="22"/>
              </w:rPr>
            </w:pPr>
            <w:r w:rsidRPr="00F23602">
              <w:rPr>
                <w:rFonts w:ascii="Calibri" w:hAnsi="Calibri" w:cs="Calibri"/>
                <w:color w:val="000000"/>
                <w:sz w:val="22"/>
                <w:szCs w:val="22"/>
              </w:rPr>
              <w:t> </w:t>
            </w:r>
          </w:p>
        </w:tc>
        <w:tc>
          <w:tcPr>
            <w:tcW w:w="955" w:type="dxa"/>
            <w:tcBorders>
              <w:top w:val="nil"/>
              <w:left w:val="nil"/>
              <w:bottom w:val="single" w:sz="4" w:space="0" w:color="auto"/>
              <w:right w:val="nil"/>
            </w:tcBorders>
            <w:shd w:val="clear" w:color="auto" w:fill="auto"/>
            <w:noWrap/>
            <w:vAlign w:val="bottom"/>
            <w:hideMark/>
          </w:tcPr>
          <w:p w14:paraId="1E17A7A8" w14:textId="77777777" w:rsidR="00D5517C" w:rsidRPr="00F23602" w:rsidRDefault="00D5517C" w:rsidP="00D5517C">
            <w:pPr>
              <w:overflowPunct/>
              <w:autoSpaceDE/>
              <w:autoSpaceDN/>
              <w:adjustRightInd/>
              <w:jc w:val="left"/>
              <w:textAlignment w:val="auto"/>
              <w:rPr>
                <w:rFonts w:ascii="Calibri" w:hAnsi="Calibri" w:cs="Calibri"/>
                <w:color w:val="000000"/>
                <w:sz w:val="22"/>
                <w:szCs w:val="22"/>
              </w:rPr>
            </w:pPr>
            <w:r w:rsidRPr="00F23602">
              <w:rPr>
                <w:rFonts w:ascii="Calibri" w:hAnsi="Calibri" w:cs="Calibri"/>
                <w:color w:val="000000"/>
                <w:sz w:val="22"/>
                <w:szCs w:val="22"/>
              </w:rPr>
              <w:t> </w:t>
            </w:r>
          </w:p>
        </w:tc>
        <w:tc>
          <w:tcPr>
            <w:tcW w:w="3820" w:type="dxa"/>
            <w:gridSpan w:val="4"/>
            <w:tcBorders>
              <w:top w:val="single" w:sz="4" w:space="0" w:color="auto"/>
              <w:left w:val="nil"/>
              <w:bottom w:val="single" w:sz="4" w:space="0" w:color="auto"/>
              <w:right w:val="nil"/>
            </w:tcBorders>
            <w:shd w:val="clear" w:color="auto" w:fill="auto"/>
            <w:noWrap/>
            <w:vAlign w:val="bottom"/>
            <w:hideMark/>
          </w:tcPr>
          <w:p w14:paraId="0C8798FF" w14:textId="77777777" w:rsidR="00D5517C" w:rsidRPr="00F23602" w:rsidRDefault="00D5517C" w:rsidP="00D5517C">
            <w:pPr>
              <w:overflowPunct/>
              <w:autoSpaceDE/>
              <w:autoSpaceDN/>
              <w:adjustRightInd/>
              <w:jc w:val="center"/>
              <w:textAlignment w:val="auto"/>
              <w:rPr>
                <w:rFonts w:ascii="Calibri Light" w:hAnsi="Calibri Light" w:cs="Calibri Light"/>
                <w:b/>
                <w:bCs/>
                <w:color w:val="000000"/>
                <w:sz w:val="22"/>
                <w:szCs w:val="22"/>
              </w:rPr>
            </w:pPr>
            <w:r w:rsidRPr="00F23602">
              <w:rPr>
                <w:rFonts w:ascii="Calibri Light" w:hAnsi="Calibri Light" w:cs="Calibri Light"/>
                <w:b/>
                <w:bCs/>
                <w:color w:val="000000"/>
                <w:sz w:val="22"/>
                <w:szCs w:val="22"/>
              </w:rPr>
              <w:t>Měsíční splátka:</w:t>
            </w:r>
          </w:p>
        </w:tc>
      </w:tr>
      <w:tr w:rsidR="00A42D6B" w:rsidRPr="002138C0" w14:paraId="0A342D01" w14:textId="77777777" w:rsidTr="00B3483B">
        <w:trPr>
          <w:trHeight w:val="300"/>
        </w:trPr>
        <w:tc>
          <w:tcPr>
            <w:tcW w:w="3828" w:type="dxa"/>
            <w:tcBorders>
              <w:top w:val="nil"/>
              <w:left w:val="nil"/>
              <w:bottom w:val="nil"/>
              <w:right w:val="nil"/>
            </w:tcBorders>
            <w:shd w:val="clear" w:color="auto" w:fill="auto"/>
            <w:noWrap/>
            <w:vAlign w:val="bottom"/>
            <w:hideMark/>
          </w:tcPr>
          <w:p w14:paraId="67C08443" w14:textId="77777777" w:rsidR="00A42D6B" w:rsidRPr="00F23602" w:rsidRDefault="00A42D6B" w:rsidP="00A42D6B">
            <w:pPr>
              <w:overflowPunct/>
              <w:autoSpaceDE/>
              <w:autoSpaceDN/>
              <w:adjustRightInd/>
              <w:jc w:val="left"/>
              <w:textAlignment w:val="auto"/>
              <w:rPr>
                <w:rFonts w:ascii="Calibri Light" w:hAnsi="Calibri Light" w:cs="Calibri Light"/>
                <w:color w:val="000000"/>
                <w:sz w:val="22"/>
                <w:szCs w:val="22"/>
              </w:rPr>
            </w:pPr>
            <w:r w:rsidRPr="00F23602">
              <w:rPr>
                <w:rFonts w:ascii="Calibri Light" w:hAnsi="Calibri Light" w:cs="Calibri Light"/>
                <w:color w:val="000000"/>
                <w:sz w:val="22"/>
                <w:szCs w:val="22"/>
              </w:rPr>
              <w:t>Splatnost hypotéky v letech:</w:t>
            </w:r>
          </w:p>
        </w:tc>
        <w:tc>
          <w:tcPr>
            <w:tcW w:w="648" w:type="dxa"/>
            <w:tcBorders>
              <w:top w:val="nil"/>
              <w:left w:val="nil"/>
              <w:bottom w:val="nil"/>
              <w:right w:val="single" w:sz="4" w:space="0" w:color="auto"/>
            </w:tcBorders>
            <w:shd w:val="clear" w:color="auto" w:fill="auto"/>
            <w:noWrap/>
            <w:vAlign w:val="bottom"/>
            <w:hideMark/>
          </w:tcPr>
          <w:p w14:paraId="5F9EE9A3" w14:textId="2EE552D7" w:rsidR="00A42D6B" w:rsidRPr="00F23602" w:rsidRDefault="00A42D6B" w:rsidP="00A42D6B">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15</w:t>
            </w:r>
          </w:p>
        </w:tc>
        <w:tc>
          <w:tcPr>
            <w:tcW w:w="955" w:type="dxa"/>
            <w:tcBorders>
              <w:top w:val="nil"/>
              <w:left w:val="single" w:sz="4" w:space="0" w:color="auto"/>
              <w:bottom w:val="nil"/>
              <w:right w:val="nil"/>
            </w:tcBorders>
            <w:shd w:val="clear" w:color="auto" w:fill="auto"/>
            <w:noWrap/>
            <w:vAlign w:val="center"/>
            <w:hideMark/>
          </w:tcPr>
          <w:p w14:paraId="6E75F03F" w14:textId="5CFF0698" w:rsidR="00A42D6B" w:rsidRPr="00F23602" w:rsidRDefault="00A42D6B" w:rsidP="00A42D6B">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26 220</w:t>
            </w:r>
          </w:p>
        </w:tc>
        <w:tc>
          <w:tcPr>
            <w:tcW w:w="955" w:type="dxa"/>
            <w:tcBorders>
              <w:top w:val="nil"/>
              <w:left w:val="nil"/>
              <w:bottom w:val="nil"/>
              <w:right w:val="nil"/>
            </w:tcBorders>
            <w:shd w:val="clear" w:color="auto" w:fill="auto"/>
            <w:noWrap/>
            <w:vAlign w:val="center"/>
            <w:hideMark/>
          </w:tcPr>
          <w:p w14:paraId="3D8E9F84" w14:textId="0A19BB63" w:rsidR="00A42D6B" w:rsidRPr="00F23602" w:rsidRDefault="00A42D6B" w:rsidP="00A42D6B">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28 140</w:t>
            </w:r>
          </w:p>
        </w:tc>
        <w:tc>
          <w:tcPr>
            <w:tcW w:w="955" w:type="dxa"/>
            <w:tcBorders>
              <w:top w:val="nil"/>
              <w:left w:val="nil"/>
              <w:bottom w:val="nil"/>
              <w:right w:val="nil"/>
            </w:tcBorders>
            <w:shd w:val="clear" w:color="auto" w:fill="auto"/>
            <w:noWrap/>
            <w:vAlign w:val="center"/>
            <w:hideMark/>
          </w:tcPr>
          <w:p w14:paraId="238A63E5" w14:textId="7D94AEC3" w:rsidR="00A42D6B" w:rsidRPr="00F23602" w:rsidRDefault="00A42D6B" w:rsidP="00A42D6B">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30 140</w:t>
            </w:r>
          </w:p>
        </w:tc>
        <w:tc>
          <w:tcPr>
            <w:tcW w:w="955" w:type="dxa"/>
            <w:tcBorders>
              <w:top w:val="nil"/>
              <w:left w:val="nil"/>
              <w:bottom w:val="nil"/>
              <w:right w:val="nil"/>
            </w:tcBorders>
            <w:shd w:val="clear" w:color="auto" w:fill="DAF3EA"/>
            <w:noWrap/>
            <w:vAlign w:val="center"/>
            <w:hideMark/>
          </w:tcPr>
          <w:p w14:paraId="0F2712F9" w14:textId="6C6CFD91" w:rsidR="00A42D6B" w:rsidRPr="002138C0" w:rsidRDefault="00A42D6B" w:rsidP="00A42D6B">
            <w:pPr>
              <w:overflowPunct/>
              <w:autoSpaceDE/>
              <w:autoSpaceDN/>
              <w:adjustRightInd/>
              <w:jc w:val="center"/>
              <w:textAlignment w:val="auto"/>
              <w:rPr>
                <w:rFonts w:ascii="Calibri Light" w:hAnsi="Calibri Light" w:cs="Calibri Light"/>
                <w:color w:val="000000"/>
                <w:sz w:val="22"/>
                <w:szCs w:val="22"/>
                <w:highlight w:val="yellow"/>
              </w:rPr>
            </w:pPr>
            <w:r>
              <w:rPr>
                <w:rFonts w:ascii="Calibri Light" w:hAnsi="Calibri Light" w:cs="Calibri Light"/>
                <w:color w:val="000000"/>
                <w:sz w:val="22"/>
                <w:szCs w:val="22"/>
              </w:rPr>
              <w:t>31 480</w:t>
            </w:r>
          </w:p>
        </w:tc>
        <w:tc>
          <w:tcPr>
            <w:tcW w:w="955" w:type="dxa"/>
            <w:tcBorders>
              <w:top w:val="nil"/>
              <w:left w:val="nil"/>
              <w:bottom w:val="nil"/>
              <w:right w:val="nil"/>
            </w:tcBorders>
            <w:shd w:val="clear" w:color="000000" w:fill="FFFFFF" w:themeFill="background1"/>
            <w:noWrap/>
            <w:vAlign w:val="center"/>
            <w:hideMark/>
          </w:tcPr>
          <w:p w14:paraId="690F9892" w14:textId="79596558" w:rsidR="00A42D6B" w:rsidRPr="002138C0" w:rsidRDefault="00A42D6B" w:rsidP="00A42D6B">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32 230</w:t>
            </w:r>
          </w:p>
        </w:tc>
        <w:tc>
          <w:tcPr>
            <w:tcW w:w="955" w:type="dxa"/>
            <w:tcBorders>
              <w:top w:val="nil"/>
              <w:left w:val="nil"/>
              <w:bottom w:val="nil"/>
              <w:right w:val="nil"/>
            </w:tcBorders>
            <w:shd w:val="clear" w:color="auto" w:fill="auto"/>
            <w:noWrap/>
            <w:vAlign w:val="center"/>
            <w:hideMark/>
          </w:tcPr>
          <w:p w14:paraId="165D0922" w14:textId="7498736C" w:rsidR="00A42D6B" w:rsidRPr="002138C0" w:rsidRDefault="00A42D6B" w:rsidP="00A42D6B">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34 390</w:t>
            </w:r>
          </w:p>
        </w:tc>
      </w:tr>
      <w:tr w:rsidR="00A42D6B" w:rsidRPr="002138C0" w14:paraId="4A78BEF2" w14:textId="77777777" w:rsidTr="00B3483B">
        <w:trPr>
          <w:trHeight w:val="300"/>
        </w:trPr>
        <w:tc>
          <w:tcPr>
            <w:tcW w:w="3828" w:type="dxa"/>
            <w:tcBorders>
              <w:top w:val="nil"/>
              <w:left w:val="nil"/>
              <w:bottom w:val="nil"/>
              <w:right w:val="nil"/>
            </w:tcBorders>
            <w:shd w:val="clear" w:color="auto" w:fill="auto"/>
            <w:noWrap/>
            <w:vAlign w:val="bottom"/>
            <w:hideMark/>
          </w:tcPr>
          <w:p w14:paraId="0EAF3610" w14:textId="77777777" w:rsidR="00A42D6B" w:rsidRPr="00F23602" w:rsidRDefault="00A42D6B" w:rsidP="00A42D6B">
            <w:pPr>
              <w:overflowPunct/>
              <w:autoSpaceDE/>
              <w:autoSpaceDN/>
              <w:adjustRightInd/>
              <w:jc w:val="center"/>
              <w:textAlignment w:val="auto"/>
              <w:rPr>
                <w:rFonts w:ascii="Calibri Light" w:hAnsi="Calibri Light" w:cs="Calibri Light"/>
                <w:color w:val="000000"/>
                <w:sz w:val="22"/>
                <w:szCs w:val="22"/>
              </w:rPr>
            </w:pPr>
          </w:p>
        </w:tc>
        <w:tc>
          <w:tcPr>
            <w:tcW w:w="648" w:type="dxa"/>
            <w:tcBorders>
              <w:top w:val="nil"/>
              <w:left w:val="nil"/>
              <w:bottom w:val="nil"/>
              <w:right w:val="single" w:sz="4" w:space="0" w:color="auto"/>
            </w:tcBorders>
            <w:shd w:val="clear" w:color="auto" w:fill="auto"/>
            <w:noWrap/>
            <w:vAlign w:val="bottom"/>
            <w:hideMark/>
          </w:tcPr>
          <w:p w14:paraId="72B9CE37" w14:textId="3D5EADF1" w:rsidR="00A42D6B" w:rsidRPr="00F23602" w:rsidRDefault="00A42D6B" w:rsidP="00A42D6B">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20</w:t>
            </w:r>
          </w:p>
        </w:tc>
        <w:tc>
          <w:tcPr>
            <w:tcW w:w="955" w:type="dxa"/>
            <w:tcBorders>
              <w:top w:val="nil"/>
              <w:left w:val="single" w:sz="4" w:space="0" w:color="auto"/>
              <w:bottom w:val="nil"/>
              <w:right w:val="nil"/>
            </w:tcBorders>
            <w:shd w:val="clear" w:color="auto" w:fill="auto"/>
            <w:noWrap/>
            <w:vAlign w:val="center"/>
            <w:hideMark/>
          </w:tcPr>
          <w:p w14:paraId="5D28FBFB" w14:textId="2BEC9F3C" w:rsidR="00A42D6B" w:rsidRPr="00F23602" w:rsidRDefault="00A42D6B" w:rsidP="00A42D6B">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20 620</w:t>
            </w:r>
          </w:p>
        </w:tc>
        <w:tc>
          <w:tcPr>
            <w:tcW w:w="955" w:type="dxa"/>
            <w:tcBorders>
              <w:top w:val="nil"/>
              <w:left w:val="nil"/>
              <w:bottom w:val="nil"/>
              <w:right w:val="nil"/>
            </w:tcBorders>
            <w:shd w:val="clear" w:color="auto" w:fill="auto"/>
            <w:noWrap/>
            <w:vAlign w:val="center"/>
            <w:hideMark/>
          </w:tcPr>
          <w:p w14:paraId="0857AA86" w14:textId="7BB1F8D8" w:rsidR="00A42D6B" w:rsidRPr="00F23602" w:rsidRDefault="00A42D6B" w:rsidP="00A42D6B">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22 600</w:t>
            </w:r>
          </w:p>
        </w:tc>
        <w:tc>
          <w:tcPr>
            <w:tcW w:w="955" w:type="dxa"/>
            <w:tcBorders>
              <w:top w:val="nil"/>
              <w:left w:val="nil"/>
              <w:bottom w:val="nil"/>
              <w:right w:val="nil"/>
            </w:tcBorders>
            <w:shd w:val="clear" w:color="auto" w:fill="auto"/>
            <w:noWrap/>
            <w:vAlign w:val="center"/>
            <w:hideMark/>
          </w:tcPr>
          <w:p w14:paraId="26357E18" w14:textId="4274CA21" w:rsidR="00A42D6B" w:rsidRPr="00F23602" w:rsidRDefault="00A42D6B" w:rsidP="00A42D6B">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24 690</w:t>
            </w:r>
          </w:p>
        </w:tc>
        <w:tc>
          <w:tcPr>
            <w:tcW w:w="955" w:type="dxa"/>
            <w:tcBorders>
              <w:top w:val="nil"/>
              <w:left w:val="nil"/>
              <w:bottom w:val="nil"/>
              <w:right w:val="nil"/>
            </w:tcBorders>
            <w:shd w:val="clear" w:color="auto" w:fill="DAF3EA"/>
            <w:noWrap/>
            <w:vAlign w:val="center"/>
            <w:hideMark/>
          </w:tcPr>
          <w:p w14:paraId="6D332706" w14:textId="3199EFB0" w:rsidR="00A42D6B" w:rsidRPr="002138C0" w:rsidRDefault="00A42D6B" w:rsidP="00A42D6B">
            <w:pPr>
              <w:overflowPunct/>
              <w:autoSpaceDE/>
              <w:autoSpaceDN/>
              <w:adjustRightInd/>
              <w:jc w:val="center"/>
              <w:textAlignment w:val="auto"/>
              <w:rPr>
                <w:rFonts w:ascii="Calibri Light" w:hAnsi="Calibri Light" w:cs="Calibri Light"/>
                <w:color w:val="000000"/>
                <w:sz w:val="22"/>
                <w:szCs w:val="22"/>
                <w:highlight w:val="yellow"/>
              </w:rPr>
            </w:pPr>
            <w:r>
              <w:rPr>
                <w:rFonts w:ascii="Calibri Light" w:hAnsi="Calibri Light" w:cs="Calibri Light"/>
                <w:color w:val="000000"/>
                <w:sz w:val="22"/>
                <w:szCs w:val="22"/>
              </w:rPr>
              <w:t>26 100</w:t>
            </w:r>
          </w:p>
        </w:tc>
        <w:tc>
          <w:tcPr>
            <w:tcW w:w="955" w:type="dxa"/>
            <w:tcBorders>
              <w:top w:val="nil"/>
              <w:left w:val="nil"/>
              <w:bottom w:val="nil"/>
              <w:right w:val="nil"/>
            </w:tcBorders>
            <w:shd w:val="clear" w:color="000000" w:fill="FFFFFF" w:themeFill="background1"/>
            <w:noWrap/>
            <w:vAlign w:val="center"/>
            <w:hideMark/>
          </w:tcPr>
          <w:p w14:paraId="5E6CF5E2" w14:textId="331EC0BE" w:rsidR="00A42D6B" w:rsidRPr="002138C0" w:rsidRDefault="00A42D6B" w:rsidP="00A42D6B">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26 890</w:t>
            </w:r>
          </w:p>
        </w:tc>
        <w:tc>
          <w:tcPr>
            <w:tcW w:w="955" w:type="dxa"/>
            <w:tcBorders>
              <w:top w:val="nil"/>
              <w:left w:val="nil"/>
              <w:bottom w:val="nil"/>
              <w:right w:val="nil"/>
            </w:tcBorders>
            <w:shd w:val="clear" w:color="auto" w:fill="auto"/>
            <w:noWrap/>
            <w:vAlign w:val="center"/>
            <w:hideMark/>
          </w:tcPr>
          <w:p w14:paraId="1521BDBD" w14:textId="30251246" w:rsidR="00A42D6B" w:rsidRPr="002138C0" w:rsidRDefault="00A42D6B" w:rsidP="00A42D6B">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29 200</w:t>
            </w:r>
          </w:p>
        </w:tc>
      </w:tr>
      <w:tr w:rsidR="00A42D6B" w:rsidRPr="002138C0" w14:paraId="6CF32913" w14:textId="77777777" w:rsidTr="00B3483B">
        <w:trPr>
          <w:trHeight w:val="300"/>
        </w:trPr>
        <w:tc>
          <w:tcPr>
            <w:tcW w:w="3828" w:type="dxa"/>
            <w:tcBorders>
              <w:top w:val="nil"/>
              <w:left w:val="nil"/>
              <w:bottom w:val="nil"/>
              <w:right w:val="nil"/>
            </w:tcBorders>
            <w:shd w:val="clear" w:color="auto" w:fill="auto"/>
            <w:noWrap/>
            <w:vAlign w:val="bottom"/>
            <w:hideMark/>
          </w:tcPr>
          <w:p w14:paraId="1542281A" w14:textId="77777777" w:rsidR="00A42D6B" w:rsidRPr="00F23602" w:rsidRDefault="00A42D6B" w:rsidP="00A42D6B">
            <w:pPr>
              <w:overflowPunct/>
              <w:autoSpaceDE/>
              <w:autoSpaceDN/>
              <w:adjustRightInd/>
              <w:jc w:val="center"/>
              <w:textAlignment w:val="auto"/>
              <w:rPr>
                <w:rFonts w:ascii="Calibri Light" w:hAnsi="Calibri Light" w:cs="Calibri Light"/>
                <w:color w:val="000000"/>
                <w:sz w:val="22"/>
                <w:szCs w:val="22"/>
              </w:rPr>
            </w:pPr>
          </w:p>
        </w:tc>
        <w:tc>
          <w:tcPr>
            <w:tcW w:w="648" w:type="dxa"/>
            <w:tcBorders>
              <w:top w:val="nil"/>
              <w:left w:val="nil"/>
              <w:bottom w:val="nil"/>
              <w:right w:val="single" w:sz="4" w:space="0" w:color="auto"/>
            </w:tcBorders>
            <w:shd w:val="clear" w:color="auto" w:fill="auto"/>
            <w:noWrap/>
            <w:vAlign w:val="bottom"/>
            <w:hideMark/>
          </w:tcPr>
          <w:p w14:paraId="26092D49" w14:textId="4B33D07E" w:rsidR="00A42D6B" w:rsidRPr="00F23602" w:rsidRDefault="00A42D6B" w:rsidP="00A42D6B">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25</w:t>
            </w:r>
          </w:p>
        </w:tc>
        <w:tc>
          <w:tcPr>
            <w:tcW w:w="955" w:type="dxa"/>
            <w:tcBorders>
              <w:top w:val="nil"/>
              <w:left w:val="single" w:sz="4" w:space="0" w:color="auto"/>
              <w:bottom w:val="nil"/>
              <w:right w:val="nil"/>
            </w:tcBorders>
            <w:shd w:val="clear" w:color="auto" w:fill="auto"/>
            <w:noWrap/>
            <w:vAlign w:val="center"/>
            <w:hideMark/>
          </w:tcPr>
          <w:p w14:paraId="491B1A11" w14:textId="7E2F5BCB" w:rsidR="00A42D6B" w:rsidRPr="00F23602" w:rsidRDefault="00A42D6B" w:rsidP="00A42D6B">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17 270</w:t>
            </w:r>
          </w:p>
        </w:tc>
        <w:tc>
          <w:tcPr>
            <w:tcW w:w="955" w:type="dxa"/>
            <w:tcBorders>
              <w:top w:val="nil"/>
              <w:left w:val="nil"/>
              <w:bottom w:val="nil"/>
              <w:right w:val="nil"/>
            </w:tcBorders>
            <w:shd w:val="clear" w:color="auto" w:fill="auto"/>
            <w:noWrap/>
            <w:vAlign w:val="center"/>
            <w:hideMark/>
          </w:tcPr>
          <w:p w14:paraId="2FC3E222" w14:textId="59959544" w:rsidR="00A42D6B" w:rsidRPr="00F23602" w:rsidRDefault="00A42D6B" w:rsidP="00A42D6B">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19 320</w:t>
            </w:r>
          </w:p>
        </w:tc>
        <w:tc>
          <w:tcPr>
            <w:tcW w:w="955" w:type="dxa"/>
            <w:tcBorders>
              <w:top w:val="nil"/>
              <w:left w:val="nil"/>
              <w:bottom w:val="nil"/>
              <w:right w:val="nil"/>
            </w:tcBorders>
            <w:shd w:val="clear" w:color="auto" w:fill="auto"/>
            <w:noWrap/>
            <w:vAlign w:val="center"/>
            <w:hideMark/>
          </w:tcPr>
          <w:p w14:paraId="08C6F1AB" w14:textId="4F8338C1" w:rsidR="00A42D6B" w:rsidRPr="00F23602" w:rsidRDefault="00A42D6B" w:rsidP="00A42D6B">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21 510</w:t>
            </w:r>
          </w:p>
        </w:tc>
        <w:tc>
          <w:tcPr>
            <w:tcW w:w="955" w:type="dxa"/>
            <w:tcBorders>
              <w:top w:val="nil"/>
              <w:left w:val="nil"/>
              <w:bottom w:val="nil"/>
              <w:right w:val="nil"/>
            </w:tcBorders>
            <w:shd w:val="clear" w:color="auto" w:fill="DAF3EA"/>
            <w:noWrap/>
            <w:vAlign w:val="center"/>
            <w:hideMark/>
          </w:tcPr>
          <w:p w14:paraId="5331F341" w14:textId="411DC0C8" w:rsidR="00A42D6B" w:rsidRPr="002138C0" w:rsidRDefault="00A42D6B" w:rsidP="00A42D6B">
            <w:pPr>
              <w:overflowPunct/>
              <w:autoSpaceDE/>
              <w:autoSpaceDN/>
              <w:adjustRightInd/>
              <w:jc w:val="center"/>
              <w:textAlignment w:val="auto"/>
              <w:rPr>
                <w:rFonts w:ascii="Calibri Light" w:hAnsi="Calibri Light" w:cs="Calibri Light"/>
                <w:color w:val="000000"/>
                <w:sz w:val="22"/>
                <w:szCs w:val="22"/>
                <w:highlight w:val="yellow"/>
              </w:rPr>
            </w:pPr>
            <w:r>
              <w:rPr>
                <w:rFonts w:ascii="Calibri Light" w:hAnsi="Calibri Light" w:cs="Calibri Light"/>
                <w:color w:val="000000"/>
                <w:sz w:val="22"/>
                <w:szCs w:val="22"/>
              </w:rPr>
              <w:t>22 990</w:t>
            </w:r>
          </w:p>
        </w:tc>
        <w:tc>
          <w:tcPr>
            <w:tcW w:w="955" w:type="dxa"/>
            <w:tcBorders>
              <w:top w:val="nil"/>
              <w:left w:val="nil"/>
              <w:bottom w:val="nil"/>
              <w:right w:val="nil"/>
            </w:tcBorders>
            <w:shd w:val="clear" w:color="000000" w:fill="FFFFFF" w:themeFill="background1"/>
            <w:noWrap/>
            <w:vAlign w:val="center"/>
            <w:hideMark/>
          </w:tcPr>
          <w:p w14:paraId="3E4DDF0D" w14:textId="2AED6FB5" w:rsidR="00A42D6B" w:rsidRPr="002138C0" w:rsidRDefault="00A42D6B" w:rsidP="00A42D6B">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23 820</w:t>
            </w:r>
          </w:p>
        </w:tc>
        <w:tc>
          <w:tcPr>
            <w:tcW w:w="955" w:type="dxa"/>
            <w:tcBorders>
              <w:top w:val="nil"/>
              <w:left w:val="nil"/>
              <w:bottom w:val="nil"/>
              <w:right w:val="nil"/>
            </w:tcBorders>
            <w:shd w:val="clear" w:color="auto" w:fill="auto"/>
            <w:noWrap/>
            <w:vAlign w:val="center"/>
            <w:hideMark/>
          </w:tcPr>
          <w:p w14:paraId="4C72D8C7" w14:textId="37407D6D" w:rsidR="00A42D6B" w:rsidRPr="002138C0" w:rsidRDefault="00A42D6B" w:rsidP="00A42D6B">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26 260</w:t>
            </w:r>
          </w:p>
        </w:tc>
      </w:tr>
      <w:tr w:rsidR="00A42D6B" w:rsidRPr="002138C0" w14:paraId="2841560E" w14:textId="77777777" w:rsidTr="00B3483B">
        <w:trPr>
          <w:trHeight w:val="300"/>
        </w:trPr>
        <w:tc>
          <w:tcPr>
            <w:tcW w:w="3828" w:type="dxa"/>
            <w:tcBorders>
              <w:top w:val="nil"/>
              <w:left w:val="nil"/>
              <w:bottom w:val="nil"/>
              <w:right w:val="nil"/>
            </w:tcBorders>
            <w:shd w:val="clear" w:color="auto" w:fill="auto"/>
            <w:noWrap/>
            <w:vAlign w:val="bottom"/>
          </w:tcPr>
          <w:p w14:paraId="0BC465CE" w14:textId="77777777" w:rsidR="00A42D6B" w:rsidRPr="00F23602" w:rsidRDefault="00A42D6B" w:rsidP="00A42D6B">
            <w:pPr>
              <w:overflowPunct/>
              <w:autoSpaceDE/>
              <w:autoSpaceDN/>
              <w:adjustRightInd/>
              <w:jc w:val="center"/>
              <w:textAlignment w:val="auto"/>
              <w:rPr>
                <w:rFonts w:ascii="Calibri Light" w:hAnsi="Calibri Light" w:cs="Calibri Light"/>
                <w:color w:val="000000"/>
                <w:sz w:val="22"/>
                <w:szCs w:val="22"/>
              </w:rPr>
            </w:pPr>
          </w:p>
        </w:tc>
        <w:tc>
          <w:tcPr>
            <w:tcW w:w="648" w:type="dxa"/>
            <w:tcBorders>
              <w:top w:val="nil"/>
              <w:left w:val="nil"/>
              <w:bottom w:val="nil"/>
              <w:right w:val="single" w:sz="4" w:space="0" w:color="auto"/>
            </w:tcBorders>
            <w:shd w:val="clear" w:color="auto" w:fill="DAF3EA"/>
            <w:noWrap/>
            <w:vAlign w:val="center"/>
          </w:tcPr>
          <w:p w14:paraId="088256B9" w14:textId="5A3B9AF6" w:rsidR="00A42D6B" w:rsidRPr="00F23602" w:rsidRDefault="00A42D6B" w:rsidP="00A42D6B">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b/>
                <w:bCs/>
                <w:color w:val="000000"/>
                <w:sz w:val="22"/>
                <w:szCs w:val="22"/>
              </w:rPr>
              <w:t>26,6</w:t>
            </w:r>
          </w:p>
        </w:tc>
        <w:tc>
          <w:tcPr>
            <w:tcW w:w="955" w:type="dxa"/>
            <w:tcBorders>
              <w:top w:val="nil"/>
              <w:left w:val="single" w:sz="4" w:space="0" w:color="auto"/>
              <w:bottom w:val="nil"/>
              <w:right w:val="nil"/>
            </w:tcBorders>
            <w:shd w:val="clear" w:color="auto" w:fill="DAF3EA"/>
            <w:noWrap/>
            <w:vAlign w:val="center"/>
          </w:tcPr>
          <w:p w14:paraId="0B45A43E" w14:textId="0B0FCD31" w:rsidR="00A42D6B" w:rsidRDefault="00A42D6B" w:rsidP="00A42D6B">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16 500</w:t>
            </w:r>
          </w:p>
        </w:tc>
        <w:tc>
          <w:tcPr>
            <w:tcW w:w="955" w:type="dxa"/>
            <w:tcBorders>
              <w:top w:val="nil"/>
              <w:left w:val="nil"/>
              <w:bottom w:val="nil"/>
              <w:right w:val="nil"/>
            </w:tcBorders>
            <w:shd w:val="clear" w:color="auto" w:fill="DAF3EA"/>
            <w:noWrap/>
            <w:vAlign w:val="center"/>
          </w:tcPr>
          <w:p w14:paraId="09BA985F" w14:textId="35FC3DE6" w:rsidR="00A42D6B" w:rsidRDefault="00A42D6B" w:rsidP="00A42D6B">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18 570</w:t>
            </w:r>
          </w:p>
        </w:tc>
        <w:tc>
          <w:tcPr>
            <w:tcW w:w="955" w:type="dxa"/>
            <w:tcBorders>
              <w:top w:val="nil"/>
              <w:left w:val="nil"/>
              <w:bottom w:val="nil"/>
              <w:right w:val="nil"/>
            </w:tcBorders>
            <w:shd w:val="clear" w:color="auto" w:fill="DAF3EA"/>
            <w:noWrap/>
            <w:vAlign w:val="center"/>
          </w:tcPr>
          <w:p w14:paraId="567430AE" w14:textId="202DC8F4" w:rsidR="00A42D6B" w:rsidRDefault="00A42D6B" w:rsidP="00A42D6B">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20 780</w:t>
            </w:r>
          </w:p>
        </w:tc>
        <w:tc>
          <w:tcPr>
            <w:tcW w:w="955" w:type="dxa"/>
            <w:tcBorders>
              <w:top w:val="nil"/>
              <w:left w:val="nil"/>
              <w:bottom w:val="nil"/>
              <w:right w:val="nil"/>
            </w:tcBorders>
            <w:shd w:val="clear" w:color="auto" w:fill="DAF3EA"/>
            <w:noWrap/>
            <w:vAlign w:val="center"/>
          </w:tcPr>
          <w:p w14:paraId="427C5795" w14:textId="15724385" w:rsidR="00A42D6B" w:rsidRDefault="00A42D6B" w:rsidP="00A42D6B">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b/>
                <w:bCs/>
                <w:color w:val="000000"/>
                <w:sz w:val="22"/>
                <w:szCs w:val="22"/>
              </w:rPr>
              <w:t>22 280</w:t>
            </w:r>
          </w:p>
        </w:tc>
        <w:tc>
          <w:tcPr>
            <w:tcW w:w="955" w:type="dxa"/>
            <w:tcBorders>
              <w:top w:val="nil"/>
              <w:left w:val="nil"/>
              <w:bottom w:val="nil"/>
              <w:right w:val="nil"/>
            </w:tcBorders>
            <w:shd w:val="clear" w:color="auto" w:fill="DAF3EA"/>
            <w:noWrap/>
            <w:vAlign w:val="center"/>
          </w:tcPr>
          <w:p w14:paraId="3738B6D6" w14:textId="7FCB3660" w:rsidR="00A42D6B" w:rsidRDefault="00A42D6B" w:rsidP="00A42D6B">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23 130</w:t>
            </w:r>
          </w:p>
        </w:tc>
        <w:tc>
          <w:tcPr>
            <w:tcW w:w="955" w:type="dxa"/>
            <w:tcBorders>
              <w:top w:val="nil"/>
              <w:left w:val="nil"/>
              <w:bottom w:val="nil"/>
              <w:right w:val="nil"/>
            </w:tcBorders>
            <w:shd w:val="clear" w:color="auto" w:fill="DAF3EA"/>
            <w:noWrap/>
            <w:vAlign w:val="center"/>
          </w:tcPr>
          <w:p w14:paraId="15CB0311" w14:textId="2D50E04E" w:rsidR="00A42D6B" w:rsidRDefault="00A42D6B" w:rsidP="00A42D6B">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25 600</w:t>
            </w:r>
          </w:p>
        </w:tc>
      </w:tr>
      <w:tr w:rsidR="00A42D6B" w:rsidRPr="002138C0" w14:paraId="46B86678" w14:textId="77777777" w:rsidTr="00B3483B">
        <w:trPr>
          <w:trHeight w:val="300"/>
        </w:trPr>
        <w:tc>
          <w:tcPr>
            <w:tcW w:w="3828" w:type="dxa"/>
            <w:tcBorders>
              <w:top w:val="nil"/>
              <w:left w:val="nil"/>
              <w:bottom w:val="single" w:sz="4" w:space="0" w:color="auto"/>
              <w:right w:val="nil"/>
            </w:tcBorders>
            <w:shd w:val="clear" w:color="auto" w:fill="auto"/>
            <w:noWrap/>
            <w:vAlign w:val="bottom"/>
            <w:hideMark/>
          </w:tcPr>
          <w:p w14:paraId="477BB57D" w14:textId="77777777" w:rsidR="00A42D6B" w:rsidRPr="00F23602" w:rsidRDefault="00A42D6B" w:rsidP="00A42D6B">
            <w:pPr>
              <w:overflowPunct/>
              <w:autoSpaceDE/>
              <w:autoSpaceDN/>
              <w:adjustRightInd/>
              <w:jc w:val="left"/>
              <w:textAlignment w:val="auto"/>
              <w:rPr>
                <w:rFonts w:ascii="Calibri Light" w:hAnsi="Calibri Light" w:cs="Calibri Light"/>
                <w:color w:val="000000"/>
                <w:sz w:val="22"/>
                <w:szCs w:val="22"/>
              </w:rPr>
            </w:pPr>
            <w:r w:rsidRPr="00F23602">
              <w:rPr>
                <w:rFonts w:ascii="Calibri Light" w:hAnsi="Calibri Light" w:cs="Calibri Light"/>
                <w:color w:val="000000"/>
                <w:sz w:val="22"/>
                <w:szCs w:val="22"/>
              </w:rPr>
              <w:t> </w:t>
            </w:r>
          </w:p>
        </w:tc>
        <w:tc>
          <w:tcPr>
            <w:tcW w:w="648" w:type="dxa"/>
            <w:tcBorders>
              <w:top w:val="nil"/>
              <w:left w:val="nil"/>
              <w:bottom w:val="single" w:sz="4" w:space="0" w:color="auto"/>
              <w:right w:val="single" w:sz="4" w:space="0" w:color="auto"/>
            </w:tcBorders>
            <w:shd w:val="clear" w:color="auto" w:fill="auto"/>
            <w:noWrap/>
            <w:vAlign w:val="center"/>
            <w:hideMark/>
          </w:tcPr>
          <w:p w14:paraId="6FEE525A" w14:textId="289621B9" w:rsidR="00A42D6B" w:rsidRPr="00F23602" w:rsidRDefault="00A42D6B" w:rsidP="00A42D6B">
            <w:pPr>
              <w:overflowPunct/>
              <w:autoSpaceDE/>
              <w:autoSpaceDN/>
              <w:adjustRightInd/>
              <w:jc w:val="center"/>
              <w:textAlignment w:val="auto"/>
              <w:rPr>
                <w:rFonts w:ascii="Calibri Light" w:hAnsi="Calibri Light" w:cs="Calibri Light"/>
                <w:color w:val="000000"/>
                <w:sz w:val="22"/>
                <w:szCs w:val="22"/>
              </w:rPr>
            </w:pPr>
            <w:r>
              <w:rPr>
                <w:rFonts w:ascii="Calibri Light" w:hAnsi="Calibri Light" w:cs="Calibri Light"/>
                <w:color w:val="000000"/>
                <w:sz w:val="22"/>
                <w:szCs w:val="22"/>
              </w:rPr>
              <w:t>30</w:t>
            </w:r>
          </w:p>
        </w:tc>
        <w:tc>
          <w:tcPr>
            <w:tcW w:w="955" w:type="dxa"/>
            <w:tcBorders>
              <w:top w:val="nil"/>
              <w:left w:val="single" w:sz="4" w:space="0" w:color="auto"/>
              <w:bottom w:val="single" w:sz="4" w:space="0" w:color="auto"/>
              <w:right w:val="nil"/>
            </w:tcBorders>
            <w:shd w:val="clear" w:color="auto" w:fill="auto"/>
            <w:noWrap/>
            <w:vAlign w:val="center"/>
            <w:hideMark/>
          </w:tcPr>
          <w:p w14:paraId="24DA2DA6" w14:textId="001A8061" w:rsidR="00A42D6B" w:rsidRPr="00F23602" w:rsidRDefault="00A42D6B" w:rsidP="00A42D6B">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15 060</w:t>
            </w:r>
          </w:p>
        </w:tc>
        <w:tc>
          <w:tcPr>
            <w:tcW w:w="955" w:type="dxa"/>
            <w:tcBorders>
              <w:top w:val="nil"/>
              <w:left w:val="nil"/>
              <w:bottom w:val="single" w:sz="4" w:space="0" w:color="auto"/>
              <w:right w:val="nil"/>
            </w:tcBorders>
            <w:shd w:val="clear" w:color="auto" w:fill="auto"/>
            <w:noWrap/>
            <w:vAlign w:val="center"/>
            <w:hideMark/>
          </w:tcPr>
          <w:p w14:paraId="611602F5" w14:textId="23C22FFA" w:rsidR="00A42D6B" w:rsidRPr="00F23602" w:rsidRDefault="00A42D6B" w:rsidP="00A42D6B">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17 180</w:t>
            </w:r>
          </w:p>
        </w:tc>
        <w:tc>
          <w:tcPr>
            <w:tcW w:w="955" w:type="dxa"/>
            <w:tcBorders>
              <w:top w:val="nil"/>
              <w:left w:val="nil"/>
              <w:bottom w:val="single" w:sz="4" w:space="0" w:color="auto"/>
              <w:right w:val="nil"/>
            </w:tcBorders>
            <w:shd w:val="clear" w:color="auto" w:fill="auto"/>
            <w:noWrap/>
            <w:vAlign w:val="center"/>
            <w:hideMark/>
          </w:tcPr>
          <w:p w14:paraId="247C600D" w14:textId="70D8F945" w:rsidR="00A42D6B" w:rsidRPr="00F23602" w:rsidRDefault="00A42D6B" w:rsidP="00A42D6B">
            <w:pPr>
              <w:overflowPunct/>
              <w:autoSpaceDE/>
              <w:autoSpaceDN/>
              <w:adjustRightInd/>
              <w:jc w:val="center"/>
              <w:textAlignment w:val="auto"/>
              <w:rPr>
                <w:rFonts w:asciiTheme="majorHAnsi" w:hAnsiTheme="majorHAnsi" w:cstheme="majorHAnsi"/>
                <w:color w:val="000000"/>
                <w:sz w:val="22"/>
                <w:szCs w:val="22"/>
              </w:rPr>
            </w:pPr>
            <w:r>
              <w:rPr>
                <w:rFonts w:ascii="Calibri Light" w:hAnsi="Calibri Light" w:cs="Calibri Light"/>
                <w:color w:val="000000"/>
                <w:sz w:val="22"/>
                <w:szCs w:val="22"/>
              </w:rPr>
              <w:t>19 460</w:t>
            </w:r>
          </w:p>
        </w:tc>
        <w:tc>
          <w:tcPr>
            <w:tcW w:w="955" w:type="dxa"/>
            <w:tcBorders>
              <w:top w:val="nil"/>
              <w:left w:val="nil"/>
              <w:bottom w:val="single" w:sz="4" w:space="0" w:color="auto"/>
              <w:right w:val="nil"/>
            </w:tcBorders>
            <w:shd w:val="clear" w:color="auto" w:fill="DAF3EA"/>
            <w:noWrap/>
            <w:vAlign w:val="center"/>
            <w:hideMark/>
          </w:tcPr>
          <w:p w14:paraId="527D8D8A" w14:textId="7622F90F" w:rsidR="00A42D6B" w:rsidRPr="002138C0" w:rsidRDefault="00A42D6B" w:rsidP="00A42D6B">
            <w:pPr>
              <w:overflowPunct/>
              <w:autoSpaceDE/>
              <w:autoSpaceDN/>
              <w:adjustRightInd/>
              <w:jc w:val="center"/>
              <w:textAlignment w:val="auto"/>
              <w:rPr>
                <w:rFonts w:ascii="Calibri Light" w:hAnsi="Calibri Light" w:cs="Calibri Light"/>
                <w:color w:val="000000"/>
                <w:sz w:val="22"/>
                <w:szCs w:val="22"/>
                <w:highlight w:val="yellow"/>
              </w:rPr>
            </w:pPr>
            <w:r>
              <w:rPr>
                <w:rFonts w:ascii="Calibri Light" w:hAnsi="Calibri Light" w:cs="Calibri Light"/>
                <w:color w:val="000000"/>
                <w:sz w:val="22"/>
                <w:szCs w:val="22"/>
              </w:rPr>
              <w:t>21 000</w:t>
            </w:r>
          </w:p>
        </w:tc>
        <w:tc>
          <w:tcPr>
            <w:tcW w:w="955" w:type="dxa"/>
            <w:tcBorders>
              <w:top w:val="nil"/>
              <w:left w:val="nil"/>
              <w:bottom w:val="single" w:sz="4" w:space="0" w:color="auto"/>
              <w:right w:val="nil"/>
            </w:tcBorders>
            <w:shd w:val="clear" w:color="000000" w:fill="FFFFFF" w:themeFill="background1"/>
            <w:noWrap/>
            <w:vAlign w:val="center"/>
            <w:hideMark/>
          </w:tcPr>
          <w:p w14:paraId="35ABD787" w14:textId="0AD8F913" w:rsidR="00A42D6B" w:rsidRPr="002138C0" w:rsidRDefault="00A42D6B" w:rsidP="00A42D6B">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21 880</w:t>
            </w:r>
          </w:p>
        </w:tc>
        <w:tc>
          <w:tcPr>
            <w:tcW w:w="955" w:type="dxa"/>
            <w:tcBorders>
              <w:top w:val="nil"/>
              <w:left w:val="nil"/>
              <w:bottom w:val="single" w:sz="4" w:space="0" w:color="auto"/>
              <w:right w:val="nil"/>
            </w:tcBorders>
            <w:shd w:val="clear" w:color="auto" w:fill="auto"/>
            <w:noWrap/>
            <w:vAlign w:val="center"/>
            <w:hideMark/>
          </w:tcPr>
          <w:p w14:paraId="1C781B34" w14:textId="3A40D1D5" w:rsidR="00A42D6B" w:rsidRPr="002138C0" w:rsidRDefault="00A42D6B" w:rsidP="00A42D6B">
            <w:pPr>
              <w:overflowPunct/>
              <w:autoSpaceDE/>
              <w:autoSpaceDN/>
              <w:adjustRightInd/>
              <w:jc w:val="center"/>
              <w:textAlignment w:val="auto"/>
              <w:rPr>
                <w:rFonts w:asciiTheme="majorHAnsi" w:hAnsiTheme="majorHAnsi" w:cstheme="majorHAnsi"/>
                <w:color w:val="000000"/>
                <w:sz w:val="22"/>
                <w:szCs w:val="22"/>
                <w:highlight w:val="yellow"/>
              </w:rPr>
            </w:pPr>
            <w:r>
              <w:rPr>
                <w:rFonts w:ascii="Calibri Light" w:hAnsi="Calibri Light" w:cs="Calibri Light"/>
                <w:color w:val="000000"/>
                <w:sz w:val="22"/>
                <w:szCs w:val="22"/>
              </w:rPr>
              <w:t>24 430</w:t>
            </w:r>
          </w:p>
        </w:tc>
      </w:tr>
      <w:tr w:rsidR="00D5517C" w:rsidRPr="002138C0" w14:paraId="58395EC8" w14:textId="77777777" w:rsidTr="00EB1892">
        <w:trPr>
          <w:trHeight w:val="300"/>
        </w:trPr>
        <w:tc>
          <w:tcPr>
            <w:tcW w:w="3828" w:type="dxa"/>
            <w:tcBorders>
              <w:top w:val="nil"/>
              <w:left w:val="nil"/>
              <w:bottom w:val="nil"/>
              <w:right w:val="nil"/>
            </w:tcBorders>
            <w:shd w:val="clear" w:color="auto" w:fill="auto"/>
            <w:noWrap/>
            <w:vAlign w:val="bottom"/>
            <w:hideMark/>
          </w:tcPr>
          <w:p w14:paraId="2B3FD57F" w14:textId="5396F87E" w:rsidR="00D5517C" w:rsidRPr="00AA62A7" w:rsidRDefault="00D5517C" w:rsidP="00D5517C">
            <w:pPr>
              <w:overflowPunct/>
              <w:autoSpaceDE/>
              <w:autoSpaceDN/>
              <w:adjustRightInd/>
              <w:jc w:val="left"/>
              <w:textAlignment w:val="auto"/>
              <w:rPr>
                <w:rFonts w:asciiTheme="minorHAnsi" w:hAnsiTheme="minorHAnsi" w:cstheme="minorHAnsi"/>
                <w:color w:val="13576B"/>
                <w:sz w:val="20"/>
              </w:rPr>
            </w:pPr>
            <w:r w:rsidRPr="00AA62A7">
              <w:rPr>
                <w:rFonts w:asciiTheme="minorHAnsi" w:hAnsiTheme="minorHAnsi" w:cstheme="minorHAnsi"/>
                <w:color w:val="2F5496" w:themeColor="accent5" w:themeShade="BF"/>
                <w:sz w:val="20"/>
              </w:rPr>
              <w:t>Pramen</w:t>
            </w:r>
            <w:r w:rsidRPr="00AA62A7">
              <w:rPr>
                <w:rFonts w:asciiTheme="minorHAnsi" w:hAnsiTheme="minorHAnsi" w:cstheme="minorHAnsi"/>
                <w:color w:val="13576B"/>
                <w:sz w:val="20"/>
              </w:rPr>
              <w:t>: ČBA</w:t>
            </w:r>
            <w:r w:rsidR="00952AEF" w:rsidRPr="00AA62A7">
              <w:rPr>
                <w:rFonts w:asciiTheme="minorHAnsi" w:hAnsiTheme="minorHAnsi" w:cstheme="minorHAnsi"/>
                <w:color w:val="13576B"/>
                <w:sz w:val="20"/>
              </w:rPr>
              <w:t xml:space="preserve"> </w:t>
            </w:r>
            <w:r w:rsidR="00952AEF" w:rsidRPr="00AA62A7">
              <w:rPr>
                <w:rStyle w:val="Znakapoznpodarou"/>
                <w:rFonts w:asciiTheme="minorHAnsi" w:hAnsiTheme="minorHAnsi" w:cstheme="minorHAnsi"/>
                <w:color w:val="2F5496" w:themeColor="accent5" w:themeShade="BF"/>
                <w:sz w:val="20"/>
              </w:rPr>
              <w:footnoteReference w:id="2"/>
            </w:r>
          </w:p>
        </w:tc>
        <w:tc>
          <w:tcPr>
            <w:tcW w:w="648" w:type="dxa"/>
            <w:tcBorders>
              <w:top w:val="nil"/>
              <w:left w:val="nil"/>
              <w:bottom w:val="nil"/>
              <w:right w:val="nil"/>
            </w:tcBorders>
            <w:shd w:val="clear" w:color="auto" w:fill="auto"/>
            <w:noWrap/>
            <w:vAlign w:val="bottom"/>
            <w:hideMark/>
          </w:tcPr>
          <w:p w14:paraId="4AEE430D" w14:textId="77777777" w:rsidR="00D5517C" w:rsidRPr="00AA62A7" w:rsidRDefault="00D5517C" w:rsidP="00D5517C">
            <w:pPr>
              <w:overflowPunct/>
              <w:autoSpaceDE/>
              <w:autoSpaceDN/>
              <w:adjustRightInd/>
              <w:jc w:val="left"/>
              <w:textAlignment w:val="auto"/>
              <w:rPr>
                <w:rFonts w:asciiTheme="minorHAnsi" w:hAnsiTheme="minorHAnsi" w:cstheme="minorHAnsi"/>
                <w:color w:val="13576B"/>
                <w:sz w:val="22"/>
                <w:szCs w:val="22"/>
              </w:rPr>
            </w:pPr>
          </w:p>
        </w:tc>
        <w:tc>
          <w:tcPr>
            <w:tcW w:w="955" w:type="dxa"/>
            <w:tcBorders>
              <w:top w:val="nil"/>
              <w:left w:val="nil"/>
              <w:bottom w:val="nil"/>
              <w:right w:val="nil"/>
            </w:tcBorders>
            <w:shd w:val="clear" w:color="auto" w:fill="auto"/>
            <w:noWrap/>
            <w:vAlign w:val="bottom"/>
            <w:hideMark/>
          </w:tcPr>
          <w:p w14:paraId="318F225D" w14:textId="77777777" w:rsidR="00D5517C" w:rsidRPr="00AA62A7" w:rsidRDefault="00D5517C" w:rsidP="00D5517C">
            <w:pPr>
              <w:overflowPunct/>
              <w:autoSpaceDE/>
              <w:autoSpaceDN/>
              <w:adjustRightInd/>
              <w:jc w:val="left"/>
              <w:textAlignment w:val="auto"/>
              <w:rPr>
                <w:rFonts w:asciiTheme="minorHAnsi" w:hAnsiTheme="minorHAnsi" w:cstheme="minorHAnsi"/>
                <w:sz w:val="20"/>
              </w:rPr>
            </w:pPr>
          </w:p>
        </w:tc>
        <w:tc>
          <w:tcPr>
            <w:tcW w:w="955" w:type="dxa"/>
            <w:tcBorders>
              <w:top w:val="nil"/>
              <w:left w:val="nil"/>
              <w:bottom w:val="nil"/>
              <w:right w:val="nil"/>
            </w:tcBorders>
            <w:shd w:val="clear" w:color="auto" w:fill="auto"/>
            <w:noWrap/>
            <w:vAlign w:val="bottom"/>
            <w:hideMark/>
          </w:tcPr>
          <w:p w14:paraId="5B261F0D" w14:textId="77777777" w:rsidR="00D5517C" w:rsidRPr="00AA62A7" w:rsidRDefault="00D5517C" w:rsidP="00D5517C">
            <w:pPr>
              <w:overflowPunct/>
              <w:autoSpaceDE/>
              <w:autoSpaceDN/>
              <w:adjustRightInd/>
              <w:jc w:val="left"/>
              <w:textAlignment w:val="auto"/>
              <w:rPr>
                <w:rFonts w:asciiTheme="minorHAnsi" w:hAnsiTheme="minorHAnsi" w:cstheme="minorHAnsi"/>
                <w:sz w:val="20"/>
              </w:rPr>
            </w:pPr>
          </w:p>
        </w:tc>
        <w:tc>
          <w:tcPr>
            <w:tcW w:w="955" w:type="dxa"/>
            <w:tcBorders>
              <w:top w:val="nil"/>
              <w:left w:val="nil"/>
              <w:bottom w:val="nil"/>
              <w:right w:val="nil"/>
            </w:tcBorders>
            <w:shd w:val="clear" w:color="auto" w:fill="auto"/>
            <w:noWrap/>
            <w:vAlign w:val="bottom"/>
            <w:hideMark/>
          </w:tcPr>
          <w:p w14:paraId="60822AAF" w14:textId="77777777" w:rsidR="00D5517C" w:rsidRPr="00AA62A7" w:rsidRDefault="00D5517C" w:rsidP="00D5517C">
            <w:pPr>
              <w:overflowPunct/>
              <w:autoSpaceDE/>
              <w:autoSpaceDN/>
              <w:adjustRightInd/>
              <w:jc w:val="left"/>
              <w:textAlignment w:val="auto"/>
              <w:rPr>
                <w:rFonts w:asciiTheme="minorHAnsi" w:hAnsiTheme="minorHAnsi" w:cstheme="minorHAnsi"/>
                <w:sz w:val="20"/>
              </w:rPr>
            </w:pPr>
          </w:p>
        </w:tc>
        <w:tc>
          <w:tcPr>
            <w:tcW w:w="955" w:type="dxa"/>
            <w:tcBorders>
              <w:top w:val="nil"/>
              <w:left w:val="nil"/>
              <w:bottom w:val="nil"/>
              <w:right w:val="nil"/>
            </w:tcBorders>
            <w:shd w:val="clear" w:color="auto" w:fill="auto"/>
            <w:noWrap/>
            <w:vAlign w:val="bottom"/>
            <w:hideMark/>
          </w:tcPr>
          <w:p w14:paraId="7CAC6A2A" w14:textId="77777777" w:rsidR="00D5517C" w:rsidRPr="00AA62A7" w:rsidRDefault="00D5517C" w:rsidP="00483136">
            <w:pPr>
              <w:overflowPunct/>
              <w:autoSpaceDE/>
              <w:autoSpaceDN/>
              <w:adjustRightInd/>
              <w:jc w:val="center"/>
              <w:textAlignment w:val="auto"/>
              <w:rPr>
                <w:rFonts w:asciiTheme="minorHAnsi" w:hAnsiTheme="minorHAnsi" w:cstheme="minorHAnsi"/>
                <w:color w:val="000000"/>
                <w:sz w:val="22"/>
                <w:szCs w:val="22"/>
                <w:highlight w:val="yellow"/>
              </w:rPr>
            </w:pPr>
          </w:p>
        </w:tc>
        <w:tc>
          <w:tcPr>
            <w:tcW w:w="955" w:type="dxa"/>
            <w:tcBorders>
              <w:top w:val="nil"/>
              <w:left w:val="nil"/>
              <w:bottom w:val="nil"/>
              <w:right w:val="nil"/>
            </w:tcBorders>
            <w:shd w:val="clear" w:color="auto" w:fill="auto"/>
            <w:noWrap/>
            <w:vAlign w:val="bottom"/>
            <w:hideMark/>
          </w:tcPr>
          <w:p w14:paraId="7D71D15A" w14:textId="77777777" w:rsidR="00D5517C" w:rsidRPr="00AA62A7" w:rsidRDefault="00D5517C" w:rsidP="00D5517C">
            <w:pPr>
              <w:overflowPunct/>
              <w:autoSpaceDE/>
              <w:autoSpaceDN/>
              <w:adjustRightInd/>
              <w:jc w:val="left"/>
              <w:textAlignment w:val="auto"/>
              <w:rPr>
                <w:rFonts w:asciiTheme="minorHAnsi" w:hAnsiTheme="minorHAnsi" w:cstheme="minorHAnsi"/>
                <w:sz w:val="20"/>
                <w:highlight w:val="yellow"/>
              </w:rPr>
            </w:pPr>
          </w:p>
        </w:tc>
        <w:tc>
          <w:tcPr>
            <w:tcW w:w="955" w:type="dxa"/>
            <w:tcBorders>
              <w:top w:val="nil"/>
              <w:left w:val="nil"/>
              <w:bottom w:val="nil"/>
              <w:right w:val="nil"/>
            </w:tcBorders>
            <w:shd w:val="clear" w:color="auto" w:fill="auto"/>
            <w:noWrap/>
            <w:vAlign w:val="bottom"/>
            <w:hideMark/>
          </w:tcPr>
          <w:p w14:paraId="127972E4" w14:textId="77777777" w:rsidR="00D5517C" w:rsidRPr="00AA62A7" w:rsidRDefault="00D5517C" w:rsidP="00D5517C">
            <w:pPr>
              <w:overflowPunct/>
              <w:autoSpaceDE/>
              <w:autoSpaceDN/>
              <w:adjustRightInd/>
              <w:jc w:val="left"/>
              <w:textAlignment w:val="auto"/>
              <w:rPr>
                <w:rFonts w:asciiTheme="minorHAnsi" w:hAnsiTheme="minorHAnsi" w:cstheme="minorHAnsi"/>
                <w:sz w:val="20"/>
                <w:highlight w:val="yellow"/>
              </w:rPr>
            </w:pPr>
          </w:p>
        </w:tc>
      </w:tr>
      <w:tr w:rsidR="00D5517C" w:rsidRPr="002138C0" w14:paraId="17E5FF51" w14:textId="77777777" w:rsidTr="00EB1892">
        <w:trPr>
          <w:trHeight w:val="300"/>
        </w:trPr>
        <w:tc>
          <w:tcPr>
            <w:tcW w:w="10206" w:type="dxa"/>
            <w:gridSpan w:val="8"/>
            <w:tcBorders>
              <w:top w:val="nil"/>
              <w:left w:val="nil"/>
              <w:bottom w:val="nil"/>
              <w:right w:val="nil"/>
            </w:tcBorders>
            <w:shd w:val="clear" w:color="auto" w:fill="auto"/>
            <w:noWrap/>
            <w:vAlign w:val="bottom"/>
            <w:hideMark/>
          </w:tcPr>
          <w:p w14:paraId="2BF60336" w14:textId="02728D43" w:rsidR="00D5517C" w:rsidRPr="00AA62A7" w:rsidRDefault="00D5517C" w:rsidP="00D5517C">
            <w:pPr>
              <w:overflowPunct/>
              <w:autoSpaceDE/>
              <w:autoSpaceDN/>
              <w:adjustRightInd/>
              <w:jc w:val="left"/>
              <w:textAlignment w:val="auto"/>
              <w:rPr>
                <w:rFonts w:asciiTheme="minorHAnsi" w:hAnsiTheme="minorHAnsi" w:cstheme="minorHAnsi"/>
                <w:color w:val="13576B"/>
                <w:sz w:val="20"/>
              </w:rPr>
            </w:pPr>
            <w:r w:rsidRPr="00AA62A7">
              <w:rPr>
                <w:rFonts w:asciiTheme="minorHAnsi" w:hAnsiTheme="minorHAnsi" w:cstheme="minorHAnsi"/>
                <w:color w:val="13576B"/>
                <w:sz w:val="20"/>
              </w:rPr>
              <w:t>Pozn.: barevný sloupec odpovídá úrokové sazbě posledního ČBA Hypomonitoru, ostatní sazby jsou ilustrační</w:t>
            </w:r>
            <w:r w:rsidR="00EB1892" w:rsidRPr="00AA62A7">
              <w:rPr>
                <w:rFonts w:asciiTheme="minorHAnsi" w:hAnsiTheme="minorHAnsi" w:cstheme="minorHAnsi"/>
                <w:color w:val="13576B"/>
                <w:sz w:val="20"/>
              </w:rPr>
              <w:t xml:space="preserve">; barevný řádek odpovídá průměrné splatnosti nových hypoték podle dat ČNB; částky jsou zaokrouhleny na desítky korun. </w:t>
            </w:r>
          </w:p>
        </w:tc>
      </w:tr>
    </w:tbl>
    <w:p w14:paraId="008912E8" w14:textId="77777777" w:rsidR="005343BA" w:rsidRDefault="005343BA" w:rsidP="00EB1892">
      <w:pPr>
        <w:spacing w:after="120"/>
        <w:rPr>
          <w:rFonts w:ascii="Calibri" w:hAnsi="Calibri" w:cs="Calibri"/>
          <w:b/>
          <w:color w:val="13576B"/>
          <w:sz w:val="23"/>
          <w:szCs w:val="23"/>
        </w:rPr>
      </w:pPr>
    </w:p>
    <w:p w14:paraId="1973CBB4" w14:textId="07432AC1" w:rsidR="00EB1892" w:rsidRDefault="00EB1892" w:rsidP="00EB1892">
      <w:pPr>
        <w:spacing w:after="120"/>
        <w:rPr>
          <w:rFonts w:ascii="Calibri" w:hAnsi="Calibri" w:cs="Calibri"/>
          <w:b/>
          <w:color w:val="13576B"/>
          <w:sz w:val="23"/>
          <w:szCs w:val="23"/>
        </w:rPr>
      </w:pPr>
      <w:r w:rsidRPr="005B4653">
        <w:rPr>
          <w:rFonts w:ascii="Calibri" w:hAnsi="Calibri" w:cs="Calibri"/>
          <w:b/>
          <w:color w:val="13576B"/>
          <w:sz w:val="23"/>
          <w:szCs w:val="23"/>
        </w:rPr>
        <w:t xml:space="preserve">Graf č. </w:t>
      </w:r>
      <w:r w:rsidR="009D5F35">
        <w:rPr>
          <w:rFonts w:ascii="Calibri" w:hAnsi="Calibri" w:cs="Calibri"/>
          <w:b/>
          <w:color w:val="13576B"/>
          <w:sz w:val="23"/>
          <w:szCs w:val="23"/>
        </w:rPr>
        <w:t>3</w:t>
      </w:r>
      <w:r w:rsidRPr="005B4653">
        <w:rPr>
          <w:rFonts w:ascii="Calibri" w:hAnsi="Calibri" w:cs="Calibri"/>
          <w:b/>
          <w:color w:val="13576B"/>
          <w:sz w:val="23"/>
          <w:szCs w:val="23"/>
        </w:rPr>
        <w:t xml:space="preserve">: </w:t>
      </w:r>
      <w:r w:rsidR="009D5F35">
        <w:rPr>
          <w:rFonts w:ascii="Calibri" w:hAnsi="Calibri" w:cs="Calibri"/>
          <w:b/>
          <w:color w:val="13576B"/>
          <w:sz w:val="23"/>
          <w:szCs w:val="23"/>
        </w:rPr>
        <w:t>Ilustrativní srovnání výše měsíční splátky průměrné hypotéky s obdobím před rokem v závislosti na výši úroku, velikosti hypotéky a její splatnosti v</w:t>
      </w:r>
      <w:r w:rsidR="006C6628">
        <w:rPr>
          <w:rFonts w:ascii="Calibri" w:hAnsi="Calibri" w:cs="Calibri"/>
          <w:b/>
          <w:color w:val="13576B"/>
          <w:sz w:val="23"/>
          <w:szCs w:val="23"/>
        </w:rPr>
        <w:t> </w:t>
      </w:r>
      <w:r w:rsidR="009D5F35">
        <w:rPr>
          <w:rFonts w:ascii="Calibri" w:hAnsi="Calibri" w:cs="Calibri"/>
          <w:b/>
          <w:color w:val="13576B"/>
          <w:sz w:val="23"/>
          <w:szCs w:val="23"/>
        </w:rPr>
        <w:t>letech</w:t>
      </w:r>
    </w:p>
    <w:p w14:paraId="53510807" w14:textId="12C27A37" w:rsidR="006C6628" w:rsidRPr="006C6628" w:rsidRDefault="006C6628" w:rsidP="000B064D">
      <w:pPr>
        <w:rPr>
          <w:rFonts w:ascii="Calibri" w:hAnsi="Calibri" w:cs="Calibri"/>
          <w:bCs/>
          <w:i/>
          <w:iCs/>
          <w:color w:val="13576B"/>
          <w:sz w:val="23"/>
          <w:szCs w:val="23"/>
        </w:rPr>
      </w:pPr>
      <w:r w:rsidRPr="006C6628">
        <w:rPr>
          <w:rFonts w:ascii="Calibri" w:hAnsi="Calibri" w:cs="Calibri"/>
          <w:bCs/>
          <w:i/>
          <w:iCs/>
          <w:color w:val="13576B"/>
          <w:sz w:val="23"/>
          <w:szCs w:val="23"/>
        </w:rPr>
        <w:t>V meziročním srovnání přinesl pokles hypoteční sazby úsporu průměrné měsíční splátky o 1</w:t>
      </w:r>
      <w:r>
        <w:rPr>
          <w:rFonts w:ascii="Calibri" w:hAnsi="Calibri" w:cs="Calibri"/>
          <w:bCs/>
          <w:i/>
          <w:iCs/>
          <w:color w:val="13576B"/>
          <w:sz w:val="23"/>
          <w:szCs w:val="23"/>
        </w:rPr>
        <w:t xml:space="preserve"> </w:t>
      </w:r>
      <w:r w:rsidR="00A42D6B">
        <w:rPr>
          <w:rFonts w:ascii="Calibri" w:hAnsi="Calibri" w:cs="Calibri"/>
          <w:bCs/>
          <w:i/>
          <w:iCs/>
          <w:color w:val="13576B"/>
          <w:sz w:val="23"/>
          <w:szCs w:val="23"/>
        </w:rPr>
        <w:t>07</w:t>
      </w:r>
      <w:r w:rsidRPr="006C6628">
        <w:rPr>
          <w:rFonts w:ascii="Calibri" w:hAnsi="Calibri" w:cs="Calibri"/>
          <w:bCs/>
          <w:i/>
          <w:iCs/>
          <w:color w:val="13576B"/>
          <w:sz w:val="23"/>
          <w:szCs w:val="23"/>
        </w:rPr>
        <w:t xml:space="preserve">0 Kč, ovšem růst průměrné výše hypotéky způsobil její navýšení o </w:t>
      </w:r>
      <w:r w:rsidR="00A42D6B">
        <w:rPr>
          <w:rFonts w:ascii="Calibri" w:hAnsi="Calibri" w:cs="Calibri"/>
          <w:bCs/>
          <w:i/>
          <w:iCs/>
          <w:color w:val="13576B"/>
          <w:sz w:val="23"/>
          <w:szCs w:val="23"/>
        </w:rPr>
        <w:t>2 650</w:t>
      </w:r>
      <w:r w:rsidRPr="006C6628">
        <w:rPr>
          <w:rFonts w:ascii="Calibri" w:hAnsi="Calibri" w:cs="Calibri"/>
          <w:bCs/>
          <w:i/>
          <w:iCs/>
          <w:color w:val="13576B"/>
          <w:sz w:val="23"/>
          <w:szCs w:val="23"/>
        </w:rPr>
        <w:t xml:space="preserve"> Kč.</w:t>
      </w:r>
    </w:p>
    <w:p w14:paraId="7D566DD6" w14:textId="5326B5CE" w:rsidR="00B44209" w:rsidRDefault="00A42D6B" w:rsidP="00AA62A7">
      <w:pPr>
        <w:overflowPunct/>
        <w:autoSpaceDE/>
        <w:autoSpaceDN/>
        <w:adjustRightInd/>
        <w:spacing w:line="259" w:lineRule="auto"/>
        <w:jc w:val="left"/>
        <w:textAlignment w:val="auto"/>
        <w:rPr>
          <w:rFonts w:ascii="Calibri" w:hAnsi="Calibri" w:cs="Calibri"/>
          <w:b/>
          <w:color w:val="13576B"/>
          <w:sz w:val="24"/>
          <w:szCs w:val="24"/>
          <w:highlight w:val="yellow"/>
        </w:rPr>
      </w:pPr>
      <w:r w:rsidRPr="00A42D6B">
        <w:rPr>
          <w:rFonts w:ascii="Calibri" w:hAnsi="Calibri" w:cs="Calibri"/>
          <w:b/>
          <w:noProof/>
          <w:color w:val="13576B"/>
          <w:sz w:val="24"/>
          <w:szCs w:val="24"/>
          <w:highlight w:val="yellow"/>
        </w:rPr>
        <w:drawing>
          <wp:inline distT="0" distB="0" distL="0" distR="0" wp14:anchorId="7AD9C067" wp14:editId="6012FAA7">
            <wp:extent cx="5543550" cy="3705225"/>
            <wp:effectExtent l="0" t="0" r="0" b="9525"/>
            <wp:docPr id="11335942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3550" cy="3705225"/>
                    </a:xfrm>
                    <a:prstGeom prst="rect">
                      <a:avLst/>
                    </a:prstGeom>
                    <a:noFill/>
                    <a:ln>
                      <a:noFill/>
                    </a:ln>
                  </pic:spPr>
                </pic:pic>
              </a:graphicData>
            </a:graphic>
          </wp:inline>
        </w:drawing>
      </w:r>
    </w:p>
    <w:p w14:paraId="2DADE1A7" w14:textId="4B9EF024" w:rsidR="009D5F35" w:rsidRDefault="009D5F35" w:rsidP="009D5F35">
      <w:pPr>
        <w:overflowPunct/>
        <w:autoSpaceDE/>
        <w:adjustRightInd/>
        <w:rPr>
          <w:rFonts w:ascii="Calibri Light" w:hAnsi="Calibri Light" w:cs="Calibri Light"/>
          <w:color w:val="13576B"/>
          <w:sz w:val="20"/>
        </w:rPr>
      </w:pPr>
      <w:r w:rsidRPr="002F4CBD">
        <w:rPr>
          <w:rFonts w:ascii="Calibri Light" w:hAnsi="Calibri Light" w:cs="Calibri Light"/>
          <w:color w:val="13576B"/>
          <w:sz w:val="20"/>
        </w:rPr>
        <w:t>Pramen:</w:t>
      </w:r>
      <w:r>
        <w:rPr>
          <w:rFonts w:ascii="Calibri Light" w:hAnsi="Calibri Light" w:cs="Calibri Light"/>
          <w:color w:val="13576B"/>
          <w:sz w:val="20"/>
        </w:rPr>
        <w:t xml:space="preserve"> </w:t>
      </w:r>
      <w:r w:rsidRPr="002F4CBD">
        <w:rPr>
          <w:rFonts w:ascii="Calibri Light" w:hAnsi="Calibri Light" w:cs="Calibri Light"/>
          <w:color w:val="13576B"/>
          <w:sz w:val="20"/>
        </w:rPr>
        <w:t>ČBA</w:t>
      </w:r>
      <w:r w:rsidR="00AA62A7">
        <w:rPr>
          <w:rFonts w:ascii="Calibri Light" w:hAnsi="Calibri Light" w:cs="Calibri Light"/>
          <w:color w:val="13576B"/>
          <w:sz w:val="20"/>
        </w:rPr>
        <w:t xml:space="preserve">. Pozn.: </w:t>
      </w:r>
      <w:r w:rsidR="00AA62A7" w:rsidRPr="00AA62A7">
        <w:rPr>
          <w:rFonts w:ascii="Calibri Light" w:hAnsi="Calibri Light" w:cs="Calibri Light"/>
          <w:color w:val="13576B"/>
          <w:sz w:val="20"/>
        </w:rPr>
        <w:t>částky jsou zaokrouhleny na desítky korun.</w:t>
      </w:r>
    </w:p>
    <w:p w14:paraId="605CA941" w14:textId="77777777" w:rsidR="00173D31" w:rsidRDefault="00173D31" w:rsidP="009D5F35">
      <w:pPr>
        <w:overflowPunct/>
        <w:autoSpaceDE/>
        <w:adjustRightInd/>
        <w:rPr>
          <w:rFonts w:ascii="Calibri Light" w:hAnsi="Calibri Light" w:cs="Calibri Light"/>
          <w:color w:val="13576B"/>
          <w:sz w:val="20"/>
        </w:rPr>
      </w:pPr>
    </w:p>
    <w:p w14:paraId="7ECA69B5" w14:textId="77777777" w:rsidR="00173D31" w:rsidRDefault="00173D31" w:rsidP="009D5F35">
      <w:pPr>
        <w:overflowPunct/>
        <w:autoSpaceDE/>
        <w:adjustRightInd/>
        <w:rPr>
          <w:rFonts w:ascii="Calibri Light" w:hAnsi="Calibri Light" w:cs="Calibri Light"/>
          <w:color w:val="13576B"/>
          <w:sz w:val="20"/>
        </w:rPr>
      </w:pPr>
    </w:p>
    <w:p w14:paraId="5A72B105" w14:textId="48AC1F61" w:rsidR="002E4EFD" w:rsidRPr="002A5D11" w:rsidRDefault="008723A8" w:rsidP="002E4EFD">
      <w:pPr>
        <w:rPr>
          <w:rFonts w:ascii="Calibri" w:hAnsi="Calibri" w:cs="Calibri"/>
          <w:b/>
          <w:color w:val="13576B"/>
          <w:sz w:val="24"/>
          <w:szCs w:val="24"/>
        </w:rPr>
      </w:pPr>
      <w:r>
        <w:rPr>
          <w:rFonts w:ascii="Calibri" w:hAnsi="Calibri" w:cs="Calibri"/>
          <w:b/>
          <w:color w:val="13576B"/>
          <w:sz w:val="24"/>
          <w:szCs w:val="24"/>
        </w:rPr>
        <w:lastRenderedPageBreak/>
        <w:t>Statistická příloha</w:t>
      </w:r>
    </w:p>
    <w:p w14:paraId="384BA2E5" w14:textId="7A09F95A" w:rsidR="0033440C" w:rsidRDefault="00A42D6B" w:rsidP="009D5F35">
      <w:pPr>
        <w:overflowPunct/>
        <w:autoSpaceDE/>
        <w:adjustRightInd/>
        <w:rPr>
          <w:rFonts w:ascii="Calibri Light" w:hAnsi="Calibri Light" w:cs="Calibri Light"/>
          <w:color w:val="13576B"/>
          <w:sz w:val="20"/>
        </w:rPr>
      </w:pPr>
      <w:r w:rsidRPr="00A42D6B">
        <w:rPr>
          <w:rFonts w:ascii="Calibri Light" w:hAnsi="Calibri Light" w:cs="Calibri Light"/>
          <w:noProof/>
          <w:color w:val="13576B"/>
          <w:sz w:val="20"/>
        </w:rPr>
        <w:drawing>
          <wp:inline distT="0" distB="0" distL="0" distR="0" wp14:anchorId="6BAFF4BE" wp14:editId="2D2907BA">
            <wp:extent cx="6480810" cy="3907155"/>
            <wp:effectExtent l="0" t="0" r="0" b="0"/>
            <wp:docPr id="1913874093"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74093" name="Picture 1" descr="A graph of different colored lines&#10;&#10;AI-generated content may be incorrect."/>
                    <pic:cNvPicPr/>
                  </pic:nvPicPr>
                  <pic:blipFill>
                    <a:blip r:embed="rId15"/>
                    <a:stretch>
                      <a:fillRect/>
                    </a:stretch>
                  </pic:blipFill>
                  <pic:spPr>
                    <a:xfrm>
                      <a:off x="0" y="0"/>
                      <a:ext cx="6480810" cy="3907155"/>
                    </a:xfrm>
                    <a:prstGeom prst="rect">
                      <a:avLst/>
                    </a:prstGeom>
                  </pic:spPr>
                </pic:pic>
              </a:graphicData>
            </a:graphic>
          </wp:inline>
        </w:drawing>
      </w:r>
    </w:p>
    <w:p w14:paraId="055C2305" w14:textId="77777777" w:rsidR="008723A8" w:rsidRDefault="008723A8" w:rsidP="009D5F35">
      <w:pPr>
        <w:overflowPunct/>
        <w:autoSpaceDE/>
        <w:adjustRightInd/>
        <w:rPr>
          <w:rFonts w:ascii="Calibri Light" w:hAnsi="Calibri Light" w:cs="Calibri Light"/>
          <w:color w:val="13576B"/>
          <w:sz w:val="20"/>
        </w:rPr>
      </w:pPr>
    </w:p>
    <w:p w14:paraId="2543E5F5" w14:textId="68A6E96C" w:rsidR="0033440C" w:rsidRDefault="008723A8" w:rsidP="009D5F35">
      <w:pPr>
        <w:overflowPunct/>
        <w:autoSpaceDE/>
        <w:adjustRightInd/>
        <w:rPr>
          <w:rFonts w:ascii="Calibri Light" w:hAnsi="Calibri Light" w:cs="Calibri Light"/>
          <w:color w:val="13576B"/>
          <w:sz w:val="20"/>
        </w:rPr>
      </w:pPr>
      <w:r w:rsidRPr="002F4CBD">
        <w:rPr>
          <w:rFonts w:ascii="Calibri Light" w:hAnsi="Calibri Light" w:cs="Calibri Light"/>
          <w:color w:val="13576B"/>
          <w:sz w:val="20"/>
        </w:rPr>
        <w:t>Pramen:</w:t>
      </w:r>
      <w:r>
        <w:rPr>
          <w:rFonts w:ascii="Calibri Light" w:hAnsi="Calibri Light" w:cs="Calibri Light"/>
          <w:color w:val="13576B"/>
          <w:sz w:val="20"/>
        </w:rPr>
        <w:t xml:space="preserve"> </w:t>
      </w:r>
      <w:r w:rsidRPr="002F4CBD">
        <w:rPr>
          <w:rFonts w:ascii="Calibri Light" w:hAnsi="Calibri Light" w:cs="Calibri Light"/>
          <w:color w:val="13576B"/>
          <w:sz w:val="20"/>
        </w:rPr>
        <w:t>ČBA</w:t>
      </w:r>
      <w:r>
        <w:rPr>
          <w:rFonts w:ascii="Calibri Light" w:hAnsi="Calibri Light" w:cs="Calibri Light"/>
          <w:color w:val="13576B"/>
          <w:sz w:val="20"/>
        </w:rPr>
        <w:t xml:space="preserve"> Hypomonitor</w:t>
      </w:r>
    </w:p>
    <w:p w14:paraId="03530238" w14:textId="416720AC" w:rsidR="008723A8" w:rsidRDefault="008723A8" w:rsidP="009D5F35">
      <w:pPr>
        <w:overflowPunct/>
        <w:autoSpaceDE/>
        <w:adjustRightInd/>
        <w:rPr>
          <w:rFonts w:ascii="Calibri Light" w:hAnsi="Calibri Light" w:cs="Calibri Light"/>
          <w:color w:val="13576B"/>
          <w:sz w:val="20"/>
        </w:rPr>
      </w:pPr>
      <w:r>
        <w:rPr>
          <w:rFonts w:ascii="Calibri Light" w:hAnsi="Calibri Light" w:cs="Calibri Light"/>
          <w:color w:val="13576B"/>
          <w:sz w:val="20"/>
        </w:rPr>
        <w:t xml:space="preserve">Poznámka: </w:t>
      </w:r>
      <w:r w:rsidR="006E2E7E">
        <w:rPr>
          <w:rFonts w:ascii="Calibri Light" w:hAnsi="Calibri Light" w:cs="Calibri Light"/>
          <w:color w:val="13576B"/>
          <w:sz w:val="20"/>
        </w:rPr>
        <w:t xml:space="preserve">Jedná se o skutečně nové hypotéky (tedy refinancování a navýšeni). </w:t>
      </w:r>
      <w:r>
        <w:rPr>
          <w:rFonts w:ascii="Calibri Light" w:hAnsi="Calibri Light" w:cs="Calibri Light"/>
          <w:color w:val="13576B"/>
          <w:sz w:val="20"/>
        </w:rPr>
        <w:t xml:space="preserve">Podkladová data jsou </w:t>
      </w:r>
      <w:r w:rsidRPr="008723A8">
        <w:rPr>
          <w:rFonts w:ascii="Calibri Light" w:hAnsi="Calibri Light" w:cs="Calibri Light"/>
          <w:color w:val="13576B"/>
          <w:sz w:val="20"/>
        </w:rPr>
        <w:t>k dispozici v souboru xls přiloženém na webových stránkách ČBA Hypomonitoru</w:t>
      </w:r>
    </w:p>
    <w:p w14:paraId="50F3BD64" w14:textId="77777777" w:rsidR="0033440C" w:rsidRDefault="0033440C" w:rsidP="009D5F35">
      <w:pPr>
        <w:overflowPunct/>
        <w:autoSpaceDE/>
        <w:adjustRightInd/>
        <w:rPr>
          <w:rFonts w:ascii="Calibri Light" w:hAnsi="Calibri Light" w:cs="Calibri Light"/>
          <w:color w:val="13576B"/>
          <w:sz w:val="20"/>
        </w:rPr>
      </w:pPr>
    </w:p>
    <w:p w14:paraId="5303965F" w14:textId="77777777" w:rsidR="0033440C" w:rsidRPr="00616069" w:rsidRDefault="0033440C" w:rsidP="009D5F35">
      <w:pPr>
        <w:overflowPunct/>
        <w:autoSpaceDE/>
        <w:adjustRightInd/>
        <w:rPr>
          <w:rFonts w:ascii="Calibri Light" w:hAnsi="Calibri Light" w:cs="Calibri Light"/>
          <w:color w:val="13576B"/>
          <w:sz w:val="20"/>
        </w:rPr>
      </w:pPr>
    </w:p>
    <w:bookmarkEnd w:id="6"/>
    <w:p w14:paraId="0D5FBC63" w14:textId="77777777" w:rsidR="002A5D11" w:rsidRPr="002A5D11" w:rsidRDefault="002A5D11" w:rsidP="002A5D11">
      <w:pPr>
        <w:rPr>
          <w:rFonts w:ascii="Calibri" w:hAnsi="Calibri" w:cs="Calibri"/>
          <w:b/>
          <w:color w:val="13576B"/>
          <w:sz w:val="24"/>
          <w:szCs w:val="24"/>
        </w:rPr>
      </w:pPr>
      <w:r w:rsidRPr="002A5D11">
        <w:rPr>
          <w:rFonts w:ascii="Calibri" w:hAnsi="Calibri" w:cs="Calibri"/>
          <w:b/>
          <w:color w:val="13576B"/>
          <w:sz w:val="24"/>
          <w:szCs w:val="24"/>
        </w:rPr>
        <w:t>Hypoteční trh v roce 2024: Rekordní růst o 83 %</w:t>
      </w:r>
    </w:p>
    <w:p w14:paraId="4743E758" w14:textId="77777777" w:rsidR="001002CD" w:rsidRPr="00840F7C" w:rsidRDefault="001002CD" w:rsidP="003E393C">
      <w:pPr>
        <w:rPr>
          <w:rFonts w:ascii="Calibri" w:hAnsi="Calibri" w:cs="Calibri"/>
          <w:b/>
          <w:bCs/>
          <w:sz w:val="22"/>
          <w:szCs w:val="22"/>
        </w:rPr>
      </w:pPr>
    </w:p>
    <w:p w14:paraId="2BEF2B35" w14:textId="036FD876" w:rsidR="003E393C" w:rsidRPr="002138C0" w:rsidRDefault="001002CD" w:rsidP="003E393C">
      <w:pPr>
        <w:rPr>
          <w:rFonts w:ascii="Calibri" w:hAnsi="Calibri" w:cs="Calibri"/>
          <w:b/>
          <w:color w:val="13576B"/>
          <w:sz w:val="23"/>
          <w:szCs w:val="23"/>
          <w:highlight w:val="yellow"/>
        </w:rPr>
      </w:pPr>
      <w:r w:rsidRPr="00840F7C">
        <w:rPr>
          <w:rFonts w:ascii="Calibri" w:hAnsi="Calibri" w:cs="Calibri"/>
          <w:b/>
          <w:bCs/>
          <w:color w:val="000000" w:themeColor="text1"/>
          <w:sz w:val="22"/>
          <w:szCs w:val="22"/>
        </w:rPr>
        <w:t xml:space="preserve">Za celý rok 2024 poskytly banky a stavební spořitelny nové hypoteční úvěry v objemu 228 miliard Kč. </w:t>
      </w:r>
      <w:r w:rsidRPr="00840F7C">
        <w:rPr>
          <w:rFonts w:ascii="Calibri" w:hAnsi="Calibri" w:cs="Calibri"/>
          <w:color w:val="000000" w:themeColor="text1"/>
          <w:sz w:val="22"/>
          <w:szCs w:val="22"/>
        </w:rPr>
        <w:t>To je více než 83</w:t>
      </w:r>
      <w:r w:rsidR="00AE4002">
        <w:rPr>
          <w:rFonts w:ascii="Calibri" w:hAnsi="Calibri" w:cs="Calibri"/>
          <w:color w:val="000000" w:themeColor="text1"/>
          <w:sz w:val="22"/>
          <w:szCs w:val="22"/>
        </w:rPr>
        <w:t>%</w:t>
      </w:r>
      <w:r w:rsidRPr="00840F7C">
        <w:rPr>
          <w:rFonts w:ascii="Calibri" w:hAnsi="Calibri" w:cs="Calibri"/>
          <w:color w:val="000000" w:themeColor="text1"/>
          <w:sz w:val="22"/>
          <w:szCs w:val="22"/>
        </w:rPr>
        <w:t xml:space="preserve"> skok vůči objemu z roku 2023. K tomu se navíc refinancovaly hypotéky v rozsahu 47 miliard Kč a celý hypoteční trh tak v roce 2024 narostl na 275 miliard Kč ze 150 miliard v roce 2023. Pokud upravíme objemy o nárůst cen nemovitostí o 4-8 % (dle různých statistik během 1</w:t>
      </w:r>
      <w:r w:rsidR="00AE4002">
        <w:rPr>
          <w:rFonts w:ascii="Calibri" w:hAnsi="Calibri" w:cs="Calibri"/>
          <w:color w:val="000000" w:themeColor="text1"/>
          <w:sz w:val="22"/>
          <w:szCs w:val="22"/>
        </w:rPr>
        <w:t>.</w:t>
      </w:r>
      <w:r w:rsidRPr="00840F7C">
        <w:rPr>
          <w:rFonts w:ascii="Calibri" w:hAnsi="Calibri" w:cs="Calibri"/>
          <w:color w:val="000000" w:themeColor="text1"/>
          <w:sz w:val="22"/>
          <w:szCs w:val="22"/>
        </w:rPr>
        <w:t xml:space="preserve">-3. čtvrtletí 2024), objem nových hypoték vzrostl reálně o něco méně. To odpovídá i mírnějšímu nárůstu počtu nových hypoték v roce 2024 o 53 % meziročně na téměř </w:t>
      </w:r>
      <w:r w:rsidRPr="00872E78">
        <w:rPr>
          <w:rFonts w:ascii="Calibri" w:hAnsi="Calibri" w:cs="Calibri"/>
          <w:color w:val="000000" w:themeColor="text1"/>
          <w:sz w:val="22"/>
          <w:szCs w:val="22"/>
        </w:rPr>
        <w:t>62 tisíc a téměř 20% nárůstu průměrné výše poskytnuté nové hypotéky na 3,7 milion</w:t>
      </w:r>
      <w:r w:rsidR="00AE4002">
        <w:rPr>
          <w:rFonts w:ascii="Calibri" w:hAnsi="Calibri" w:cs="Calibri"/>
          <w:color w:val="000000" w:themeColor="text1"/>
          <w:sz w:val="22"/>
          <w:szCs w:val="22"/>
        </w:rPr>
        <w:t>u</w:t>
      </w:r>
      <w:r w:rsidRPr="00872E78">
        <w:rPr>
          <w:rFonts w:ascii="Calibri" w:hAnsi="Calibri" w:cs="Calibri"/>
          <w:color w:val="000000" w:themeColor="text1"/>
          <w:sz w:val="22"/>
          <w:szCs w:val="22"/>
        </w:rPr>
        <w:t xml:space="preserve"> Kč</w:t>
      </w:r>
      <w:r w:rsidR="00693034" w:rsidRPr="00872E78">
        <w:rPr>
          <w:rFonts w:ascii="Calibri" w:hAnsi="Calibri" w:cs="Calibri"/>
          <w:color w:val="000000" w:themeColor="text1"/>
          <w:sz w:val="22"/>
          <w:szCs w:val="22"/>
        </w:rPr>
        <w:t xml:space="preserve">. </w:t>
      </w:r>
      <w:r w:rsidR="003E393C" w:rsidRPr="00872E78">
        <w:rPr>
          <w:rFonts w:ascii="Calibri" w:hAnsi="Calibri" w:cs="Calibri"/>
          <w:color w:val="000000" w:themeColor="text1"/>
          <w:sz w:val="22"/>
          <w:szCs w:val="22"/>
        </w:rPr>
        <w:t>Ve srovnání s předpandemickými roky 2017-2019 byl objem poskytnutých</w:t>
      </w:r>
      <w:r w:rsidR="00872E78" w:rsidRPr="00872E78">
        <w:rPr>
          <w:rFonts w:ascii="Calibri" w:hAnsi="Calibri" w:cs="Calibri"/>
          <w:color w:val="000000" w:themeColor="text1"/>
          <w:sz w:val="22"/>
          <w:szCs w:val="22"/>
        </w:rPr>
        <w:t xml:space="preserve"> nových</w:t>
      </w:r>
      <w:r w:rsidR="003E393C" w:rsidRPr="00872E78">
        <w:rPr>
          <w:rFonts w:ascii="Calibri" w:hAnsi="Calibri" w:cs="Calibri"/>
          <w:color w:val="000000" w:themeColor="text1"/>
          <w:sz w:val="22"/>
          <w:szCs w:val="22"/>
        </w:rPr>
        <w:t xml:space="preserve"> hypoték v roce 202</w:t>
      </w:r>
      <w:r w:rsidR="003E4820" w:rsidRPr="00872E78">
        <w:rPr>
          <w:rFonts w:ascii="Calibri" w:hAnsi="Calibri" w:cs="Calibri"/>
          <w:color w:val="000000" w:themeColor="text1"/>
          <w:sz w:val="22"/>
          <w:szCs w:val="22"/>
        </w:rPr>
        <w:t>4</w:t>
      </w:r>
      <w:r w:rsidR="003E393C" w:rsidRPr="00872E78">
        <w:rPr>
          <w:rFonts w:ascii="Calibri" w:hAnsi="Calibri" w:cs="Calibri"/>
          <w:color w:val="000000" w:themeColor="text1"/>
          <w:sz w:val="22"/>
          <w:szCs w:val="22"/>
        </w:rPr>
        <w:t xml:space="preserve"> zhruba o </w:t>
      </w:r>
      <w:r w:rsidR="00FE400F" w:rsidRPr="00872E78">
        <w:rPr>
          <w:rFonts w:ascii="Calibri" w:hAnsi="Calibri" w:cs="Calibri"/>
          <w:color w:val="000000" w:themeColor="text1"/>
          <w:sz w:val="22"/>
          <w:szCs w:val="22"/>
        </w:rPr>
        <w:t>necelou pětinu vyšší</w:t>
      </w:r>
      <w:r w:rsidR="003E393C" w:rsidRPr="00872E78">
        <w:rPr>
          <w:rFonts w:ascii="Calibri" w:hAnsi="Calibri" w:cs="Calibri"/>
          <w:color w:val="000000" w:themeColor="text1"/>
          <w:sz w:val="22"/>
          <w:szCs w:val="22"/>
        </w:rPr>
        <w:t xml:space="preserve">. </w:t>
      </w:r>
    </w:p>
    <w:p w14:paraId="5FD17B82" w14:textId="77777777" w:rsidR="005F105B" w:rsidRDefault="005F105B" w:rsidP="003E393C">
      <w:pPr>
        <w:rPr>
          <w:rFonts w:ascii="Calibri" w:hAnsi="Calibri" w:cs="Calibri"/>
          <w:b/>
          <w:color w:val="13576B"/>
          <w:sz w:val="23"/>
          <w:szCs w:val="23"/>
          <w:highlight w:val="yellow"/>
        </w:rPr>
      </w:pPr>
    </w:p>
    <w:p w14:paraId="1506699D" w14:textId="77777777" w:rsidR="005343BA" w:rsidRDefault="005343BA" w:rsidP="003E393C">
      <w:pPr>
        <w:rPr>
          <w:rFonts w:ascii="Calibri" w:hAnsi="Calibri" w:cs="Calibri"/>
          <w:b/>
          <w:color w:val="13576B"/>
          <w:sz w:val="23"/>
          <w:szCs w:val="23"/>
          <w:highlight w:val="yellow"/>
        </w:rPr>
      </w:pPr>
    </w:p>
    <w:p w14:paraId="70B01570" w14:textId="77777777" w:rsidR="005343BA" w:rsidRDefault="005343BA" w:rsidP="003E393C">
      <w:pPr>
        <w:rPr>
          <w:rFonts w:ascii="Calibri" w:hAnsi="Calibri" w:cs="Calibri"/>
          <w:b/>
          <w:color w:val="13576B"/>
          <w:sz w:val="23"/>
          <w:szCs w:val="23"/>
          <w:highlight w:val="yellow"/>
        </w:rPr>
      </w:pPr>
    </w:p>
    <w:p w14:paraId="0514B5D2" w14:textId="77777777" w:rsidR="005343BA" w:rsidRDefault="005343BA" w:rsidP="003E393C">
      <w:pPr>
        <w:rPr>
          <w:rFonts w:ascii="Calibri" w:hAnsi="Calibri" w:cs="Calibri"/>
          <w:b/>
          <w:color w:val="13576B"/>
          <w:sz w:val="23"/>
          <w:szCs w:val="23"/>
          <w:highlight w:val="yellow"/>
        </w:rPr>
      </w:pPr>
    </w:p>
    <w:p w14:paraId="590DDD4C" w14:textId="77777777" w:rsidR="005343BA" w:rsidRDefault="005343BA" w:rsidP="003E393C">
      <w:pPr>
        <w:rPr>
          <w:rFonts w:ascii="Calibri" w:hAnsi="Calibri" w:cs="Calibri"/>
          <w:b/>
          <w:color w:val="13576B"/>
          <w:sz w:val="23"/>
          <w:szCs w:val="23"/>
          <w:highlight w:val="yellow"/>
        </w:rPr>
      </w:pPr>
    </w:p>
    <w:p w14:paraId="1AA631AE" w14:textId="77777777" w:rsidR="005343BA" w:rsidRDefault="005343BA" w:rsidP="003E393C">
      <w:pPr>
        <w:rPr>
          <w:rFonts w:ascii="Calibri" w:hAnsi="Calibri" w:cs="Calibri"/>
          <w:b/>
          <w:color w:val="13576B"/>
          <w:sz w:val="23"/>
          <w:szCs w:val="23"/>
          <w:highlight w:val="yellow"/>
        </w:rPr>
      </w:pPr>
    </w:p>
    <w:p w14:paraId="27A57DD1" w14:textId="77777777" w:rsidR="001E4370" w:rsidRPr="002138C0" w:rsidRDefault="001E4370" w:rsidP="003E393C">
      <w:pPr>
        <w:rPr>
          <w:rFonts w:ascii="Calibri" w:hAnsi="Calibri" w:cs="Calibri"/>
          <w:b/>
          <w:color w:val="13576B"/>
          <w:sz w:val="23"/>
          <w:szCs w:val="23"/>
          <w:highlight w:val="yellow"/>
        </w:rPr>
      </w:pPr>
    </w:p>
    <w:p w14:paraId="11595CC2" w14:textId="3C3B4C02" w:rsidR="003E393C" w:rsidRPr="002F4CBD" w:rsidRDefault="003E393C" w:rsidP="003E393C">
      <w:pPr>
        <w:rPr>
          <w:rFonts w:ascii="Calibri" w:hAnsi="Calibri" w:cs="Calibri"/>
          <w:sz w:val="22"/>
          <w:szCs w:val="22"/>
        </w:rPr>
      </w:pPr>
      <w:r w:rsidRPr="002F4CBD">
        <w:rPr>
          <w:rFonts w:ascii="Calibri" w:hAnsi="Calibri" w:cs="Calibri"/>
          <w:b/>
          <w:color w:val="13576B"/>
          <w:sz w:val="23"/>
          <w:szCs w:val="23"/>
        </w:rPr>
        <w:lastRenderedPageBreak/>
        <w:t xml:space="preserve">Graf č. </w:t>
      </w:r>
      <w:r w:rsidR="0010371D" w:rsidRPr="002F4CBD">
        <w:rPr>
          <w:rFonts w:ascii="Calibri" w:hAnsi="Calibri" w:cs="Calibri"/>
          <w:b/>
          <w:color w:val="13576B"/>
          <w:sz w:val="23"/>
          <w:szCs w:val="23"/>
        </w:rPr>
        <w:t>2</w:t>
      </w:r>
      <w:r w:rsidRPr="002F4CBD">
        <w:rPr>
          <w:rFonts w:ascii="Calibri" w:hAnsi="Calibri" w:cs="Calibri"/>
          <w:b/>
          <w:color w:val="13576B"/>
          <w:sz w:val="23"/>
          <w:szCs w:val="23"/>
        </w:rPr>
        <w:t>: Celoroční objem</w:t>
      </w:r>
      <w:r w:rsidR="003D57E2">
        <w:rPr>
          <w:rFonts w:ascii="Calibri" w:hAnsi="Calibri" w:cs="Calibri"/>
          <w:b/>
          <w:color w:val="13576B"/>
          <w:sz w:val="23"/>
          <w:szCs w:val="23"/>
        </w:rPr>
        <w:t xml:space="preserve">, </w:t>
      </w:r>
      <w:r w:rsidRPr="002F4CBD">
        <w:rPr>
          <w:rFonts w:ascii="Calibri" w:hAnsi="Calibri" w:cs="Calibri"/>
          <w:b/>
          <w:color w:val="13576B"/>
          <w:sz w:val="23"/>
          <w:szCs w:val="23"/>
        </w:rPr>
        <w:t xml:space="preserve">počet </w:t>
      </w:r>
      <w:r w:rsidR="003D57E2">
        <w:rPr>
          <w:rFonts w:ascii="Calibri" w:hAnsi="Calibri" w:cs="Calibri"/>
          <w:b/>
          <w:color w:val="13576B"/>
          <w:sz w:val="23"/>
          <w:szCs w:val="23"/>
        </w:rPr>
        <w:t xml:space="preserve">a průměrná výše </w:t>
      </w:r>
      <w:r w:rsidRPr="002F4CBD">
        <w:rPr>
          <w:rFonts w:ascii="Calibri" w:hAnsi="Calibri" w:cs="Calibri"/>
          <w:b/>
          <w:color w:val="13576B"/>
          <w:sz w:val="23"/>
          <w:szCs w:val="23"/>
        </w:rPr>
        <w:t>poskytnutých hypoték v letech 202</w:t>
      </w:r>
      <w:r w:rsidR="003D57E2">
        <w:rPr>
          <w:rFonts w:ascii="Calibri" w:hAnsi="Calibri" w:cs="Calibri"/>
          <w:b/>
          <w:color w:val="13576B"/>
          <w:sz w:val="23"/>
          <w:szCs w:val="23"/>
        </w:rPr>
        <w:t>0</w:t>
      </w:r>
      <w:r w:rsidRPr="002F4CBD">
        <w:rPr>
          <w:rFonts w:ascii="Calibri" w:hAnsi="Calibri" w:cs="Calibri"/>
          <w:b/>
          <w:color w:val="13576B"/>
          <w:sz w:val="23"/>
          <w:szCs w:val="23"/>
        </w:rPr>
        <w:t xml:space="preserve"> až 202</w:t>
      </w:r>
      <w:r w:rsidR="002138C0" w:rsidRPr="002F4CBD">
        <w:rPr>
          <w:rFonts w:ascii="Calibri" w:hAnsi="Calibri" w:cs="Calibri"/>
          <w:b/>
          <w:color w:val="13576B"/>
          <w:sz w:val="23"/>
          <w:szCs w:val="23"/>
        </w:rPr>
        <w:t>4</w:t>
      </w:r>
    </w:p>
    <w:p w14:paraId="6B4EF12D" w14:textId="28831766" w:rsidR="003E393C" w:rsidRPr="002F4CBD" w:rsidRDefault="003E393C" w:rsidP="003E393C">
      <w:pPr>
        <w:rPr>
          <w:rFonts w:ascii="Calibri" w:hAnsi="Calibri" w:cs="Calibri"/>
          <w:sz w:val="22"/>
          <w:szCs w:val="22"/>
        </w:rPr>
      </w:pPr>
    </w:p>
    <w:p w14:paraId="2F4D295D" w14:textId="6B9E4D05" w:rsidR="002F4CBD" w:rsidRPr="002F4CBD" w:rsidRDefault="003D57E2" w:rsidP="003E393C">
      <w:pPr>
        <w:rPr>
          <w:rFonts w:ascii="Calibri" w:hAnsi="Calibri" w:cs="Calibri"/>
          <w:sz w:val="22"/>
          <w:szCs w:val="22"/>
        </w:rPr>
      </w:pPr>
      <w:r>
        <w:rPr>
          <w:noProof/>
        </w:rPr>
        <w:drawing>
          <wp:inline distT="0" distB="0" distL="0" distR="0" wp14:anchorId="32FD9A30" wp14:editId="5FC9F4F0">
            <wp:extent cx="6480810" cy="1790065"/>
            <wp:effectExtent l="0" t="0" r="0" b="635"/>
            <wp:docPr id="204938162"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8162" name="Picture 1" descr="A graph of different colored bars&#10;&#10;AI-generated content may be incorrect."/>
                    <pic:cNvPicPr/>
                  </pic:nvPicPr>
                  <pic:blipFill>
                    <a:blip r:embed="rId16"/>
                    <a:stretch>
                      <a:fillRect/>
                    </a:stretch>
                  </pic:blipFill>
                  <pic:spPr>
                    <a:xfrm>
                      <a:off x="0" y="0"/>
                      <a:ext cx="6480810" cy="1790065"/>
                    </a:xfrm>
                    <a:prstGeom prst="rect">
                      <a:avLst/>
                    </a:prstGeom>
                  </pic:spPr>
                </pic:pic>
              </a:graphicData>
            </a:graphic>
          </wp:inline>
        </w:drawing>
      </w:r>
    </w:p>
    <w:p w14:paraId="4E8749FA" w14:textId="77777777" w:rsidR="003E393C" w:rsidRPr="00616069" w:rsidRDefault="003E393C" w:rsidP="003E393C">
      <w:pPr>
        <w:overflowPunct/>
        <w:autoSpaceDE/>
        <w:adjustRightInd/>
        <w:rPr>
          <w:rFonts w:ascii="Calibri Light" w:hAnsi="Calibri Light" w:cs="Calibri Light"/>
          <w:color w:val="13576B"/>
          <w:sz w:val="20"/>
        </w:rPr>
      </w:pPr>
      <w:r w:rsidRPr="002F4CBD">
        <w:rPr>
          <w:rFonts w:ascii="Calibri Light" w:hAnsi="Calibri Light" w:cs="Calibri Light"/>
          <w:color w:val="13576B"/>
          <w:sz w:val="20"/>
        </w:rPr>
        <w:t>Pramen: ČBA Hypomonitor</w:t>
      </w:r>
    </w:p>
    <w:p w14:paraId="372DD4C3" w14:textId="77777777" w:rsidR="003E393C" w:rsidRPr="00616069" w:rsidRDefault="003E393C" w:rsidP="003E393C">
      <w:pPr>
        <w:rPr>
          <w:rFonts w:ascii="Calibri" w:hAnsi="Calibri" w:cs="Calibri"/>
          <w:b/>
          <w:color w:val="13576B"/>
          <w:sz w:val="23"/>
          <w:szCs w:val="23"/>
        </w:rPr>
      </w:pPr>
    </w:p>
    <w:p w14:paraId="7448079E" w14:textId="77777777" w:rsidR="003E393C" w:rsidRPr="00616069" w:rsidRDefault="003E393C" w:rsidP="003E393C">
      <w:pPr>
        <w:rPr>
          <w:rFonts w:ascii="Calibri" w:hAnsi="Calibri" w:cs="Calibri"/>
          <w:b/>
          <w:color w:val="13576B"/>
          <w:sz w:val="23"/>
          <w:szCs w:val="23"/>
        </w:rPr>
      </w:pPr>
    </w:p>
    <w:p w14:paraId="22ED378A" w14:textId="017879D6" w:rsidR="006C53A0" w:rsidRPr="00616069" w:rsidRDefault="006C53A0" w:rsidP="007F41A0">
      <w:pPr>
        <w:rPr>
          <w:rFonts w:ascii="Calibri" w:hAnsi="Calibri" w:cs="Calibri"/>
          <w:b/>
          <w:color w:val="13576B"/>
          <w:sz w:val="23"/>
          <w:szCs w:val="23"/>
        </w:rPr>
      </w:pPr>
    </w:p>
    <w:p w14:paraId="1117B780" w14:textId="3B9498AC" w:rsidR="007F41A0" w:rsidRPr="00616069" w:rsidRDefault="007F41A0" w:rsidP="007F41A0">
      <w:pPr>
        <w:rPr>
          <w:rFonts w:ascii="Calibri" w:hAnsi="Calibri" w:cs="Calibri"/>
          <w:b/>
          <w:color w:val="13576B"/>
          <w:sz w:val="23"/>
          <w:szCs w:val="23"/>
        </w:rPr>
      </w:pPr>
      <w:r w:rsidRPr="00616069">
        <w:rPr>
          <w:rFonts w:ascii="Calibri" w:hAnsi="Calibri" w:cs="Calibri"/>
          <w:b/>
          <w:color w:val="13576B"/>
          <w:sz w:val="23"/>
          <w:szCs w:val="23"/>
        </w:rPr>
        <w:t>ČBA zveřejňuje souhrnné statistiky za celý bankovní trh</w:t>
      </w:r>
    </w:p>
    <w:p w14:paraId="55E76E82" w14:textId="019F3D7D" w:rsidR="007F41A0" w:rsidRPr="00616069" w:rsidRDefault="007F41A0" w:rsidP="007F41A0">
      <w:pPr>
        <w:rPr>
          <w:rFonts w:ascii="Calibri" w:hAnsi="Calibri" w:cs="Calibri"/>
          <w:b/>
          <w:bCs/>
          <w:sz w:val="22"/>
          <w:szCs w:val="22"/>
        </w:rPr>
      </w:pPr>
      <w:r w:rsidRPr="00616069">
        <w:rPr>
          <w:rFonts w:ascii="Calibri" w:hAnsi="Calibri" w:cs="Calibri"/>
          <w:sz w:val="22"/>
          <w:szCs w:val="22"/>
        </w:rPr>
        <w:t xml:space="preserve">Česká bankovní asociace zveřejňuje ve spolupráci s členskými bankami nové souhrnné statistiky z trhu bydlení. Jde především o objemy a počty nově poskytnutých a refinancovaných hypoték a příslušnou úrokovou sazbu. Tyto statistiky publikuje ČBA v agregované podobě za celý bankovní sektor na pravidelné bázi vždy zhruba v polovině měsíce. Šetření se účastní všechny tuzemské banky a stavební spořitelny poskytující v ČR hypotéky. Data jsou dostupná od ledna roku 2020 v přiloženém souboru na stránkách </w:t>
      </w:r>
      <w:hyperlink r:id="rId17" w:history="1">
        <w:r w:rsidR="004674AA" w:rsidRPr="00616069">
          <w:rPr>
            <w:rStyle w:val="Hypertextovodkaz"/>
            <w:rFonts w:ascii="Calibri" w:hAnsi="Calibri" w:cs="Calibri"/>
            <w:b/>
            <w:bCs/>
            <w:sz w:val="22"/>
            <w:szCs w:val="22"/>
          </w:rPr>
          <w:t>www.cbaonline.cz</w:t>
        </w:r>
      </w:hyperlink>
      <w:r w:rsidR="004674AA" w:rsidRPr="00616069">
        <w:rPr>
          <w:rFonts w:ascii="Calibri" w:hAnsi="Calibri" w:cs="Calibri"/>
          <w:b/>
          <w:bCs/>
          <w:sz w:val="22"/>
          <w:szCs w:val="22"/>
        </w:rPr>
        <w:t xml:space="preserve">, </w:t>
      </w:r>
      <w:r w:rsidRPr="00616069">
        <w:rPr>
          <w:rFonts w:ascii="Calibri" w:hAnsi="Calibri" w:cs="Calibri"/>
          <w:sz w:val="22"/>
          <w:szCs w:val="22"/>
        </w:rPr>
        <w:t>kde lze také příslušné statistiky najít zvlášť pro banky a stavební spořitelny. Výše uvedené hodnoty jsou pro sektor jako celek</w:t>
      </w:r>
      <w:r w:rsidR="004674AA" w:rsidRPr="00616069">
        <w:rPr>
          <w:rFonts w:ascii="Calibri" w:hAnsi="Calibri" w:cs="Calibri"/>
          <w:sz w:val="22"/>
          <w:szCs w:val="22"/>
        </w:rPr>
        <w:t>, které lze v jednoduch</w:t>
      </w:r>
      <w:r w:rsidR="004C593C">
        <w:rPr>
          <w:rFonts w:ascii="Calibri" w:hAnsi="Calibri" w:cs="Calibri"/>
          <w:sz w:val="22"/>
          <w:szCs w:val="22"/>
        </w:rPr>
        <w:t>é</w:t>
      </w:r>
      <w:r w:rsidR="004674AA" w:rsidRPr="00616069">
        <w:rPr>
          <w:rFonts w:ascii="Calibri" w:hAnsi="Calibri" w:cs="Calibri"/>
          <w:sz w:val="22"/>
          <w:szCs w:val="22"/>
        </w:rPr>
        <w:t xml:space="preserve"> grafické podobě sledovat také na stránkách </w:t>
      </w:r>
      <w:hyperlink r:id="rId18" w:history="1">
        <w:r w:rsidR="004674AA" w:rsidRPr="00616069">
          <w:rPr>
            <w:rStyle w:val="Hypertextovodkaz"/>
            <w:rFonts w:ascii="Calibri" w:hAnsi="Calibri" w:cs="Calibri"/>
            <w:b/>
            <w:bCs/>
            <w:sz w:val="22"/>
            <w:szCs w:val="22"/>
          </w:rPr>
          <w:t>cbamonitor.cz</w:t>
        </w:r>
      </w:hyperlink>
      <w:r w:rsidRPr="00616069">
        <w:rPr>
          <w:rFonts w:ascii="Calibri" w:hAnsi="Calibri" w:cs="Calibri"/>
          <w:sz w:val="22"/>
          <w:szCs w:val="22"/>
        </w:rPr>
        <w:t>.</w:t>
      </w:r>
      <w:r w:rsidRPr="00616069">
        <w:rPr>
          <w:rFonts w:ascii="Calibri" w:hAnsi="Calibri" w:cs="Calibri"/>
          <w:i/>
          <w:iCs/>
          <w:sz w:val="20"/>
        </w:rPr>
        <w:t xml:space="preserve"> </w:t>
      </w:r>
    </w:p>
    <w:p w14:paraId="3F99F9FA" w14:textId="6DA0884C" w:rsidR="007F41A0" w:rsidRPr="00616069" w:rsidRDefault="007F41A0" w:rsidP="003417B4">
      <w:pPr>
        <w:rPr>
          <w:rFonts w:ascii="Calibri" w:hAnsi="Calibri" w:cs="Calibri"/>
          <w:sz w:val="22"/>
          <w:szCs w:val="22"/>
        </w:rPr>
      </w:pPr>
    </w:p>
    <w:p w14:paraId="4299C957" w14:textId="36BC1F78" w:rsidR="00B50D1B" w:rsidRPr="00616069" w:rsidRDefault="00B50D1B" w:rsidP="003417B4">
      <w:pPr>
        <w:rPr>
          <w:rFonts w:ascii="Calibri" w:hAnsi="Calibri" w:cs="Calibri"/>
          <w:sz w:val="22"/>
          <w:szCs w:val="22"/>
        </w:rPr>
      </w:pPr>
    </w:p>
    <w:p w14:paraId="6A100EFD" w14:textId="3381F438" w:rsidR="00100269" w:rsidRPr="00616069" w:rsidRDefault="00100269" w:rsidP="003417B4">
      <w:pPr>
        <w:rPr>
          <w:rFonts w:ascii="Calibri" w:hAnsi="Calibri" w:cs="Calibri"/>
          <w:sz w:val="22"/>
          <w:szCs w:val="22"/>
        </w:rPr>
      </w:pPr>
    </w:p>
    <w:p w14:paraId="5F378DF9" w14:textId="77777777" w:rsidR="00137560" w:rsidRPr="00616069" w:rsidRDefault="00137560" w:rsidP="00CA3B41">
      <w:pPr>
        <w:rPr>
          <w:rFonts w:ascii="Calibri" w:hAnsi="Calibri" w:cs="Calibri"/>
          <w:sz w:val="22"/>
          <w:szCs w:val="22"/>
        </w:rPr>
      </w:pPr>
    </w:p>
    <w:p w14:paraId="01290756" w14:textId="77777777" w:rsidR="00137560" w:rsidRPr="00616069" w:rsidRDefault="00137560" w:rsidP="00CA3B41">
      <w:pPr>
        <w:rPr>
          <w:rFonts w:ascii="Calibri" w:hAnsi="Calibri" w:cs="Calibri"/>
          <w:sz w:val="22"/>
          <w:szCs w:val="22"/>
        </w:rPr>
      </w:pPr>
    </w:p>
    <w:p w14:paraId="74E9F93F" w14:textId="77777777" w:rsidR="00137560" w:rsidRPr="00616069" w:rsidRDefault="00137560" w:rsidP="00CA3B41">
      <w:pPr>
        <w:rPr>
          <w:rFonts w:ascii="Calibri" w:hAnsi="Calibri" w:cs="Calibri"/>
          <w:sz w:val="22"/>
          <w:szCs w:val="22"/>
        </w:rPr>
      </w:pPr>
    </w:p>
    <w:p w14:paraId="75EDC910" w14:textId="77777777" w:rsidR="00137560" w:rsidRPr="00616069" w:rsidRDefault="00137560" w:rsidP="00CA3B41">
      <w:pPr>
        <w:rPr>
          <w:rFonts w:ascii="Calibri" w:hAnsi="Calibri" w:cs="Calibri"/>
          <w:sz w:val="22"/>
          <w:szCs w:val="22"/>
        </w:rPr>
      </w:pPr>
    </w:p>
    <w:p w14:paraId="4AE26056" w14:textId="77777777" w:rsidR="00137560" w:rsidRPr="00616069" w:rsidRDefault="00137560" w:rsidP="00CA3B41">
      <w:pPr>
        <w:rPr>
          <w:rFonts w:ascii="Calibri" w:hAnsi="Calibri" w:cs="Calibri"/>
          <w:sz w:val="22"/>
          <w:szCs w:val="22"/>
        </w:rPr>
      </w:pPr>
    </w:p>
    <w:p w14:paraId="146C6D89" w14:textId="77777777" w:rsidR="0028530F" w:rsidRPr="00B04FE2" w:rsidRDefault="004975FD" w:rsidP="00CA3B41">
      <w:pPr>
        <w:rPr>
          <w:rFonts w:ascii="Calibri" w:hAnsi="Calibri" w:cs="Calibri"/>
          <w:sz w:val="22"/>
          <w:szCs w:val="22"/>
        </w:rPr>
      </w:pPr>
      <w:r w:rsidRPr="00616069">
        <w:rPr>
          <w:rFonts w:ascii="Calibri" w:hAnsi="Calibri" w:cs="Calibri"/>
          <w:i/>
          <w:iCs/>
          <w:noProof/>
          <w:sz w:val="20"/>
        </w:rPr>
        <w:lastRenderedPageBreak/>
        <mc:AlternateContent>
          <mc:Choice Requires="wps">
            <w:drawing>
              <wp:anchor distT="45720" distB="45720" distL="114300" distR="114300" simplePos="0" relativeHeight="251668480" behindDoc="0" locked="0" layoutInCell="1" allowOverlap="1" wp14:anchorId="025DA650" wp14:editId="15515F89">
                <wp:simplePos x="0" y="0"/>
                <wp:positionH relativeFrom="margin">
                  <wp:align>center</wp:align>
                </wp:positionH>
                <wp:positionV relativeFrom="paragraph">
                  <wp:posOffset>282527</wp:posOffset>
                </wp:positionV>
                <wp:extent cx="6574790" cy="467550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4675505"/>
                        </a:xfrm>
                        <a:prstGeom prst="rect">
                          <a:avLst/>
                        </a:prstGeom>
                        <a:solidFill>
                          <a:srgbClr val="13576B">
                            <a:alpha val="83922"/>
                          </a:srgbClr>
                        </a:solidFill>
                        <a:ln w="9525">
                          <a:noFill/>
                          <a:miter lim="800000"/>
                          <a:headEnd/>
                          <a:tailEnd/>
                        </a:ln>
                      </wps:spPr>
                      <wps:txbx>
                        <w:txbxContent>
                          <w:p w14:paraId="523681E4" w14:textId="20B4FCBA" w:rsidR="0001227F" w:rsidRPr="00616069" w:rsidRDefault="0001227F" w:rsidP="0001227F">
                            <w:pPr>
                              <w:spacing w:line="276" w:lineRule="auto"/>
                              <w:rPr>
                                <w:rFonts w:ascii="Calibri" w:hAnsi="Calibri" w:cs="Calibri"/>
                                <w:b/>
                                <w:bCs/>
                                <w:color w:val="FFFFFF" w:themeColor="background1"/>
                                <w:sz w:val="22"/>
                                <w:szCs w:val="22"/>
                              </w:rPr>
                            </w:pPr>
                            <w:r w:rsidRPr="00616069">
                              <w:rPr>
                                <w:rFonts w:ascii="Calibri" w:hAnsi="Calibri" w:cs="Calibri"/>
                                <w:b/>
                                <w:bCs/>
                                <w:color w:val="FFFFFF" w:themeColor="background1"/>
                                <w:sz w:val="22"/>
                                <w:szCs w:val="22"/>
                              </w:rPr>
                              <w:t>Metodika ČBA Hypomonitoru</w:t>
                            </w:r>
                          </w:p>
                          <w:p w14:paraId="7401467C" w14:textId="77777777" w:rsidR="00414AD4" w:rsidRPr="00616069" w:rsidRDefault="00414AD4" w:rsidP="0001227F">
                            <w:pPr>
                              <w:spacing w:line="276" w:lineRule="auto"/>
                              <w:rPr>
                                <w:rFonts w:ascii="Calibri" w:hAnsi="Calibri" w:cs="Calibri"/>
                                <w:color w:val="FFFFFF" w:themeColor="background1"/>
                                <w:szCs w:val="18"/>
                              </w:rPr>
                            </w:pPr>
                          </w:p>
                          <w:p w14:paraId="1021EABD" w14:textId="16015784" w:rsidR="0001227F" w:rsidRPr="00616069" w:rsidRDefault="00414AD4" w:rsidP="0001227F">
                            <w:pPr>
                              <w:spacing w:line="276" w:lineRule="auto"/>
                              <w:rPr>
                                <w:rFonts w:ascii="Calibri" w:hAnsi="Calibri" w:cs="Calibri"/>
                                <w:color w:val="FFFFFF" w:themeColor="background1"/>
                                <w:szCs w:val="18"/>
                              </w:rPr>
                            </w:pPr>
                            <w:r w:rsidRPr="00616069">
                              <w:rPr>
                                <w:rFonts w:ascii="Calibri" w:hAnsi="Calibri" w:cs="Calibri"/>
                                <w:color w:val="FFFFFF" w:themeColor="background1"/>
                                <w:szCs w:val="18"/>
                              </w:rPr>
                              <w:t xml:space="preserve">ČBA Hypomonitor </w:t>
                            </w:r>
                            <w:r w:rsidR="00FB47DE" w:rsidRPr="00616069">
                              <w:rPr>
                                <w:rFonts w:ascii="Calibri" w:hAnsi="Calibri" w:cs="Calibri"/>
                                <w:color w:val="FFFFFF" w:themeColor="background1"/>
                                <w:szCs w:val="18"/>
                              </w:rPr>
                              <w:t xml:space="preserve">rozděluje poskytnuté hypoteční úvěry </w:t>
                            </w:r>
                            <w:r w:rsidR="00810DCF" w:rsidRPr="00616069">
                              <w:rPr>
                                <w:rFonts w:ascii="Calibri" w:hAnsi="Calibri" w:cs="Calibri"/>
                                <w:color w:val="FFFFFF" w:themeColor="background1"/>
                                <w:szCs w:val="18"/>
                              </w:rPr>
                              <w:t>bank a stavebních spořitelen</w:t>
                            </w:r>
                            <w:r w:rsidR="00B426A2" w:rsidRPr="00616069">
                              <w:rPr>
                                <w:rFonts w:ascii="Calibri" w:hAnsi="Calibri" w:cs="Calibri"/>
                                <w:color w:val="FFFFFF" w:themeColor="background1"/>
                                <w:szCs w:val="18"/>
                              </w:rPr>
                              <w:t xml:space="preserve"> domácnostem</w:t>
                            </w:r>
                            <w:r w:rsidR="00810DCF" w:rsidRPr="00616069">
                              <w:rPr>
                                <w:rFonts w:ascii="Calibri" w:hAnsi="Calibri" w:cs="Calibri"/>
                                <w:color w:val="FFFFFF" w:themeColor="background1"/>
                                <w:szCs w:val="18"/>
                              </w:rPr>
                              <w:t xml:space="preserve"> </w:t>
                            </w:r>
                            <w:r w:rsidRPr="00616069">
                              <w:rPr>
                                <w:rFonts w:ascii="Calibri" w:hAnsi="Calibri" w:cs="Calibri"/>
                                <w:color w:val="FFFFFF" w:themeColor="background1"/>
                                <w:szCs w:val="18"/>
                              </w:rPr>
                              <w:t>do několika kategorií tak, aby byly rozlišeny nové úvěry od refinancovaných či interních refixací</w:t>
                            </w:r>
                            <w:r w:rsidR="000B70C8" w:rsidRPr="00616069">
                              <w:rPr>
                                <w:rFonts w:ascii="Calibri" w:hAnsi="Calibri" w:cs="Calibri"/>
                                <w:color w:val="FFFFFF" w:themeColor="background1"/>
                                <w:szCs w:val="18"/>
                              </w:rPr>
                              <w:t>.</w:t>
                            </w:r>
                            <w:r w:rsidRPr="00616069">
                              <w:rPr>
                                <w:rFonts w:ascii="Calibri" w:hAnsi="Calibri" w:cs="Calibri"/>
                                <w:color w:val="FFFFFF" w:themeColor="background1"/>
                                <w:szCs w:val="18"/>
                              </w:rPr>
                              <w:t xml:space="preserve"> Nové úvěry jsou </w:t>
                            </w:r>
                            <w:r w:rsidR="00581CC1" w:rsidRPr="00616069">
                              <w:rPr>
                                <w:rFonts w:ascii="Calibri" w:hAnsi="Calibri" w:cs="Calibri"/>
                                <w:color w:val="FFFFFF" w:themeColor="background1"/>
                                <w:szCs w:val="18"/>
                              </w:rPr>
                              <w:t>pak</w:t>
                            </w:r>
                            <w:r w:rsidRPr="00616069">
                              <w:rPr>
                                <w:rFonts w:ascii="Calibri" w:hAnsi="Calibri" w:cs="Calibri"/>
                                <w:color w:val="FFFFFF" w:themeColor="background1"/>
                                <w:szCs w:val="18"/>
                              </w:rPr>
                              <w:t xml:space="preserve"> vykazovány v</w:t>
                            </w:r>
                            <w:r w:rsidR="00581CC1" w:rsidRPr="00616069">
                              <w:rPr>
                                <w:rFonts w:ascii="Calibri" w:hAnsi="Calibri" w:cs="Calibri"/>
                                <w:color w:val="FFFFFF" w:themeColor="background1"/>
                                <w:szCs w:val="18"/>
                              </w:rPr>
                              <w:t> </w:t>
                            </w:r>
                            <w:r w:rsidRPr="00616069">
                              <w:rPr>
                                <w:rFonts w:ascii="Calibri" w:hAnsi="Calibri" w:cs="Calibri"/>
                                <w:color w:val="FFFFFF" w:themeColor="background1"/>
                                <w:szCs w:val="18"/>
                              </w:rPr>
                              <w:t>kategoriích</w:t>
                            </w:r>
                            <w:r w:rsidR="00581CC1" w:rsidRPr="00616069">
                              <w:rPr>
                                <w:rFonts w:ascii="Calibri" w:hAnsi="Calibri" w:cs="Calibri"/>
                                <w:color w:val="FFFFFF" w:themeColor="background1"/>
                                <w:szCs w:val="18"/>
                              </w:rPr>
                              <w:t xml:space="preserve"> dle účelu úvěru</w:t>
                            </w:r>
                            <w:r w:rsidRPr="00616069">
                              <w:rPr>
                                <w:rFonts w:ascii="Calibri" w:hAnsi="Calibri" w:cs="Calibri"/>
                                <w:color w:val="FFFFFF" w:themeColor="background1"/>
                                <w:szCs w:val="18"/>
                              </w:rPr>
                              <w:t>:</w:t>
                            </w:r>
                          </w:p>
                          <w:p w14:paraId="58E707E8" w14:textId="77777777" w:rsidR="0001227F" w:rsidRPr="00616069" w:rsidRDefault="0001227F" w:rsidP="0001227F">
                            <w:pPr>
                              <w:spacing w:line="276" w:lineRule="auto"/>
                              <w:rPr>
                                <w:rFonts w:ascii="Calibri" w:hAnsi="Calibri" w:cs="Calibri"/>
                                <w:color w:val="FFFFFF" w:themeColor="background1"/>
                              </w:rPr>
                            </w:pPr>
                          </w:p>
                          <w:p w14:paraId="3227247A" w14:textId="11714118" w:rsidR="0001227F" w:rsidRPr="00616069" w:rsidRDefault="00E818C3" w:rsidP="00E818C3">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1. </w:t>
                            </w:r>
                            <w:r w:rsidR="0001227F" w:rsidRPr="00616069">
                              <w:rPr>
                                <w:rFonts w:ascii="Calibri" w:hAnsi="Calibri" w:cs="Calibri"/>
                                <w:b/>
                                <w:color w:val="FFFFFF" w:themeColor="background1"/>
                              </w:rPr>
                              <w:t>Nové úvěry</w:t>
                            </w:r>
                          </w:p>
                          <w:p w14:paraId="22AF3257" w14:textId="77777777"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Jsou úvěry, jejichž celý objem poprvé vstupuje do ekonomiky. Do této kategorie nepatří konsolidace úvěrů anebo refinancování úvěrů. Dělí se do tří kategorií:</w:t>
                            </w:r>
                          </w:p>
                          <w:p w14:paraId="362AFB2A" w14:textId="77777777"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Nákup nemovitosti</w:t>
                            </w:r>
                            <w:r w:rsidRPr="00616069">
                              <w:rPr>
                                <w:rFonts w:ascii="Calibri" w:hAnsi="Calibri" w:cs="Calibri"/>
                                <w:color w:val="FFFFFF" w:themeColor="background1"/>
                              </w:rPr>
                              <w:t xml:space="preserve"> </w:t>
                            </w:r>
                          </w:p>
                          <w:p w14:paraId="29F23FA5" w14:textId="6EE96893"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Výstavba nemovitosti</w:t>
                            </w:r>
                            <w:r w:rsidRPr="00616069">
                              <w:rPr>
                                <w:rFonts w:ascii="Calibri" w:hAnsi="Calibri" w:cs="Calibri"/>
                                <w:color w:val="FFFFFF" w:themeColor="background1"/>
                              </w:rPr>
                              <w:t xml:space="preserve"> – včetně rekonstrukce nemovitosti </w:t>
                            </w:r>
                          </w:p>
                          <w:p w14:paraId="4D80580F" w14:textId="11E0715F" w:rsidR="0001227F" w:rsidRPr="00616069" w:rsidRDefault="0001227F" w:rsidP="00E818C3">
                            <w:pPr>
                              <w:pStyle w:val="Odstavecseseznamem"/>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Ostatní nová ujednání</w:t>
                            </w:r>
                            <w:r w:rsidRPr="00616069">
                              <w:rPr>
                                <w:rFonts w:ascii="Calibri" w:hAnsi="Calibri" w:cs="Calibri"/>
                                <w:color w:val="FFFFFF" w:themeColor="background1"/>
                              </w:rPr>
                              <w:t xml:space="preserve"> – pouze nové úvěry, které nijak nesouvisí s koupí nebo výstavbou nemovitosti, např. tzv. americké hypotéky, vypořádání SJM, zpětná úhrada kupní ceny, vypořádání dědického podílu, vypořádání družstevního podílu, atp.</w:t>
                            </w:r>
                          </w:p>
                          <w:p w14:paraId="4FBF1D5A" w14:textId="77777777" w:rsidR="0001227F" w:rsidRPr="00616069" w:rsidRDefault="0001227F" w:rsidP="0001227F">
                            <w:pPr>
                              <w:spacing w:line="276" w:lineRule="auto"/>
                              <w:ind w:left="708"/>
                              <w:rPr>
                                <w:rFonts w:ascii="Calibri" w:hAnsi="Calibri" w:cs="Calibri"/>
                                <w:color w:val="FFFFFF" w:themeColor="background1"/>
                              </w:rPr>
                            </w:pPr>
                          </w:p>
                          <w:p w14:paraId="71D5E0BB" w14:textId="7D112C27"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2. </w:t>
                            </w:r>
                            <w:r w:rsidR="0001227F" w:rsidRPr="00616069">
                              <w:rPr>
                                <w:rFonts w:ascii="Calibri" w:hAnsi="Calibri" w:cs="Calibri"/>
                                <w:b/>
                                <w:color w:val="FFFFFF" w:themeColor="background1"/>
                              </w:rPr>
                              <w:t>Refinancované úvěry z jiné finanční instituce</w:t>
                            </w:r>
                          </w:p>
                          <w:p w14:paraId="351B5A60" w14:textId="0B5DCBB6"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vznikly refinancováním jednoho nebo více úvěrů z jiné finanční instituce než </w:t>
                            </w:r>
                            <w:r w:rsidR="00973197" w:rsidRPr="00616069">
                              <w:rPr>
                                <w:rFonts w:ascii="Calibri" w:hAnsi="Calibri" w:cs="Calibri"/>
                                <w:color w:val="FFFFFF" w:themeColor="background1"/>
                              </w:rPr>
                              <w:t>té</w:t>
                            </w:r>
                            <w:r w:rsidRPr="00616069">
                              <w:rPr>
                                <w:rFonts w:ascii="Calibri" w:hAnsi="Calibri" w:cs="Calibri"/>
                                <w:color w:val="FFFFFF" w:themeColor="background1"/>
                              </w:rPr>
                              <w:t xml:space="preserve"> vykazující. Bez ohledu na výši refinancované částky a bez ohledu na výši případného navýšení se celková výše nově vzniklého úvěru vykazuje do této kategorie. </w:t>
                            </w:r>
                          </w:p>
                          <w:p w14:paraId="7566D2D6" w14:textId="77777777" w:rsidR="0001227F" w:rsidRPr="00616069" w:rsidRDefault="0001227F" w:rsidP="0001227F">
                            <w:pPr>
                              <w:spacing w:line="276" w:lineRule="auto"/>
                              <w:rPr>
                                <w:rFonts w:ascii="Calibri" w:hAnsi="Calibri" w:cs="Calibri"/>
                                <w:color w:val="FFFFFF" w:themeColor="background1"/>
                              </w:rPr>
                            </w:pPr>
                          </w:p>
                          <w:p w14:paraId="04B36444" w14:textId="4F20B25F"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3. </w:t>
                            </w:r>
                            <w:r w:rsidR="0001227F" w:rsidRPr="00616069">
                              <w:rPr>
                                <w:rFonts w:ascii="Calibri" w:hAnsi="Calibri" w:cs="Calibri"/>
                                <w:b/>
                                <w:color w:val="FFFFFF" w:themeColor="background1"/>
                              </w:rPr>
                              <w:t>Navýšené anebo interně refinancované úvěry</w:t>
                            </w:r>
                          </w:p>
                          <w:p w14:paraId="711A3661" w14:textId="2A271010"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již byly </w:t>
                            </w:r>
                            <w:r w:rsidR="00647A7A" w:rsidRPr="00616069">
                              <w:rPr>
                                <w:rFonts w:ascii="Calibri" w:hAnsi="Calibri" w:cs="Calibri"/>
                                <w:color w:val="FFFFFF" w:themeColor="background1"/>
                              </w:rPr>
                              <w:t xml:space="preserve">v </w:t>
                            </w:r>
                            <w:r w:rsidRPr="00616069">
                              <w:rPr>
                                <w:rFonts w:ascii="Calibri" w:hAnsi="Calibri" w:cs="Calibri"/>
                                <w:color w:val="FFFFFF" w:themeColor="background1"/>
                              </w:rPr>
                              <w:t>předchozí</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vykazované</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období součástí portfolia vykazujícího subjektu, a ve vykazovaném období u nich došlo k některé z následujících změn:</w:t>
                            </w:r>
                          </w:p>
                          <w:p w14:paraId="4A6B00C0" w14:textId="77777777" w:rsidR="00E818C3"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navýšení sjednané částky </w:t>
                            </w:r>
                          </w:p>
                          <w:p w14:paraId="44682079" w14:textId="72C23671" w:rsidR="0001227F" w:rsidRPr="00616069" w:rsidRDefault="0001227F" w:rsidP="0001227F">
                            <w:pPr>
                              <w:pStyle w:val="Odstavecseseznamem"/>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došlo k takovým změnám, že původní úvěr byl v rámci vykazujícího subjektu refinancován/převeden na nový úvěr. </w:t>
                            </w:r>
                            <w:r w:rsidR="00E74228" w:rsidRPr="00616069">
                              <w:rPr>
                                <w:rFonts w:ascii="Calibri" w:hAnsi="Calibri" w:cs="Calibri"/>
                                <w:color w:val="FFFFFF" w:themeColor="background1"/>
                              </w:rPr>
                              <w:t>J</w:t>
                            </w:r>
                            <w:r w:rsidRPr="00616069">
                              <w:rPr>
                                <w:rFonts w:ascii="Calibri" w:hAnsi="Calibri" w:cs="Calibri"/>
                                <w:color w:val="FFFFFF" w:themeColor="background1"/>
                              </w:rPr>
                              <w:t>de</w:t>
                            </w:r>
                            <w:r w:rsidR="00CD28EC" w:rsidRPr="00616069">
                              <w:rPr>
                                <w:rFonts w:ascii="Calibri" w:hAnsi="Calibri" w:cs="Calibri"/>
                                <w:color w:val="FFFFFF" w:themeColor="background1"/>
                              </w:rPr>
                              <w:t xml:space="preserve"> tak o</w:t>
                            </w:r>
                            <w:r w:rsidRPr="00616069">
                              <w:rPr>
                                <w:rFonts w:ascii="Calibri" w:hAnsi="Calibri" w:cs="Calibri"/>
                                <w:color w:val="FFFFFF" w:themeColor="background1"/>
                              </w:rPr>
                              <w:t xml:space="preserve"> skutečně </w:t>
                            </w:r>
                            <w:r w:rsidR="00E74228" w:rsidRPr="00616069">
                              <w:rPr>
                                <w:rFonts w:ascii="Calibri" w:hAnsi="Calibri" w:cs="Calibri"/>
                                <w:color w:val="FFFFFF" w:themeColor="background1"/>
                              </w:rPr>
                              <w:t>novou smlouvu</w:t>
                            </w:r>
                            <w:r w:rsidR="00132EE9" w:rsidRPr="00616069">
                              <w:rPr>
                                <w:rFonts w:ascii="Calibri" w:hAnsi="Calibri" w:cs="Calibri"/>
                                <w:color w:val="FFFFFF" w:themeColor="background1"/>
                              </w:rPr>
                              <w:t xml:space="preserve">, nikoli např. jen </w:t>
                            </w:r>
                            <w:r w:rsidR="007B79F6" w:rsidRPr="00616069">
                              <w:rPr>
                                <w:rFonts w:ascii="Calibri" w:hAnsi="Calibri" w:cs="Calibri"/>
                                <w:color w:val="FFFFFF" w:themeColor="background1"/>
                              </w:rPr>
                              <w:t>nové ujednání v rámci refi</w:t>
                            </w:r>
                            <w:r w:rsidR="000F02C1" w:rsidRPr="00616069">
                              <w:rPr>
                                <w:rFonts w:ascii="Calibri" w:hAnsi="Calibri" w:cs="Calibri"/>
                                <w:color w:val="FFFFFF" w:themeColor="background1"/>
                              </w:rPr>
                              <w:t xml:space="preserve">xace </w:t>
                            </w:r>
                            <w:r w:rsidR="00132EE9" w:rsidRPr="00616069">
                              <w:rPr>
                                <w:rFonts w:ascii="Calibri" w:hAnsi="Calibri" w:cs="Calibri"/>
                                <w:color w:val="FFFFFF" w:themeColor="background1"/>
                              </w:rPr>
                              <w:t xml:space="preserve">stávající smlouvy. Proto je objem takových úvěru ve statistice ČBA nižší oproti „ostatním novým ujednáním“ ve statistice České </w:t>
                            </w:r>
                            <w:r w:rsidR="002D3F94" w:rsidRPr="00616069">
                              <w:rPr>
                                <w:rFonts w:ascii="Calibri" w:hAnsi="Calibri" w:cs="Calibri"/>
                                <w:color w:val="FFFFFF" w:themeColor="background1"/>
                              </w:rPr>
                              <w:t>n</w:t>
                            </w:r>
                            <w:r w:rsidR="00132EE9" w:rsidRPr="00616069">
                              <w:rPr>
                                <w:rFonts w:ascii="Calibri" w:hAnsi="Calibri" w:cs="Calibri"/>
                                <w:color w:val="FFFFFF" w:themeColor="background1"/>
                              </w:rPr>
                              <w:t xml:space="preserve">árodní </w:t>
                            </w:r>
                            <w:r w:rsidR="002D3F94" w:rsidRPr="00616069">
                              <w:rPr>
                                <w:rFonts w:ascii="Calibri" w:hAnsi="Calibri" w:cs="Calibri"/>
                                <w:color w:val="FFFFFF" w:themeColor="background1"/>
                              </w:rPr>
                              <w:t>b</w:t>
                            </w:r>
                            <w:r w:rsidR="00132EE9" w:rsidRPr="00616069">
                              <w:rPr>
                                <w:rFonts w:ascii="Calibri" w:hAnsi="Calibri" w:cs="Calibri"/>
                                <w:color w:val="FFFFFF" w:themeColor="background1"/>
                              </w:rPr>
                              <w:t>anky.</w:t>
                            </w:r>
                          </w:p>
                          <w:p w14:paraId="1FAF8B9B" w14:textId="4C474A58" w:rsidR="006F08E1" w:rsidRPr="00616069" w:rsidRDefault="006F08E1" w:rsidP="006F08E1">
                            <w:pPr>
                              <w:overflowPunct/>
                              <w:autoSpaceDE/>
                              <w:autoSpaceDN/>
                              <w:adjustRightInd/>
                              <w:spacing w:line="276" w:lineRule="auto"/>
                              <w:jc w:val="left"/>
                              <w:textAlignment w:val="auto"/>
                              <w:rPr>
                                <w:rFonts w:ascii="Calibri" w:hAnsi="Calibri" w:cs="Calibri"/>
                                <w:color w:val="FFFFFF" w:themeColor="background1"/>
                              </w:rPr>
                            </w:pPr>
                          </w:p>
                          <w:p w14:paraId="65FC0189" w14:textId="08A7140E" w:rsidR="006F08E1" w:rsidRPr="00616069" w:rsidRDefault="001F49EA" w:rsidP="006F08E1">
                            <w:p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Data pro ČBA Hypomonitor poskytují následující banky a stavební spořitelny: Air Bank, Česká spořitelna, ČSOB, ČSOB Stavební spořitelna, Fio banka, Hypoteční banka, Komerční banka, mBank, Modrá pyramida, MONETA Money Bank, MONETA Stavební spořitelna, Oberbank, Raiffeisen stavební spořitelna, Raiffeisenbank, Stavební spořitelna České spořitelny, UniCredit Bank.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DA650" id="_x0000_t202" coordsize="21600,21600" o:spt="202" path="m,l,21600r21600,l21600,xe">
                <v:stroke joinstyle="miter"/>
                <v:path gradientshapeok="t" o:connecttype="rect"/>
              </v:shapetype>
              <v:shape id="Textové pole 2" o:spid="_x0000_s1029" type="#_x0000_t202" style="position:absolute;left:0;text-align:left;margin-left:0;margin-top:22.25pt;width:517.7pt;height:368.1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" fillcolor="#13576b" stroked="f">
                <v:fill opacity="54998f"/>
                <v:textbox>
                  <w:txbxContent>
                    <w:p w14:paraId="523681E4" w14:textId="20B4FCBA" w:rsidR="0001227F" w:rsidRPr="00616069" w:rsidRDefault="0001227F" w:rsidP="0001227F">
                      <w:pPr>
                        <w:spacing w:line="276" w:lineRule="auto"/>
                        <w:rPr>
                          <w:rFonts w:ascii="Calibri" w:hAnsi="Calibri" w:cs="Calibri"/>
                          <w:b/>
                          <w:bCs/>
                          <w:color w:val="FFFFFF" w:themeColor="background1"/>
                          <w:sz w:val="22"/>
                          <w:szCs w:val="22"/>
                        </w:rPr>
                      </w:pPr>
                      <w:r w:rsidRPr="00616069">
                        <w:rPr>
                          <w:rFonts w:ascii="Calibri" w:hAnsi="Calibri" w:cs="Calibri"/>
                          <w:b/>
                          <w:bCs/>
                          <w:color w:val="FFFFFF" w:themeColor="background1"/>
                          <w:sz w:val="22"/>
                          <w:szCs w:val="22"/>
                        </w:rPr>
                        <w:t>Metodika ČBA Hypomonitoru</w:t>
                      </w:r>
                    </w:p>
                    <w:p w14:paraId="7401467C" w14:textId="77777777" w:rsidR="00414AD4" w:rsidRPr="00616069" w:rsidRDefault="00414AD4" w:rsidP="0001227F">
                      <w:pPr>
                        <w:spacing w:line="276" w:lineRule="auto"/>
                        <w:rPr>
                          <w:rFonts w:ascii="Calibri" w:hAnsi="Calibri" w:cs="Calibri"/>
                          <w:color w:val="FFFFFF" w:themeColor="background1"/>
                          <w:szCs w:val="18"/>
                        </w:rPr>
                      </w:pPr>
                    </w:p>
                    <w:p w14:paraId="1021EABD" w14:textId="16015784" w:rsidR="0001227F" w:rsidRPr="00616069" w:rsidRDefault="00414AD4" w:rsidP="0001227F">
                      <w:pPr>
                        <w:spacing w:line="276" w:lineRule="auto"/>
                        <w:rPr>
                          <w:rFonts w:ascii="Calibri" w:hAnsi="Calibri" w:cs="Calibri"/>
                          <w:color w:val="FFFFFF" w:themeColor="background1"/>
                          <w:szCs w:val="18"/>
                        </w:rPr>
                      </w:pPr>
                      <w:r w:rsidRPr="00616069">
                        <w:rPr>
                          <w:rFonts w:ascii="Calibri" w:hAnsi="Calibri" w:cs="Calibri"/>
                          <w:color w:val="FFFFFF" w:themeColor="background1"/>
                          <w:szCs w:val="18"/>
                        </w:rPr>
                        <w:t xml:space="preserve">ČBA Hypomonitor </w:t>
                      </w:r>
                      <w:r w:rsidR="00FB47DE" w:rsidRPr="00616069">
                        <w:rPr>
                          <w:rFonts w:ascii="Calibri" w:hAnsi="Calibri" w:cs="Calibri"/>
                          <w:color w:val="FFFFFF" w:themeColor="background1"/>
                          <w:szCs w:val="18"/>
                        </w:rPr>
                        <w:t xml:space="preserve">rozděluje poskytnuté hypoteční úvěry </w:t>
                      </w:r>
                      <w:r w:rsidR="00810DCF" w:rsidRPr="00616069">
                        <w:rPr>
                          <w:rFonts w:ascii="Calibri" w:hAnsi="Calibri" w:cs="Calibri"/>
                          <w:color w:val="FFFFFF" w:themeColor="background1"/>
                          <w:szCs w:val="18"/>
                        </w:rPr>
                        <w:t>bank a stavebních spořitelen</w:t>
                      </w:r>
                      <w:r w:rsidR="00B426A2" w:rsidRPr="00616069">
                        <w:rPr>
                          <w:rFonts w:ascii="Calibri" w:hAnsi="Calibri" w:cs="Calibri"/>
                          <w:color w:val="FFFFFF" w:themeColor="background1"/>
                          <w:szCs w:val="18"/>
                        </w:rPr>
                        <w:t xml:space="preserve"> domácnostem</w:t>
                      </w:r>
                      <w:r w:rsidR="00810DCF" w:rsidRPr="00616069">
                        <w:rPr>
                          <w:rFonts w:ascii="Calibri" w:hAnsi="Calibri" w:cs="Calibri"/>
                          <w:color w:val="FFFFFF" w:themeColor="background1"/>
                          <w:szCs w:val="18"/>
                        </w:rPr>
                        <w:t xml:space="preserve"> </w:t>
                      </w:r>
                      <w:r w:rsidRPr="00616069">
                        <w:rPr>
                          <w:rFonts w:ascii="Calibri" w:hAnsi="Calibri" w:cs="Calibri"/>
                          <w:color w:val="FFFFFF" w:themeColor="background1"/>
                          <w:szCs w:val="18"/>
                        </w:rPr>
                        <w:t>do několika kategorií tak, aby byly rozlišeny nové úvěry od refinancovaných či interních refixací</w:t>
                      </w:r>
                      <w:r w:rsidR="000B70C8" w:rsidRPr="00616069">
                        <w:rPr>
                          <w:rFonts w:ascii="Calibri" w:hAnsi="Calibri" w:cs="Calibri"/>
                          <w:color w:val="FFFFFF" w:themeColor="background1"/>
                          <w:szCs w:val="18"/>
                        </w:rPr>
                        <w:t>.</w:t>
                      </w:r>
                      <w:r w:rsidRPr="00616069">
                        <w:rPr>
                          <w:rFonts w:ascii="Calibri" w:hAnsi="Calibri" w:cs="Calibri"/>
                          <w:color w:val="FFFFFF" w:themeColor="background1"/>
                          <w:szCs w:val="18"/>
                        </w:rPr>
                        <w:t xml:space="preserve"> Nové úvěry jsou </w:t>
                      </w:r>
                      <w:r w:rsidR="00581CC1" w:rsidRPr="00616069">
                        <w:rPr>
                          <w:rFonts w:ascii="Calibri" w:hAnsi="Calibri" w:cs="Calibri"/>
                          <w:color w:val="FFFFFF" w:themeColor="background1"/>
                          <w:szCs w:val="18"/>
                        </w:rPr>
                        <w:t>pak</w:t>
                      </w:r>
                      <w:r w:rsidRPr="00616069">
                        <w:rPr>
                          <w:rFonts w:ascii="Calibri" w:hAnsi="Calibri" w:cs="Calibri"/>
                          <w:color w:val="FFFFFF" w:themeColor="background1"/>
                          <w:szCs w:val="18"/>
                        </w:rPr>
                        <w:t xml:space="preserve"> vykazovány v</w:t>
                      </w:r>
                      <w:r w:rsidR="00581CC1" w:rsidRPr="00616069">
                        <w:rPr>
                          <w:rFonts w:ascii="Calibri" w:hAnsi="Calibri" w:cs="Calibri"/>
                          <w:color w:val="FFFFFF" w:themeColor="background1"/>
                          <w:szCs w:val="18"/>
                        </w:rPr>
                        <w:t> </w:t>
                      </w:r>
                      <w:r w:rsidRPr="00616069">
                        <w:rPr>
                          <w:rFonts w:ascii="Calibri" w:hAnsi="Calibri" w:cs="Calibri"/>
                          <w:color w:val="FFFFFF" w:themeColor="background1"/>
                          <w:szCs w:val="18"/>
                        </w:rPr>
                        <w:t>kategoriích</w:t>
                      </w:r>
                      <w:r w:rsidR="00581CC1" w:rsidRPr="00616069">
                        <w:rPr>
                          <w:rFonts w:ascii="Calibri" w:hAnsi="Calibri" w:cs="Calibri"/>
                          <w:color w:val="FFFFFF" w:themeColor="background1"/>
                          <w:szCs w:val="18"/>
                        </w:rPr>
                        <w:t xml:space="preserve"> dle účelu úvěru</w:t>
                      </w:r>
                      <w:r w:rsidRPr="00616069">
                        <w:rPr>
                          <w:rFonts w:ascii="Calibri" w:hAnsi="Calibri" w:cs="Calibri"/>
                          <w:color w:val="FFFFFF" w:themeColor="background1"/>
                          <w:szCs w:val="18"/>
                        </w:rPr>
                        <w:t>:</w:t>
                      </w:r>
                    </w:p>
                    <w:p w14:paraId="58E707E8" w14:textId="77777777" w:rsidR="0001227F" w:rsidRPr="00616069" w:rsidRDefault="0001227F" w:rsidP="0001227F">
                      <w:pPr>
                        <w:spacing w:line="276" w:lineRule="auto"/>
                        <w:rPr>
                          <w:rFonts w:ascii="Calibri" w:hAnsi="Calibri" w:cs="Calibri"/>
                          <w:color w:val="FFFFFF" w:themeColor="background1"/>
                        </w:rPr>
                      </w:pPr>
                    </w:p>
                    <w:p w14:paraId="3227247A" w14:textId="11714118" w:rsidR="0001227F" w:rsidRPr="00616069" w:rsidRDefault="00E818C3" w:rsidP="00E818C3">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1. </w:t>
                      </w:r>
                      <w:r w:rsidR="0001227F" w:rsidRPr="00616069">
                        <w:rPr>
                          <w:rFonts w:ascii="Calibri" w:hAnsi="Calibri" w:cs="Calibri"/>
                          <w:b/>
                          <w:color w:val="FFFFFF" w:themeColor="background1"/>
                        </w:rPr>
                        <w:t>Nové úvěry</w:t>
                      </w:r>
                    </w:p>
                    <w:p w14:paraId="22AF3257" w14:textId="77777777"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Jsou úvěry, jejichž celý objem poprvé vstupuje do ekonomiky. Do této kategorie nepatří konsolidace úvěrů anebo refinancování úvěrů. Dělí se do tří kategorií:</w:t>
                      </w:r>
                    </w:p>
                    <w:p w14:paraId="362AFB2A" w14:textId="77777777" w:rsidR="0001227F" w:rsidRPr="00616069" w:rsidRDefault="0001227F" w:rsidP="00E818C3">
                      <w:pPr>
                        <w:pStyle w:val="ListParagraph"/>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Nákup nemovitosti</w:t>
                      </w:r>
                      <w:r w:rsidRPr="00616069">
                        <w:rPr>
                          <w:rFonts w:ascii="Calibri" w:hAnsi="Calibri" w:cs="Calibri"/>
                          <w:color w:val="FFFFFF" w:themeColor="background1"/>
                        </w:rPr>
                        <w:t xml:space="preserve"> </w:t>
                      </w:r>
                    </w:p>
                    <w:p w14:paraId="29F23FA5" w14:textId="6EE96893" w:rsidR="0001227F" w:rsidRPr="00616069" w:rsidRDefault="0001227F" w:rsidP="00E818C3">
                      <w:pPr>
                        <w:pStyle w:val="ListParagraph"/>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Výstavba nemovitosti</w:t>
                      </w:r>
                      <w:r w:rsidRPr="00616069">
                        <w:rPr>
                          <w:rFonts w:ascii="Calibri" w:hAnsi="Calibri" w:cs="Calibri"/>
                          <w:color w:val="FFFFFF" w:themeColor="background1"/>
                        </w:rPr>
                        <w:t xml:space="preserve"> – včetně rekonstrukce nemovitosti </w:t>
                      </w:r>
                    </w:p>
                    <w:p w14:paraId="4D80580F" w14:textId="11E0715F" w:rsidR="0001227F" w:rsidRPr="00616069" w:rsidRDefault="0001227F" w:rsidP="00E818C3">
                      <w:pPr>
                        <w:pStyle w:val="ListParagraph"/>
                        <w:numPr>
                          <w:ilvl w:val="0"/>
                          <w:numId w:val="30"/>
                        </w:numPr>
                        <w:spacing w:line="276" w:lineRule="auto"/>
                        <w:rPr>
                          <w:rFonts w:ascii="Calibri" w:hAnsi="Calibri" w:cs="Calibri"/>
                          <w:color w:val="FFFFFF" w:themeColor="background1"/>
                        </w:rPr>
                      </w:pPr>
                      <w:r w:rsidRPr="00616069">
                        <w:rPr>
                          <w:rFonts w:ascii="Calibri" w:hAnsi="Calibri" w:cs="Calibri"/>
                          <w:b/>
                          <w:color w:val="FFFFFF" w:themeColor="background1"/>
                        </w:rPr>
                        <w:t>Ostatní nová ujednání</w:t>
                      </w:r>
                      <w:r w:rsidRPr="00616069">
                        <w:rPr>
                          <w:rFonts w:ascii="Calibri" w:hAnsi="Calibri" w:cs="Calibri"/>
                          <w:color w:val="FFFFFF" w:themeColor="background1"/>
                        </w:rPr>
                        <w:t xml:space="preserve"> – pouze nové úvěry, které nijak nesouvisí s koupí nebo výstavbou nemovitosti, např. tzv. americké hypotéky, vypořádání SJM, zpětná úhrada kupní ceny, vypořádání dědického podílu, vypořádání družstevního podílu, atp.</w:t>
                      </w:r>
                    </w:p>
                    <w:p w14:paraId="4FBF1D5A" w14:textId="77777777" w:rsidR="0001227F" w:rsidRPr="00616069" w:rsidRDefault="0001227F" w:rsidP="0001227F">
                      <w:pPr>
                        <w:spacing w:line="276" w:lineRule="auto"/>
                        <w:ind w:left="708"/>
                        <w:rPr>
                          <w:rFonts w:ascii="Calibri" w:hAnsi="Calibri" w:cs="Calibri"/>
                          <w:color w:val="FFFFFF" w:themeColor="background1"/>
                        </w:rPr>
                      </w:pPr>
                    </w:p>
                    <w:p w14:paraId="71D5E0BB" w14:textId="7D112C27"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2. </w:t>
                      </w:r>
                      <w:r w:rsidR="0001227F" w:rsidRPr="00616069">
                        <w:rPr>
                          <w:rFonts w:ascii="Calibri" w:hAnsi="Calibri" w:cs="Calibri"/>
                          <w:b/>
                          <w:color w:val="FFFFFF" w:themeColor="background1"/>
                        </w:rPr>
                        <w:t>Refinancované úvěry z jiné finanční instituce</w:t>
                      </w:r>
                    </w:p>
                    <w:p w14:paraId="351B5A60" w14:textId="0B5DCBB6"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vznikly refinancováním jednoho nebo více úvěrů z jiné finanční instituce než </w:t>
                      </w:r>
                      <w:r w:rsidR="00973197" w:rsidRPr="00616069">
                        <w:rPr>
                          <w:rFonts w:ascii="Calibri" w:hAnsi="Calibri" w:cs="Calibri"/>
                          <w:color w:val="FFFFFF" w:themeColor="background1"/>
                        </w:rPr>
                        <w:t>té</w:t>
                      </w:r>
                      <w:r w:rsidRPr="00616069">
                        <w:rPr>
                          <w:rFonts w:ascii="Calibri" w:hAnsi="Calibri" w:cs="Calibri"/>
                          <w:color w:val="FFFFFF" w:themeColor="background1"/>
                        </w:rPr>
                        <w:t xml:space="preserve"> vykazující. Bez ohledu na výši refinancované částky a bez ohledu na výši případného navýšení se celková výše nově vzniklého úvěru vykazuje do této kategorie. </w:t>
                      </w:r>
                    </w:p>
                    <w:p w14:paraId="7566D2D6" w14:textId="77777777" w:rsidR="0001227F" w:rsidRPr="00616069" w:rsidRDefault="0001227F" w:rsidP="0001227F">
                      <w:pPr>
                        <w:spacing w:line="276" w:lineRule="auto"/>
                        <w:rPr>
                          <w:rFonts w:ascii="Calibri" w:hAnsi="Calibri" w:cs="Calibri"/>
                          <w:color w:val="FFFFFF" w:themeColor="background1"/>
                        </w:rPr>
                      </w:pPr>
                    </w:p>
                    <w:p w14:paraId="04B36444" w14:textId="4F20B25F" w:rsidR="0001227F" w:rsidRPr="00616069" w:rsidRDefault="00E818C3" w:rsidP="0001227F">
                      <w:pPr>
                        <w:spacing w:line="276" w:lineRule="auto"/>
                        <w:rPr>
                          <w:rFonts w:ascii="Calibri" w:hAnsi="Calibri" w:cs="Calibri"/>
                          <w:b/>
                          <w:color w:val="FFFFFF" w:themeColor="background1"/>
                        </w:rPr>
                      </w:pPr>
                      <w:r w:rsidRPr="00616069">
                        <w:rPr>
                          <w:rFonts w:ascii="Calibri" w:hAnsi="Calibri" w:cs="Calibri"/>
                          <w:b/>
                          <w:color w:val="FFFFFF" w:themeColor="background1"/>
                        </w:rPr>
                        <w:t xml:space="preserve">3. </w:t>
                      </w:r>
                      <w:r w:rsidR="0001227F" w:rsidRPr="00616069">
                        <w:rPr>
                          <w:rFonts w:ascii="Calibri" w:hAnsi="Calibri" w:cs="Calibri"/>
                          <w:b/>
                          <w:color w:val="FFFFFF" w:themeColor="background1"/>
                        </w:rPr>
                        <w:t>Navýšené anebo interně refinancované úvěry</w:t>
                      </w:r>
                    </w:p>
                    <w:p w14:paraId="711A3661" w14:textId="2A271010" w:rsidR="0001227F" w:rsidRPr="00616069" w:rsidRDefault="0001227F" w:rsidP="0001227F">
                      <w:pPr>
                        <w:spacing w:line="276" w:lineRule="auto"/>
                        <w:rPr>
                          <w:rFonts w:ascii="Calibri" w:hAnsi="Calibri" w:cs="Calibri"/>
                          <w:color w:val="FFFFFF" w:themeColor="background1"/>
                        </w:rPr>
                      </w:pPr>
                      <w:r w:rsidRPr="00616069">
                        <w:rPr>
                          <w:rFonts w:ascii="Calibri" w:hAnsi="Calibri" w:cs="Calibri"/>
                          <w:color w:val="FFFFFF" w:themeColor="background1"/>
                        </w:rPr>
                        <w:t xml:space="preserve">Jsou úvěry, které již byly </w:t>
                      </w:r>
                      <w:r w:rsidR="00647A7A" w:rsidRPr="00616069">
                        <w:rPr>
                          <w:rFonts w:ascii="Calibri" w:hAnsi="Calibri" w:cs="Calibri"/>
                          <w:color w:val="FFFFFF" w:themeColor="background1"/>
                        </w:rPr>
                        <w:t xml:space="preserve">v </w:t>
                      </w:r>
                      <w:r w:rsidRPr="00616069">
                        <w:rPr>
                          <w:rFonts w:ascii="Calibri" w:hAnsi="Calibri" w:cs="Calibri"/>
                          <w:color w:val="FFFFFF" w:themeColor="background1"/>
                        </w:rPr>
                        <w:t>předchozí</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vykazované</w:t>
                      </w:r>
                      <w:r w:rsidR="0079039B" w:rsidRPr="00616069">
                        <w:rPr>
                          <w:rFonts w:ascii="Calibri" w:hAnsi="Calibri" w:cs="Calibri"/>
                          <w:color w:val="FFFFFF" w:themeColor="background1"/>
                        </w:rPr>
                        <w:t>m</w:t>
                      </w:r>
                      <w:r w:rsidRPr="00616069">
                        <w:rPr>
                          <w:rFonts w:ascii="Calibri" w:hAnsi="Calibri" w:cs="Calibri"/>
                          <w:color w:val="FFFFFF" w:themeColor="background1"/>
                        </w:rPr>
                        <w:t xml:space="preserve"> období součástí portfolia vykazujícího subjektu, a ve vykazovaném období u nich došlo k některé z následujících změn:</w:t>
                      </w:r>
                    </w:p>
                    <w:p w14:paraId="4A6B00C0" w14:textId="77777777" w:rsidR="00E818C3" w:rsidRPr="00616069" w:rsidRDefault="0001227F" w:rsidP="0001227F">
                      <w:pPr>
                        <w:pStyle w:val="ListParagraph"/>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navýšení sjednané částky </w:t>
                      </w:r>
                    </w:p>
                    <w:p w14:paraId="44682079" w14:textId="72C23671" w:rsidR="0001227F" w:rsidRPr="00616069" w:rsidRDefault="0001227F" w:rsidP="0001227F">
                      <w:pPr>
                        <w:pStyle w:val="ListParagraph"/>
                        <w:numPr>
                          <w:ilvl w:val="0"/>
                          <w:numId w:val="28"/>
                        </w:num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 xml:space="preserve">došlo k takovým změnám, že původní úvěr byl v rámci vykazujícího subjektu refinancován/převeden na nový úvěr. </w:t>
                      </w:r>
                      <w:r w:rsidR="00E74228" w:rsidRPr="00616069">
                        <w:rPr>
                          <w:rFonts w:ascii="Calibri" w:hAnsi="Calibri" w:cs="Calibri"/>
                          <w:color w:val="FFFFFF" w:themeColor="background1"/>
                        </w:rPr>
                        <w:t>J</w:t>
                      </w:r>
                      <w:r w:rsidRPr="00616069">
                        <w:rPr>
                          <w:rFonts w:ascii="Calibri" w:hAnsi="Calibri" w:cs="Calibri"/>
                          <w:color w:val="FFFFFF" w:themeColor="background1"/>
                        </w:rPr>
                        <w:t>de</w:t>
                      </w:r>
                      <w:r w:rsidR="00CD28EC" w:rsidRPr="00616069">
                        <w:rPr>
                          <w:rFonts w:ascii="Calibri" w:hAnsi="Calibri" w:cs="Calibri"/>
                          <w:color w:val="FFFFFF" w:themeColor="background1"/>
                        </w:rPr>
                        <w:t xml:space="preserve"> tak o</w:t>
                      </w:r>
                      <w:r w:rsidRPr="00616069">
                        <w:rPr>
                          <w:rFonts w:ascii="Calibri" w:hAnsi="Calibri" w:cs="Calibri"/>
                          <w:color w:val="FFFFFF" w:themeColor="background1"/>
                        </w:rPr>
                        <w:t xml:space="preserve"> skutečně </w:t>
                      </w:r>
                      <w:r w:rsidR="00E74228" w:rsidRPr="00616069">
                        <w:rPr>
                          <w:rFonts w:ascii="Calibri" w:hAnsi="Calibri" w:cs="Calibri"/>
                          <w:color w:val="FFFFFF" w:themeColor="background1"/>
                        </w:rPr>
                        <w:t>novou smlouvu</w:t>
                      </w:r>
                      <w:r w:rsidR="00132EE9" w:rsidRPr="00616069">
                        <w:rPr>
                          <w:rFonts w:ascii="Calibri" w:hAnsi="Calibri" w:cs="Calibri"/>
                          <w:color w:val="FFFFFF" w:themeColor="background1"/>
                        </w:rPr>
                        <w:t xml:space="preserve">, nikoli např. jen </w:t>
                      </w:r>
                      <w:r w:rsidR="007B79F6" w:rsidRPr="00616069">
                        <w:rPr>
                          <w:rFonts w:ascii="Calibri" w:hAnsi="Calibri" w:cs="Calibri"/>
                          <w:color w:val="FFFFFF" w:themeColor="background1"/>
                        </w:rPr>
                        <w:t>nové ujednání v rámci refi</w:t>
                      </w:r>
                      <w:r w:rsidR="000F02C1" w:rsidRPr="00616069">
                        <w:rPr>
                          <w:rFonts w:ascii="Calibri" w:hAnsi="Calibri" w:cs="Calibri"/>
                          <w:color w:val="FFFFFF" w:themeColor="background1"/>
                        </w:rPr>
                        <w:t xml:space="preserve">xace </w:t>
                      </w:r>
                      <w:r w:rsidR="00132EE9" w:rsidRPr="00616069">
                        <w:rPr>
                          <w:rFonts w:ascii="Calibri" w:hAnsi="Calibri" w:cs="Calibri"/>
                          <w:color w:val="FFFFFF" w:themeColor="background1"/>
                        </w:rPr>
                        <w:t xml:space="preserve">stávající smlouvy. Proto je objem takových úvěru ve statistice ČBA nižší oproti „ostatním novým ujednáním“ ve statistice České </w:t>
                      </w:r>
                      <w:r w:rsidR="002D3F94" w:rsidRPr="00616069">
                        <w:rPr>
                          <w:rFonts w:ascii="Calibri" w:hAnsi="Calibri" w:cs="Calibri"/>
                          <w:color w:val="FFFFFF" w:themeColor="background1"/>
                        </w:rPr>
                        <w:t>n</w:t>
                      </w:r>
                      <w:r w:rsidR="00132EE9" w:rsidRPr="00616069">
                        <w:rPr>
                          <w:rFonts w:ascii="Calibri" w:hAnsi="Calibri" w:cs="Calibri"/>
                          <w:color w:val="FFFFFF" w:themeColor="background1"/>
                        </w:rPr>
                        <w:t xml:space="preserve">árodní </w:t>
                      </w:r>
                      <w:r w:rsidR="002D3F94" w:rsidRPr="00616069">
                        <w:rPr>
                          <w:rFonts w:ascii="Calibri" w:hAnsi="Calibri" w:cs="Calibri"/>
                          <w:color w:val="FFFFFF" w:themeColor="background1"/>
                        </w:rPr>
                        <w:t>b</w:t>
                      </w:r>
                      <w:r w:rsidR="00132EE9" w:rsidRPr="00616069">
                        <w:rPr>
                          <w:rFonts w:ascii="Calibri" w:hAnsi="Calibri" w:cs="Calibri"/>
                          <w:color w:val="FFFFFF" w:themeColor="background1"/>
                        </w:rPr>
                        <w:t>anky.</w:t>
                      </w:r>
                    </w:p>
                    <w:p w14:paraId="1FAF8B9B" w14:textId="4C474A58" w:rsidR="006F08E1" w:rsidRPr="00616069" w:rsidRDefault="006F08E1" w:rsidP="006F08E1">
                      <w:pPr>
                        <w:overflowPunct/>
                        <w:autoSpaceDE/>
                        <w:autoSpaceDN/>
                        <w:adjustRightInd/>
                        <w:spacing w:line="276" w:lineRule="auto"/>
                        <w:jc w:val="left"/>
                        <w:textAlignment w:val="auto"/>
                        <w:rPr>
                          <w:rFonts w:ascii="Calibri" w:hAnsi="Calibri" w:cs="Calibri"/>
                          <w:color w:val="FFFFFF" w:themeColor="background1"/>
                        </w:rPr>
                      </w:pPr>
                    </w:p>
                    <w:p w14:paraId="65FC0189" w14:textId="08A7140E" w:rsidR="006F08E1" w:rsidRPr="00616069" w:rsidRDefault="001F49EA" w:rsidP="006F08E1">
                      <w:pPr>
                        <w:overflowPunct/>
                        <w:autoSpaceDE/>
                        <w:autoSpaceDN/>
                        <w:adjustRightInd/>
                        <w:spacing w:line="276" w:lineRule="auto"/>
                        <w:jc w:val="left"/>
                        <w:textAlignment w:val="auto"/>
                        <w:rPr>
                          <w:rFonts w:ascii="Calibri" w:hAnsi="Calibri" w:cs="Calibri"/>
                          <w:color w:val="FFFFFF" w:themeColor="background1"/>
                        </w:rPr>
                      </w:pPr>
                      <w:r w:rsidRPr="00616069">
                        <w:rPr>
                          <w:rFonts w:ascii="Calibri" w:hAnsi="Calibri" w:cs="Calibri"/>
                          <w:color w:val="FFFFFF" w:themeColor="background1"/>
                        </w:rPr>
                        <w:t>Data pro ČBA Hypomonitor poskytují následující banky a stavební spořitelny: Air Bank, Česká spořitelna, ČSOB, ČSOB Stavební spořitelna, Fio banka, Hypoteční banka, Komerční banka, mBank, Modrá pyramida, MONETA Money Bank, MONETA Stavební spořitelna, Oberbank, Raiffeisen stavební spořitelna, Raiffeisenbank, Stavební spořitelna České spořitelny, UniCredit Bank.</w:t>
                      </w:r>
                    </w:p>
                  </w:txbxContent>
                </v:textbox>
                <w10:wrap type="square" anchorx="margin"/>
              </v:shape>
            </w:pict>
          </mc:Fallback>
        </mc:AlternateContent>
      </w:r>
    </w:p>
    <w:tbl>
      <w:tblPr>
        <w:tblStyle w:val="Mkatabulky"/>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7"/>
        <w:gridCol w:w="3384"/>
      </w:tblGrid>
      <w:tr w:rsidR="0028530F" w:rsidRPr="00D80B55" w14:paraId="4825E599" w14:textId="77777777" w:rsidTr="001B1140">
        <w:trPr>
          <w:trHeight w:val="1364"/>
        </w:trPr>
        <w:tc>
          <w:tcPr>
            <w:tcW w:w="6817" w:type="dxa"/>
            <w:shd w:val="clear" w:color="auto" w:fill="13576B"/>
          </w:tcPr>
          <w:p w14:paraId="1EB2DC0A" w14:textId="77777777" w:rsidR="0028530F" w:rsidRPr="00D80B55" w:rsidRDefault="0028530F" w:rsidP="001B1140">
            <w:pPr>
              <w:pStyle w:val="CBANadpisvTABULCE"/>
              <w:jc w:val="both"/>
              <w:rPr>
                <w:rFonts w:cs="Arial"/>
                <w:color w:val="FFFFFF" w:themeColor="background1"/>
                <w:szCs w:val="18"/>
              </w:rPr>
            </w:pPr>
            <w:r w:rsidRPr="00D80B55">
              <w:rPr>
                <w:rFonts w:cs="Arial"/>
                <w:color w:val="FFFFFF" w:themeColor="background1"/>
                <w:szCs w:val="18"/>
              </w:rPr>
              <w:t>O České bankovní asociaci</w:t>
            </w:r>
          </w:p>
          <w:p w14:paraId="4EB0391C" w14:textId="376AE2CD" w:rsidR="0028530F" w:rsidRPr="00D80B55" w:rsidRDefault="0028530F" w:rsidP="001B1140">
            <w:pPr>
              <w:rPr>
                <w:rFonts w:cs="Arial"/>
                <w:color w:val="FFFFFF" w:themeColor="background1"/>
                <w:sz w:val="22"/>
              </w:rPr>
            </w:pPr>
            <w:r w:rsidRPr="00D80B55">
              <w:rPr>
                <w:rFonts w:cs="Arial"/>
                <w:color w:val="FFFFFF" w:themeColor="background1"/>
              </w:rPr>
              <w:t>Česká bankovní asociace (ČBA) je dobrovolné sdružení 3</w:t>
            </w:r>
            <w:r>
              <w:rPr>
                <w:rFonts w:cs="Arial"/>
                <w:color w:val="FFFFFF" w:themeColor="background1"/>
              </w:rPr>
              <w:t>3</w:t>
            </w:r>
            <w:r w:rsidRPr="00D80B55">
              <w:rPr>
                <w:rFonts w:cs="Arial"/>
                <w:color w:val="FFFFFF" w:themeColor="background1"/>
              </w:rPr>
              <w:t xml:space="preserve"> bank, které v ČR působí a reprezentuje tak 99 % trhu. </w:t>
            </w:r>
            <w:r>
              <w:rPr>
                <w:rFonts w:cs="Arial"/>
                <w:color w:val="FFFFFF" w:themeColor="background1"/>
              </w:rPr>
              <w:t>Více než</w:t>
            </w:r>
            <w:r w:rsidRPr="00D80B55">
              <w:rPr>
                <w:rFonts w:cs="Arial"/>
                <w:color w:val="FFFFFF" w:themeColor="background1"/>
              </w:rPr>
              <w:t xml:space="preserve"> 30 let podporuje nejen rozvoj bankovního sektoru, ale i celé ekonomiky a všeobecné finanční gramotnosti. ČBA je členem Evropské bankovní federace (EBF).</w:t>
            </w:r>
          </w:p>
          <w:p w14:paraId="598BB9F7" w14:textId="77777777" w:rsidR="0028530F" w:rsidRPr="00D80B55" w:rsidRDefault="0028530F" w:rsidP="001B1140">
            <w:pPr>
              <w:pStyle w:val="CBAodstavecvTABULCE"/>
              <w:jc w:val="both"/>
              <w:rPr>
                <w:rFonts w:cs="Arial"/>
                <w:color w:val="FFFFFF" w:themeColor="background1"/>
                <w:szCs w:val="18"/>
              </w:rPr>
            </w:pPr>
            <w:r w:rsidRPr="00D80B55">
              <w:rPr>
                <w:rFonts w:cs="Arial"/>
                <w:color w:val="FFFFFF" w:themeColor="background1"/>
                <w:szCs w:val="18"/>
              </w:rPr>
              <w:t xml:space="preserve">Více informací na </w:t>
            </w:r>
            <w:r w:rsidRPr="00D80B55">
              <w:rPr>
                <w:rFonts w:cs="Arial"/>
                <w:color w:val="FFFFFF" w:themeColor="background1"/>
                <w:szCs w:val="18"/>
                <w:u w:val="single"/>
              </w:rPr>
              <w:t>www.cbaonline.cz.</w:t>
            </w:r>
            <w:r w:rsidRPr="00D80B55">
              <w:rPr>
                <w:rFonts w:cs="Arial"/>
                <w:color w:val="A9936D"/>
                <w:szCs w:val="18"/>
              </w:rPr>
              <w:t xml:space="preserve"> </w:t>
            </w:r>
          </w:p>
        </w:tc>
        <w:tc>
          <w:tcPr>
            <w:tcW w:w="3384" w:type="dxa"/>
            <w:shd w:val="clear" w:color="auto" w:fill="A9936D"/>
            <w:vAlign w:val="center"/>
          </w:tcPr>
          <w:p w14:paraId="606A2DEB" w14:textId="77777777" w:rsidR="0028530F" w:rsidRPr="00D80B55" w:rsidRDefault="0028530F" w:rsidP="001B1140">
            <w:pPr>
              <w:pStyle w:val="CBAodstavecvTABULCE"/>
              <w:rPr>
                <w:rFonts w:cs="Arial"/>
                <w:b/>
                <w:bCs/>
                <w:color w:val="FFFFFF" w:themeColor="background1"/>
                <w:szCs w:val="18"/>
              </w:rPr>
            </w:pPr>
            <w:r w:rsidRPr="00D80B55">
              <w:rPr>
                <w:rFonts w:cs="Arial"/>
                <w:b/>
                <w:bCs/>
                <w:color w:val="FFFFFF" w:themeColor="background1"/>
                <w:szCs w:val="18"/>
              </w:rPr>
              <w:t xml:space="preserve">                Dotazy posílejte na</w:t>
            </w:r>
          </w:p>
          <w:p w14:paraId="64706D81" w14:textId="77777777" w:rsidR="0028530F" w:rsidRPr="00D80B55" w:rsidRDefault="0028530F" w:rsidP="001B1140">
            <w:pPr>
              <w:pStyle w:val="CBAodstavecvTABULCE"/>
              <w:jc w:val="center"/>
              <w:rPr>
                <w:rFonts w:cs="Arial"/>
                <w:color w:val="FFFFFF" w:themeColor="background1"/>
                <w:szCs w:val="18"/>
              </w:rPr>
            </w:pPr>
            <w:r w:rsidRPr="00D80B55">
              <w:rPr>
                <w:rFonts w:cs="Arial"/>
                <w:b/>
                <w:bCs/>
                <w:color w:val="FFFFFF" w:themeColor="background1"/>
                <w:szCs w:val="18"/>
              </w:rPr>
              <w:t>radek.salsa@cbaonline.cz</w:t>
            </w:r>
          </w:p>
        </w:tc>
      </w:tr>
    </w:tbl>
    <w:p w14:paraId="79952D08" w14:textId="7B44AB4C" w:rsidR="00C42F00" w:rsidRPr="00B04FE2" w:rsidRDefault="00C42F00" w:rsidP="00CA3B41">
      <w:pPr>
        <w:rPr>
          <w:rFonts w:ascii="Calibri" w:hAnsi="Calibri" w:cs="Calibri"/>
          <w:sz w:val="22"/>
          <w:szCs w:val="22"/>
        </w:rPr>
      </w:pPr>
    </w:p>
    <w:sectPr w:rsidR="00C42F00" w:rsidRPr="00B04FE2" w:rsidSect="000C6834">
      <w:headerReference w:type="even" r:id="rId19"/>
      <w:headerReference w:type="default" r:id="rId20"/>
      <w:footerReference w:type="even" r:id="rId21"/>
      <w:footerReference w:type="default" r:id="rId22"/>
      <w:headerReference w:type="first" r:id="rId23"/>
      <w:footerReference w:type="first" r:id="rId24"/>
      <w:pgSz w:w="11906" w:h="16838"/>
      <w:pgMar w:top="2552" w:right="849" w:bottom="1560"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EB72" w14:textId="77777777" w:rsidR="00AD1503" w:rsidRPr="00616069" w:rsidRDefault="00AD1503" w:rsidP="00F573F1">
      <w:r w:rsidRPr="00616069">
        <w:separator/>
      </w:r>
    </w:p>
  </w:endnote>
  <w:endnote w:type="continuationSeparator" w:id="0">
    <w:p w14:paraId="1FE96810" w14:textId="77777777" w:rsidR="00AD1503" w:rsidRPr="00616069" w:rsidRDefault="00AD1503" w:rsidP="00F573F1">
      <w:r w:rsidRPr="006160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A36B" w14:textId="77777777" w:rsidR="001F1771" w:rsidRDefault="001F17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690799"/>
      <w:docPartObj>
        <w:docPartGallery w:val="Page Numbers (Bottom of Page)"/>
        <w:docPartUnique/>
      </w:docPartObj>
    </w:sdtPr>
    <w:sdtContent>
      <w:sdt>
        <w:sdtPr>
          <w:id w:val="-1769616900"/>
          <w:docPartObj>
            <w:docPartGallery w:val="Page Numbers (Top of Page)"/>
            <w:docPartUnique/>
          </w:docPartObj>
        </w:sdtPr>
        <w:sdtContent>
          <w:p w14:paraId="5E2EB97C" w14:textId="697C5AC2" w:rsidR="001E31AB" w:rsidRPr="00616069" w:rsidRDefault="001E31AB">
            <w:pPr>
              <w:pStyle w:val="Zpat"/>
              <w:jc w:val="right"/>
            </w:pPr>
            <w:r w:rsidRPr="00616069">
              <w:rPr>
                <w:rFonts w:ascii="Calibri" w:hAnsi="Calibri"/>
                <w:noProof/>
                <w:szCs w:val="18"/>
                <w:lang w:eastAsia="en-GB"/>
              </w:rPr>
              <w:drawing>
                <wp:anchor distT="0" distB="0" distL="114300" distR="114300" simplePos="0" relativeHeight="251655680" behindDoc="0" locked="0" layoutInCell="1" allowOverlap="1" wp14:anchorId="7B2A8544" wp14:editId="09B386F6">
                  <wp:simplePos x="0" y="0"/>
                  <wp:positionH relativeFrom="column">
                    <wp:posOffset>-540385</wp:posOffset>
                  </wp:positionH>
                  <wp:positionV relativeFrom="paragraph">
                    <wp:posOffset>-365760</wp:posOffset>
                  </wp:positionV>
                  <wp:extent cx="3042285" cy="701040"/>
                  <wp:effectExtent l="0" t="0" r="5715"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1" cstate="print">
                            <a:extLst>
                              <a:ext uri="{28A0092B-C50C-407E-A947-70E740481C1C}">
                                <a14:useLocalDpi xmlns:a14="http://schemas.microsoft.com/office/drawing/2010/main" val="0"/>
                              </a:ext>
                            </a:extLst>
                          </a:blip>
                          <a:srcRect l="-1309" t="94992" r="61095" b="-1544"/>
                          <a:stretch/>
                        </pic:blipFill>
                        <pic:spPr bwMode="auto">
                          <a:xfrm>
                            <a:off x="0" y="0"/>
                            <a:ext cx="3042285" cy="701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16069">
              <w:rPr>
                <w:rFonts w:ascii="Calibri" w:hAnsi="Calibri"/>
                <w:szCs w:val="18"/>
              </w:rPr>
              <w:t xml:space="preserve">Stránka </w:t>
            </w:r>
            <w:r w:rsidRPr="00616069">
              <w:rPr>
                <w:rFonts w:ascii="Calibri" w:hAnsi="Calibri"/>
                <w:b/>
                <w:bCs/>
                <w:szCs w:val="18"/>
              </w:rPr>
              <w:fldChar w:fldCharType="begin"/>
            </w:r>
            <w:r w:rsidRPr="00616069">
              <w:rPr>
                <w:rFonts w:ascii="Calibri" w:hAnsi="Calibri"/>
                <w:b/>
                <w:bCs/>
                <w:szCs w:val="18"/>
              </w:rPr>
              <w:instrText>PAGE</w:instrText>
            </w:r>
            <w:r w:rsidRPr="00616069">
              <w:rPr>
                <w:rFonts w:ascii="Calibri" w:hAnsi="Calibri"/>
                <w:b/>
                <w:bCs/>
                <w:szCs w:val="18"/>
              </w:rPr>
              <w:fldChar w:fldCharType="separate"/>
            </w:r>
            <w:r w:rsidR="005F4B41" w:rsidRPr="00616069">
              <w:rPr>
                <w:rFonts w:ascii="Calibri" w:hAnsi="Calibri"/>
                <w:b/>
                <w:bCs/>
                <w:szCs w:val="18"/>
              </w:rPr>
              <w:t>1</w:t>
            </w:r>
            <w:r w:rsidRPr="00616069">
              <w:rPr>
                <w:rFonts w:ascii="Calibri" w:hAnsi="Calibri"/>
                <w:b/>
                <w:bCs/>
                <w:szCs w:val="18"/>
              </w:rPr>
              <w:fldChar w:fldCharType="end"/>
            </w:r>
            <w:r w:rsidRPr="00616069">
              <w:rPr>
                <w:rFonts w:ascii="Calibri" w:hAnsi="Calibri"/>
                <w:szCs w:val="18"/>
              </w:rPr>
              <w:t xml:space="preserve"> z </w:t>
            </w:r>
            <w:r w:rsidRPr="00616069">
              <w:rPr>
                <w:rFonts w:ascii="Calibri" w:hAnsi="Calibri"/>
                <w:b/>
                <w:bCs/>
                <w:szCs w:val="18"/>
              </w:rPr>
              <w:fldChar w:fldCharType="begin"/>
            </w:r>
            <w:r w:rsidRPr="00616069">
              <w:rPr>
                <w:rFonts w:ascii="Calibri" w:hAnsi="Calibri"/>
                <w:b/>
                <w:bCs/>
                <w:szCs w:val="18"/>
              </w:rPr>
              <w:instrText>NUMPAGES</w:instrText>
            </w:r>
            <w:r w:rsidRPr="00616069">
              <w:rPr>
                <w:rFonts w:ascii="Calibri" w:hAnsi="Calibri"/>
                <w:b/>
                <w:bCs/>
                <w:szCs w:val="18"/>
              </w:rPr>
              <w:fldChar w:fldCharType="separate"/>
            </w:r>
            <w:r w:rsidR="005F4B41" w:rsidRPr="00616069">
              <w:rPr>
                <w:rFonts w:ascii="Calibri" w:hAnsi="Calibri"/>
                <w:b/>
                <w:bCs/>
                <w:szCs w:val="18"/>
              </w:rPr>
              <w:t>2</w:t>
            </w:r>
            <w:r w:rsidRPr="00616069">
              <w:rPr>
                <w:rFonts w:ascii="Calibri" w:hAnsi="Calibri"/>
                <w:b/>
                <w:bCs/>
                <w:szCs w:val="18"/>
              </w:rPr>
              <w:fldChar w:fldCharType="end"/>
            </w:r>
          </w:p>
        </w:sdtContent>
      </w:sdt>
    </w:sdtContent>
  </w:sdt>
  <w:p w14:paraId="300EB588" w14:textId="24FF51AB" w:rsidR="0065124E" w:rsidRPr="00616069" w:rsidRDefault="0065124E" w:rsidP="00FB4A1C">
    <w:pPr>
      <w:pStyle w:val="Zpat"/>
      <w:tabs>
        <w:tab w:val="clear" w:pos="4536"/>
        <w:tab w:val="clear" w:pos="9072"/>
        <w:tab w:val="left" w:pos="6080"/>
      </w:tabs>
      <w:rPr>
        <w:color w:val="A6A6A6" w:themeColor="background1" w:themeShade="A6"/>
        <w:sz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C139" w14:textId="77777777" w:rsidR="001F1771" w:rsidRDefault="001F17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2C50E" w14:textId="77777777" w:rsidR="00AD1503" w:rsidRPr="00616069" w:rsidRDefault="00AD1503" w:rsidP="00F573F1">
      <w:r w:rsidRPr="00616069">
        <w:separator/>
      </w:r>
    </w:p>
  </w:footnote>
  <w:footnote w:type="continuationSeparator" w:id="0">
    <w:p w14:paraId="2D08EFEE" w14:textId="77777777" w:rsidR="00AD1503" w:rsidRPr="00616069" w:rsidRDefault="00AD1503" w:rsidP="00F573F1">
      <w:r w:rsidRPr="00616069">
        <w:continuationSeparator/>
      </w:r>
    </w:p>
  </w:footnote>
  <w:footnote w:id="1">
    <w:p w14:paraId="661709F5" w14:textId="77777777" w:rsidR="00DD1BFF" w:rsidRPr="00616069" w:rsidRDefault="00DD1BFF" w:rsidP="00DD1BFF">
      <w:pPr>
        <w:pStyle w:val="Textpoznpodarou"/>
        <w:rPr>
          <w:rFonts w:ascii="Calibri" w:hAnsi="Calibri" w:cs="Calibri"/>
          <w:sz w:val="17"/>
          <w:szCs w:val="17"/>
        </w:rPr>
      </w:pPr>
      <w:r w:rsidRPr="00616069">
        <w:rPr>
          <w:rStyle w:val="Znakapoznpodarou"/>
          <w:rFonts w:ascii="Calibri" w:hAnsi="Calibri" w:cs="Calibri"/>
          <w:sz w:val="17"/>
          <w:szCs w:val="17"/>
        </w:rPr>
        <w:footnoteRef/>
      </w:r>
      <w:r w:rsidRPr="00616069">
        <w:rPr>
          <w:rFonts w:ascii="Calibri" w:hAnsi="Calibri" w:cs="Calibri"/>
          <w:sz w:val="17"/>
          <w:szCs w:val="17"/>
        </w:rPr>
        <w:t xml:space="preserve"> </w:t>
      </w:r>
      <w:r w:rsidRPr="00616069">
        <w:rPr>
          <w:rFonts w:asciiTheme="majorHAnsi" w:hAnsiTheme="majorHAnsi" w:cstheme="majorHAnsi"/>
          <w:sz w:val="17"/>
          <w:szCs w:val="17"/>
        </w:rPr>
        <w:t xml:space="preserve">Jedná se především o dlouholeté úrokové swapy (interest rate swap, IRS), které odráží cenu peněz v delších splatnostech, například </w:t>
      </w:r>
      <w:r>
        <w:rPr>
          <w:rFonts w:asciiTheme="majorHAnsi" w:hAnsiTheme="majorHAnsi" w:cstheme="majorHAnsi"/>
          <w:sz w:val="17"/>
          <w:szCs w:val="17"/>
        </w:rPr>
        <w:t>2</w:t>
      </w:r>
      <w:r w:rsidRPr="00616069">
        <w:rPr>
          <w:rFonts w:asciiTheme="majorHAnsi" w:hAnsiTheme="majorHAnsi" w:cstheme="majorHAnsi"/>
          <w:sz w:val="17"/>
          <w:szCs w:val="17"/>
        </w:rPr>
        <w:t xml:space="preserve"> až 10 let.</w:t>
      </w:r>
    </w:p>
  </w:footnote>
  <w:footnote w:id="2">
    <w:p w14:paraId="3F408451" w14:textId="77777777" w:rsidR="00952AEF" w:rsidRPr="00952AEF" w:rsidRDefault="00952AEF" w:rsidP="00952AEF">
      <w:pPr>
        <w:pStyle w:val="Textpoznpodarou"/>
        <w:rPr>
          <w:rFonts w:asciiTheme="majorHAnsi" w:hAnsiTheme="majorHAnsi" w:cstheme="majorHAnsi"/>
          <w:sz w:val="17"/>
          <w:szCs w:val="17"/>
        </w:rPr>
      </w:pPr>
      <w:r w:rsidRPr="00616069">
        <w:rPr>
          <w:rStyle w:val="Znakapoznpodarou"/>
        </w:rPr>
        <w:footnoteRef/>
      </w:r>
      <w:r w:rsidRPr="00616069">
        <w:t xml:space="preserve"> </w:t>
      </w:r>
      <w:r w:rsidRPr="00616069">
        <w:rPr>
          <w:rFonts w:asciiTheme="majorHAnsi" w:hAnsiTheme="majorHAnsi" w:cstheme="majorHAnsi"/>
          <w:sz w:val="17"/>
          <w:szCs w:val="17"/>
        </w:rPr>
        <w:t>Tabulka je k dispozici v souboru xls přiloženém na webových stránkách ČBA Hypomonitoru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42D5" w14:textId="77777777" w:rsidR="001F1771" w:rsidRDefault="001F17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4485" w14:textId="2911EA6E" w:rsidR="0065124E" w:rsidRPr="00616069" w:rsidRDefault="00744C66">
    <w:pPr>
      <w:pStyle w:val="Zhlav"/>
    </w:pPr>
    <w:r w:rsidRPr="00616069">
      <w:rPr>
        <w:noProof/>
        <w:lang w:eastAsia="en-GB"/>
      </w:rPr>
      <w:drawing>
        <wp:anchor distT="0" distB="0" distL="114300" distR="114300" simplePos="0" relativeHeight="251660288" behindDoc="0" locked="0" layoutInCell="1" allowOverlap="1" wp14:anchorId="197D896D" wp14:editId="2F5B49A4">
          <wp:simplePos x="0" y="0"/>
          <wp:positionH relativeFrom="column">
            <wp:posOffset>-52705</wp:posOffset>
          </wp:positionH>
          <wp:positionV relativeFrom="paragraph">
            <wp:posOffset>29845</wp:posOffset>
          </wp:positionV>
          <wp:extent cx="2209800" cy="778510"/>
          <wp:effectExtent l="0" t="0" r="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78510"/>
                  </a:xfrm>
                  <a:prstGeom prst="rect">
                    <a:avLst/>
                  </a:prstGeom>
                  <a:noFill/>
                  <a:ln>
                    <a:noFill/>
                  </a:ln>
                </pic:spPr>
              </pic:pic>
            </a:graphicData>
          </a:graphic>
        </wp:anchor>
      </w:drawing>
    </w:r>
    <w:r w:rsidR="002D4720" w:rsidRPr="00616069">
      <w:rPr>
        <w:noProof/>
        <w:lang w:eastAsia="en-GB"/>
      </w:rPr>
      <w:drawing>
        <wp:anchor distT="0" distB="0" distL="114300" distR="114300" simplePos="0" relativeHeight="251664384" behindDoc="1" locked="0" layoutInCell="1" allowOverlap="1" wp14:anchorId="2A1D7AA9" wp14:editId="7A7B0A01">
          <wp:simplePos x="0" y="0"/>
          <wp:positionH relativeFrom="column">
            <wp:posOffset>3985895</wp:posOffset>
          </wp:positionH>
          <wp:positionV relativeFrom="paragraph">
            <wp:posOffset>-8255</wp:posOffset>
          </wp:positionV>
          <wp:extent cx="2943225" cy="243840"/>
          <wp:effectExtent l="0" t="0" r="9525" b="381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rotWithShape="1">
                  <a:blip r:embed="rId2" cstate="print">
                    <a:extLst>
                      <a:ext uri="{28A0092B-C50C-407E-A947-70E740481C1C}">
                        <a14:useLocalDpi xmlns:a14="http://schemas.microsoft.com/office/drawing/2010/main" val="0"/>
                      </a:ext>
                    </a:extLst>
                  </a:blip>
                  <a:srcRect t="94992" r="61096" b="2729"/>
                  <a:stretch/>
                </pic:blipFill>
                <pic:spPr bwMode="auto">
                  <a:xfrm>
                    <a:off x="0" y="0"/>
                    <a:ext cx="2943225" cy="243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720" w:rsidRPr="00616069">
      <w:rPr>
        <w:rFonts w:cs="Arial"/>
        <w:noProof/>
        <w:lang w:eastAsia="en-GB"/>
      </w:rPr>
      <mc:AlternateContent>
        <mc:Choice Requires="wps">
          <w:drawing>
            <wp:anchor distT="45720" distB="45720" distL="114300" distR="114300" simplePos="0" relativeHeight="251662336" behindDoc="0" locked="0" layoutInCell="1" allowOverlap="1" wp14:anchorId="126DE097" wp14:editId="755E40ED">
              <wp:simplePos x="0" y="0"/>
              <wp:positionH relativeFrom="margin">
                <wp:posOffset>5238115</wp:posOffset>
              </wp:positionH>
              <wp:positionV relativeFrom="paragraph">
                <wp:posOffset>153035</wp:posOffset>
              </wp:positionV>
              <wp:extent cx="1239520" cy="1404620"/>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1404620"/>
                      </a:xfrm>
                      <a:prstGeom prst="rect">
                        <a:avLst/>
                      </a:prstGeom>
                      <a:noFill/>
                      <a:ln w="9525">
                        <a:noFill/>
                        <a:miter lim="800000"/>
                        <a:headEnd/>
                        <a:tailEnd/>
                      </a:ln>
                    </wps:spPr>
                    <wps:txbx>
                      <w:txbxContent>
                        <w:p w14:paraId="15DE40D2" w14:textId="77777777" w:rsidR="002D4720" w:rsidRPr="00616069" w:rsidRDefault="002D4720" w:rsidP="002D4720">
                          <w:pPr>
                            <w:spacing w:line="276" w:lineRule="auto"/>
                            <w:jc w:val="right"/>
                            <w:rPr>
                              <w:rFonts w:ascii="Calibri" w:hAnsi="Calibri" w:cs="Calibri"/>
                              <w:b/>
                              <w:color w:val="13576B"/>
                              <w:sz w:val="20"/>
                              <w:szCs w:val="22"/>
                            </w:rPr>
                          </w:pPr>
                          <w:r w:rsidRPr="00616069">
                            <w:rPr>
                              <w:rFonts w:ascii="Calibri" w:hAnsi="Calibri" w:cs="Calibri"/>
                              <w:b/>
                              <w:color w:val="13576B"/>
                              <w:sz w:val="20"/>
                              <w:szCs w:val="22"/>
                            </w:rPr>
                            <w:t>KOMENTÁŘ</w:t>
                          </w:r>
                        </w:p>
                        <w:p w14:paraId="0A69756F" w14:textId="79628EEF" w:rsidR="002D4720" w:rsidRPr="00616069" w:rsidRDefault="007F41A0" w:rsidP="002138C0">
                          <w:pPr>
                            <w:spacing w:line="276" w:lineRule="auto"/>
                            <w:jc w:val="right"/>
                            <w:rPr>
                              <w:rFonts w:ascii="Calibri" w:hAnsi="Calibri" w:cs="Calibri"/>
                              <w:b/>
                              <w:color w:val="13576B"/>
                              <w:sz w:val="20"/>
                              <w:szCs w:val="22"/>
                            </w:rPr>
                          </w:pPr>
                          <w:r w:rsidRPr="00616069">
                            <w:rPr>
                              <w:rFonts w:ascii="Calibri" w:hAnsi="Calibri" w:cs="Calibri"/>
                              <w:color w:val="13576B"/>
                              <w:sz w:val="20"/>
                              <w:szCs w:val="22"/>
                            </w:rPr>
                            <w:t xml:space="preserve">            </w:t>
                          </w:r>
                          <w:r w:rsidR="002138C0">
                            <w:rPr>
                              <w:rFonts w:ascii="Calibri" w:hAnsi="Calibri" w:cs="Calibri"/>
                              <w:color w:val="13576B"/>
                              <w:sz w:val="20"/>
                              <w:szCs w:val="22"/>
                            </w:rPr>
                            <w:t>1</w:t>
                          </w:r>
                          <w:r w:rsidR="00661956">
                            <w:rPr>
                              <w:rFonts w:ascii="Calibri" w:hAnsi="Calibri" w:cs="Calibri"/>
                              <w:color w:val="13576B"/>
                              <w:sz w:val="20"/>
                              <w:szCs w:val="22"/>
                            </w:rPr>
                            <w:t>6</w:t>
                          </w:r>
                          <w:r w:rsidR="002D4720" w:rsidRPr="00616069">
                            <w:rPr>
                              <w:rFonts w:ascii="Calibri" w:hAnsi="Calibri" w:cs="Calibri"/>
                              <w:color w:val="13576B"/>
                              <w:sz w:val="20"/>
                              <w:szCs w:val="22"/>
                            </w:rPr>
                            <w:t>.</w:t>
                          </w:r>
                          <w:r w:rsidR="00661956">
                            <w:rPr>
                              <w:rFonts w:ascii="Calibri" w:hAnsi="Calibri" w:cs="Calibri"/>
                              <w:color w:val="13576B"/>
                              <w:sz w:val="20"/>
                              <w:szCs w:val="22"/>
                            </w:rPr>
                            <w:t>5</w:t>
                          </w:r>
                          <w:r w:rsidR="002D4720" w:rsidRPr="00616069">
                            <w:rPr>
                              <w:rFonts w:ascii="Calibri" w:hAnsi="Calibri" w:cs="Calibri"/>
                              <w:color w:val="13576B"/>
                              <w:sz w:val="20"/>
                              <w:szCs w:val="22"/>
                            </w:rPr>
                            <w:t>.202</w:t>
                          </w:r>
                          <w:r w:rsidR="002138C0">
                            <w:rPr>
                              <w:rFonts w:ascii="Calibri" w:hAnsi="Calibri" w:cs="Calibri"/>
                              <w:color w:val="13576B"/>
                              <w:sz w:val="20"/>
                              <w:szCs w:val="22"/>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6DE097" id="_x0000_s1031" type="#_x0000_t202" style="position:absolute;left:0;text-align:left;margin-left:412.45pt;margin-top:12.05pt;width:97.6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" filled="f" stroked="f">
              <v:textbox style="mso-fit-shape-to-text:t">
                <w:txbxContent>
                  <w:p w14:paraId="15DE40D2" w14:textId="77777777" w:rsidR="002D4720" w:rsidRPr="00616069" w:rsidRDefault="002D4720" w:rsidP="002D4720">
                    <w:pPr>
                      <w:spacing w:line="276" w:lineRule="auto"/>
                      <w:jc w:val="right"/>
                      <w:rPr>
                        <w:rFonts w:ascii="Calibri" w:hAnsi="Calibri" w:cs="Calibri"/>
                        <w:b/>
                        <w:color w:val="13576B"/>
                        <w:sz w:val="20"/>
                        <w:szCs w:val="22"/>
                      </w:rPr>
                    </w:pPr>
                    <w:r w:rsidRPr="00616069">
                      <w:rPr>
                        <w:rFonts w:ascii="Calibri" w:hAnsi="Calibri" w:cs="Calibri"/>
                        <w:b/>
                        <w:color w:val="13576B"/>
                        <w:sz w:val="20"/>
                        <w:szCs w:val="22"/>
                      </w:rPr>
                      <w:t>KOMENTÁŘ</w:t>
                    </w:r>
                  </w:p>
                  <w:p w14:paraId="0A69756F" w14:textId="79628EEF" w:rsidR="002D4720" w:rsidRPr="00616069" w:rsidRDefault="007F41A0" w:rsidP="002138C0">
                    <w:pPr>
                      <w:spacing w:line="276" w:lineRule="auto"/>
                      <w:jc w:val="right"/>
                      <w:rPr>
                        <w:rFonts w:ascii="Calibri" w:hAnsi="Calibri" w:cs="Calibri"/>
                        <w:b/>
                        <w:color w:val="13576B"/>
                        <w:sz w:val="20"/>
                        <w:szCs w:val="22"/>
                      </w:rPr>
                    </w:pPr>
                    <w:r w:rsidRPr="00616069">
                      <w:rPr>
                        <w:rFonts w:ascii="Calibri" w:hAnsi="Calibri" w:cs="Calibri"/>
                        <w:color w:val="13576B"/>
                        <w:sz w:val="20"/>
                        <w:szCs w:val="22"/>
                      </w:rPr>
                      <w:t xml:space="preserve">            </w:t>
                    </w:r>
                    <w:r w:rsidR="002138C0">
                      <w:rPr>
                        <w:rFonts w:ascii="Calibri" w:hAnsi="Calibri" w:cs="Calibri"/>
                        <w:color w:val="13576B"/>
                        <w:sz w:val="20"/>
                        <w:szCs w:val="22"/>
                      </w:rPr>
                      <w:t>1</w:t>
                    </w:r>
                    <w:r w:rsidR="00661956">
                      <w:rPr>
                        <w:rFonts w:ascii="Calibri" w:hAnsi="Calibri" w:cs="Calibri"/>
                        <w:color w:val="13576B"/>
                        <w:sz w:val="20"/>
                        <w:szCs w:val="22"/>
                      </w:rPr>
                      <w:t>6</w:t>
                    </w:r>
                    <w:r w:rsidR="002D4720" w:rsidRPr="00616069">
                      <w:rPr>
                        <w:rFonts w:ascii="Calibri" w:hAnsi="Calibri" w:cs="Calibri"/>
                        <w:color w:val="13576B"/>
                        <w:sz w:val="20"/>
                        <w:szCs w:val="22"/>
                      </w:rPr>
                      <w:t>.</w:t>
                    </w:r>
                    <w:r w:rsidR="00661956">
                      <w:rPr>
                        <w:rFonts w:ascii="Calibri" w:hAnsi="Calibri" w:cs="Calibri"/>
                        <w:color w:val="13576B"/>
                        <w:sz w:val="20"/>
                        <w:szCs w:val="22"/>
                      </w:rPr>
                      <w:t>5</w:t>
                    </w:r>
                    <w:r w:rsidR="002D4720" w:rsidRPr="00616069">
                      <w:rPr>
                        <w:rFonts w:ascii="Calibri" w:hAnsi="Calibri" w:cs="Calibri"/>
                        <w:color w:val="13576B"/>
                        <w:sz w:val="20"/>
                        <w:szCs w:val="22"/>
                      </w:rPr>
                      <w:t>.202</w:t>
                    </w:r>
                    <w:r w:rsidR="002138C0">
                      <w:rPr>
                        <w:rFonts w:ascii="Calibri" w:hAnsi="Calibri" w:cs="Calibri"/>
                        <w:color w:val="13576B"/>
                        <w:sz w:val="20"/>
                        <w:szCs w:val="22"/>
                      </w:rPr>
                      <w:t>5</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098F" w14:textId="77777777" w:rsidR="001F1771" w:rsidRDefault="001F17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9A1"/>
    <w:multiLevelType w:val="hybridMultilevel"/>
    <w:tmpl w:val="28EA1BD4"/>
    <w:lvl w:ilvl="0" w:tplc="F8600AFA">
      <w:start w:val="1"/>
      <w:numFmt w:val="bullet"/>
      <w:lvlText w:val="•"/>
      <w:lvlJc w:val="left"/>
      <w:pPr>
        <w:tabs>
          <w:tab w:val="num" w:pos="720"/>
        </w:tabs>
        <w:ind w:left="720" w:hanging="360"/>
      </w:pPr>
      <w:rPr>
        <w:rFonts w:ascii="Arial" w:hAnsi="Arial" w:hint="default"/>
      </w:rPr>
    </w:lvl>
    <w:lvl w:ilvl="1" w:tplc="9954B5E4" w:tentative="1">
      <w:start w:val="1"/>
      <w:numFmt w:val="bullet"/>
      <w:lvlText w:val="•"/>
      <w:lvlJc w:val="left"/>
      <w:pPr>
        <w:tabs>
          <w:tab w:val="num" w:pos="1440"/>
        </w:tabs>
        <w:ind w:left="1440" w:hanging="360"/>
      </w:pPr>
      <w:rPr>
        <w:rFonts w:ascii="Arial" w:hAnsi="Arial" w:hint="default"/>
      </w:rPr>
    </w:lvl>
    <w:lvl w:ilvl="2" w:tplc="62304CC8" w:tentative="1">
      <w:start w:val="1"/>
      <w:numFmt w:val="bullet"/>
      <w:lvlText w:val="•"/>
      <w:lvlJc w:val="left"/>
      <w:pPr>
        <w:tabs>
          <w:tab w:val="num" w:pos="2160"/>
        </w:tabs>
        <w:ind w:left="2160" w:hanging="360"/>
      </w:pPr>
      <w:rPr>
        <w:rFonts w:ascii="Arial" w:hAnsi="Arial" w:hint="default"/>
      </w:rPr>
    </w:lvl>
    <w:lvl w:ilvl="3" w:tplc="0CA22174" w:tentative="1">
      <w:start w:val="1"/>
      <w:numFmt w:val="bullet"/>
      <w:lvlText w:val="•"/>
      <w:lvlJc w:val="left"/>
      <w:pPr>
        <w:tabs>
          <w:tab w:val="num" w:pos="2880"/>
        </w:tabs>
        <w:ind w:left="2880" w:hanging="360"/>
      </w:pPr>
      <w:rPr>
        <w:rFonts w:ascii="Arial" w:hAnsi="Arial" w:hint="default"/>
      </w:rPr>
    </w:lvl>
    <w:lvl w:ilvl="4" w:tplc="B31CD540" w:tentative="1">
      <w:start w:val="1"/>
      <w:numFmt w:val="bullet"/>
      <w:lvlText w:val="•"/>
      <w:lvlJc w:val="left"/>
      <w:pPr>
        <w:tabs>
          <w:tab w:val="num" w:pos="3600"/>
        </w:tabs>
        <w:ind w:left="3600" w:hanging="360"/>
      </w:pPr>
      <w:rPr>
        <w:rFonts w:ascii="Arial" w:hAnsi="Arial" w:hint="default"/>
      </w:rPr>
    </w:lvl>
    <w:lvl w:ilvl="5" w:tplc="A83A2ECA" w:tentative="1">
      <w:start w:val="1"/>
      <w:numFmt w:val="bullet"/>
      <w:lvlText w:val="•"/>
      <w:lvlJc w:val="left"/>
      <w:pPr>
        <w:tabs>
          <w:tab w:val="num" w:pos="4320"/>
        </w:tabs>
        <w:ind w:left="4320" w:hanging="360"/>
      </w:pPr>
      <w:rPr>
        <w:rFonts w:ascii="Arial" w:hAnsi="Arial" w:hint="default"/>
      </w:rPr>
    </w:lvl>
    <w:lvl w:ilvl="6" w:tplc="8A1254AE" w:tentative="1">
      <w:start w:val="1"/>
      <w:numFmt w:val="bullet"/>
      <w:lvlText w:val="•"/>
      <w:lvlJc w:val="left"/>
      <w:pPr>
        <w:tabs>
          <w:tab w:val="num" w:pos="5040"/>
        </w:tabs>
        <w:ind w:left="5040" w:hanging="360"/>
      </w:pPr>
      <w:rPr>
        <w:rFonts w:ascii="Arial" w:hAnsi="Arial" w:hint="default"/>
      </w:rPr>
    </w:lvl>
    <w:lvl w:ilvl="7" w:tplc="247E4084" w:tentative="1">
      <w:start w:val="1"/>
      <w:numFmt w:val="bullet"/>
      <w:lvlText w:val="•"/>
      <w:lvlJc w:val="left"/>
      <w:pPr>
        <w:tabs>
          <w:tab w:val="num" w:pos="5760"/>
        </w:tabs>
        <w:ind w:left="5760" w:hanging="360"/>
      </w:pPr>
      <w:rPr>
        <w:rFonts w:ascii="Arial" w:hAnsi="Arial" w:hint="default"/>
      </w:rPr>
    </w:lvl>
    <w:lvl w:ilvl="8" w:tplc="78E09F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843AD"/>
    <w:multiLevelType w:val="hybridMultilevel"/>
    <w:tmpl w:val="EB828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615A72"/>
    <w:multiLevelType w:val="hybridMultilevel"/>
    <w:tmpl w:val="4222A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7B1D76"/>
    <w:multiLevelType w:val="hybridMultilevel"/>
    <w:tmpl w:val="6D5277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72C3C"/>
    <w:multiLevelType w:val="hybridMultilevel"/>
    <w:tmpl w:val="163C6E86"/>
    <w:lvl w:ilvl="0" w:tplc="0405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1206309C"/>
    <w:multiLevelType w:val="hybridMultilevel"/>
    <w:tmpl w:val="855E01C6"/>
    <w:lvl w:ilvl="0" w:tplc="9F3AF1EC">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B92919"/>
    <w:multiLevelType w:val="hybridMultilevel"/>
    <w:tmpl w:val="2B56FAFE"/>
    <w:lvl w:ilvl="0" w:tplc="69881738">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0A4083"/>
    <w:multiLevelType w:val="hybridMultilevel"/>
    <w:tmpl w:val="3C584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E42FC1"/>
    <w:multiLevelType w:val="hybridMultilevel"/>
    <w:tmpl w:val="C296AEE6"/>
    <w:lvl w:ilvl="0" w:tplc="B256063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0FA4577"/>
    <w:multiLevelType w:val="hybridMultilevel"/>
    <w:tmpl w:val="553EAC9E"/>
    <w:lvl w:ilvl="0" w:tplc="8B20C2B0">
      <w:start w:val="3"/>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23343A30"/>
    <w:multiLevelType w:val="hybridMultilevel"/>
    <w:tmpl w:val="26BEA028"/>
    <w:lvl w:ilvl="0" w:tplc="886E46EA">
      <w:start w:val="1"/>
      <w:numFmt w:val="bullet"/>
      <w:lvlText w:val="•"/>
      <w:lvlJc w:val="left"/>
      <w:pPr>
        <w:tabs>
          <w:tab w:val="num" w:pos="720"/>
        </w:tabs>
        <w:ind w:left="720" w:hanging="360"/>
      </w:pPr>
      <w:rPr>
        <w:rFonts w:ascii="Arial" w:hAnsi="Arial" w:hint="default"/>
      </w:rPr>
    </w:lvl>
    <w:lvl w:ilvl="1" w:tplc="D24078A2" w:tentative="1">
      <w:start w:val="1"/>
      <w:numFmt w:val="bullet"/>
      <w:lvlText w:val="•"/>
      <w:lvlJc w:val="left"/>
      <w:pPr>
        <w:tabs>
          <w:tab w:val="num" w:pos="1440"/>
        </w:tabs>
        <w:ind w:left="1440" w:hanging="360"/>
      </w:pPr>
      <w:rPr>
        <w:rFonts w:ascii="Arial" w:hAnsi="Arial" w:hint="default"/>
      </w:rPr>
    </w:lvl>
    <w:lvl w:ilvl="2" w:tplc="7B82BD50" w:tentative="1">
      <w:start w:val="1"/>
      <w:numFmt w:val="bullet"/>
      <w:lvlText w:val="•"/>
      <w:lvlJc w:val="left"/>
      <w:pPr>
        <w:tabs>
          <w:tab w:val="num" w:pos="2160"/>
        </w:tabs>
        <w:ind w:left="2160" w:hanging="360"/>
      </w:pPr>
      <w:rPr>
        <w:rFonts w:ascii="Arial" w:hAnsi="Arial" w:hint="default"/>
      </w:rPr>
    </w:lvl>
    <w:lvl w:ilvl="3" w:tplc="294E0B36" w:tentative="1">
      <w:start w:val="1"/>
      <w:numFmt w:val="bullet"/>
      <w:lvlText w:val="•"/>
      <w:lvlJc w:val="left"/>
      <w:pPr>
        <w:tabs>
          <w:tab w:val="num" w:pos="2880"/>
        </w:tabs>
        <w:ind w:left="2880" w:hanging="360"/>
      </w:pPr>
      <w:rPr>
        <w:rFonts w:ascii="Arial" w:hAnsi="Arial" w:hint="default"/>
      </w:rPr>
    </w:lvl>
    <w:lvl w:ilvl="4" w:tplc="5282AFB4" w:tentative="1">
      <w:start w:val="1"/>
      <w:numFmt w:val="bullet"/>
      <w:lvlText w:val="•"/>
      <w:lvlJc w:val="left"/>
      <w:pPr>
        <w:tabs>
          <w:tab w:val="num" w:pos="3600"/>
        </w:tabs>
        <w:ind w:left="3600" w:hanging="360"/>
      </w:pPr>
      <w:rPr>
        <w:rFonts w:ascii="Arial" w:hAnsi="Arial" w:hint="default"/>
      </w:rPr>
    </w:lvl>
    <w:lvl w:ilvl="5" w:tplc="3D02FB28" w:tentative="1">
      <w:start w:val="1"/>
      <w:numFmt w:val="bullet"/>
      <w:lvlText w:val="•"/>
      <w:lvlJc w:val="left"/>
      <w:pPr>
        <w:tabs>
          <w:tab w:val="num" w:pos="4320"/>
        </w:tabs>
        <w:ind w:left="4320" w:hanging="360"/>
      </w:pPr>
      <w:rPr>
        <w:rFonts w:ascii="Arial" w:hAnsi="Arial" w:hint="default"/>
      </w:rPr>
    </w:lvl>
    <w:lvl w:ilvl="6" w:tplc="E1CE200A" w:tentative="1">
      <w:start w:val="1"/>
      <w:numFmt w:val="bullet"/>
      <w:lvlText w:val="•"/>
      <w:lvlJc w:val="left"/>
      <w:pPr>
        <w:tabs>
          <w:tab w:val="num" w:pos="5040"/>
        </w:tabs>
        <w:ind w:left="5040" w:hanging="360"/>
      </w:pPr>
      <w:rPr>
        <w:rFonts w:ascii="Arial" w:hAnsi="Arial" w:hint="default"/>
      </w:rPr>
    </w:lvl>
    <w:lvl w:ilvl="7" w:tplc="88245F8C" w:tentative="1">
      <w:start w:val="1"/>
      <w:numFmt w:val="bullet"/>
      <w:lvlText w:val="•"/>
      <w:lvlJc w:val="left"/>
      <w:pPr>
        <w:tabs>
          <w:tab w:val="num" w:pos="5760"/>
        </w:tabs>
        <w:ind w:left="5760" w:hanging="360"/>
      </w:pPr>
      <w:rPr>
        <w:rFonts w:ascii="Arial" w:hAnsi="Arial" w:hint="default"/>
      </w:rPr>
    </w:lvl>
    <w:lvl w:ilvl="8" w:tplc="D3A85D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BB14DD"/>
    <w:multiLevelType w:val="hybridMultilevel"/>
    <w:tmpl w:val="17628C18"/>
    <w:lvl w:ilvl="0" w:tplc="E50CA28E">
      <w:start w:val="1"/>
      <w:numFmt w:val="bullet"/>
      <w:lvlText w:val="•"/>
      <w:lvlJc w:val="left"/>
      <w:pPr>
        <w:tabs>
          <w:tab w:val="num" w:pos="720"/>
        </w:tabs>
        <w:ind w:left="720" w:hanging="360"/>
      </w:pPr>
      <w:rPr>
        <w:rFonts w:ascii="Arial" w:hAnsi="Arial" w:cs="Times New Roman" w:hint="default"/>
      </w:rPr>
    </w:lvl>
    <w:lvl w:ilvl="1" w:tplc="9C6437BE">
      <w:start w:val="1"/>
      <w:numFmt w:val="bullet"/>
      <w:lvlText w:val="•"/>
      <w:lvlJc w:val="left"/>
      <w:pPr>
        <w:tabs>
          <w:tab w:val="num" w:pos="1440"/>
        </w:tabs>
        <w:ind w:left="1440" w:hanging="360"/>
      </w:pPr>
      <w:rPr>
        <w:rFonts w:ascii="Arial" w:hAnsi="Arial" w:cs="Times New Roman" w:hint="default"/>
      </w:rPr>
    </w:lvl>
    <w:lvl w:ilvl="2" w:tplc="CCB6EF00">
      <w:start w:val="1"/>
      <w:numFmt w:val="bullet"/>
      <w:lvlText w:val="•"/>
      <w:lvlJc w:val="left"/>
      <w:pPr>
        <w:tabs>
          <w:tab w:val="num" w:pos="2160"/>
        </w:tabs>
        <w:ind w:left="2160" w:hanging="360"/>
      </w:pPr>
      <w:rPr>
        <w:rFonts w:ascii="Arial" w:hAnsi="Arial" w:cs="Times New Roman" w:hint="default"/>
      </w:rPr>
    </w:lvl>
    <w:lvl w:ilvl="3" w:tplc="89EEF108">
      <w:start w:val="1"/>
      <w:numFmt w:val="bullet"/>
      <w:lvlText w:val="•"/>
      <w:lvlJc w:val="left"/>
      <w:pPr>
        <w:tabs>
          <w:tab w:val="num" w:pos="2880"/>
        </w:tabs>
        <w:ind w:left="2880" w:hanging="360"/>
      </w:pPr>
      <w:rPr>
        <w:rFonts w:ascii="Arial" w:hAnsi="Arial" w:cs="Times New Roman" w:hint="default"/>
      </w:rPr>
    </w:lvl>
    <w:lvl w:ilvl="4" w:tplc="42ECDBEA">
      <w:start w:val="1"/>
      <w:numFmt w:val="bullet"/>
      <w:lvlText w:val="•"/>
      <w:lvlJc w:val="left"/>
      <w:pPr>
        <w:tabs>
          <w:tab w:val="num" w:pos="3600"/>
        </w:tabs>
        <w:ind w:left="3600" w:hanging="360"/>
      </w:pPr>
      <w:rPr>
        <w:rFonts w:ascii="Arial" w:hAnsi="Arial" w:cs="Times New Roman" w:hint="default"/>
      </w:rPr>
    </w:lvl>
    <w:lvl w:ilvl="5" w:tplc="3A6A64DA">
      <w:start w:val="1"/>
      <w:numFmt w:val="bullet"/>
      <w:lvlText w:val="•"/>
      <w:lvlJc w:val="left"/>
      <w:pPr>
        <w:tabs>
          <w:tab w:val="num" w:pos="4320"/>
        </w:tabs>
        <w:ind w:left="4320" w:hanging="360"/>
      </w:pPr>
      <w:rPr>
        <w:rFonts w:ascii="Arial" w:hAnsi="Arial" w:cs="Times New Roman" w:hint="default"/>
      </w:rPr>
    </w:lvl>
    <w:lvl w:ilvl="6" w:tplc="785E48AA">
      <w:start w:val="1"/>
      <w:numFmt w:val="bullet"/>
      <w:lvlText w:val="•"/>
      <w:lvlJc w:val="left"/>
      <w:pPr>
        <w:tabs>
          <w:tab w:val="num" w:pos="5040"/>
        </w:tabs>
        <w:ind w:left="5040" w:hanging="360"/>
      </w:pPr>
      <w:rPr>
        <w:rFonts w:ascii="Arial" w:hAnsi="Arial" w:cs="Times New Roman" w:hint="default"/>
      </w:rPr>
    </w:lvl>
    <w:lvl w:ilvl="7" w:tplc="15F0E15A">
      <w:start w:val="1"/>
      <w:numFmt w:val="bullet"/>
      <w:lvlText w:val="•"/>
      <w:lvlJc w:val="left"/>
      <w:pPr>
        <w:tabs>
          <w:tab w:val="num" w:pos="5760"/>
        </w:tabs>
        <w:ind w:left="5760" w:hanging="360"/>
      </w:pPr>
      <w:rPr>
        <w:rFonts w:ascii="Arial" w:hAnsi="Arial" w:cs="Times New Roman" w:hint="default"/>
      </w:rPr>
    </w:lvl>
    <w:lvl w:ilvl="8" w:tplc="D38AD362">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C5A2A51"/>
    <w:multiLevelType w:val="hybridMultilevel"/>
    <w:tmpl w:val="633C8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0647CE5"/>
    <w:multiLevelType w:val="hybridMultilevel"/>
    <w:tmpl w:val="F91C69CC"/>
    <w:lvl w:ilvl="0" w:tplc="AA8891D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5B2B28"/>
    <w:multiLevelType w:val="hybridMultilevel"/>
    <w:tmpl w:val="A77CB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170A7D"/>
    <w:multiLevelType w:val="hybridMultilevel"/>
    <w:tmpl w:val="E76A6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1A024A"/>
    <w:multiLevelType w:val="hybridMultilevel"/>
    <w:tmpl w:val="123AA014"/>
    <w:lvl w:ilvl="0" w:tplc="A1E66C42">
      <w:start w:val="1"/>
      <w:numFmt w:val="bullet"/>
      <w:lvlText w:val="•"/>
      <w:lvlJc w:val="left"/>
      <w:pPr>
        <w:tabs>
          <w:tab w:val="num" w:pos="720"/>
        </w:tabs>
        <w:ind w:left="720" w:hanging="360"/>
      </w:pPr>
      <w:rPr>
        <w:rFonts w:ascii="Arial" w:hAnsi="Arial" w:hint="default"/>
      </w:rPr>
    </w:lvl>
    <w:lvl w:ilvl="1" w:tplc="9D3A3968" w:tentative="1">
      <w:start w:val="1"/>
      <w:numFmt w:val="bullet"/>
      <w:lvlText w:val="•"/>
      <w:lvlJc w:val="left"/>
      <w:pPr>
        <w:tabs>
          <w:tab w:val="num" w:pos="1440"/>
        </w:tabs>
        <w:ind w:left="1440" w:hanging="360"/>
      </w:pPr>
      <w:rPr>
        <w:rFonts w:ascii="Arial" w:hAnsi="Arial" w:hint="default"/>
      </w:rPr>
    </w:lvl>
    <w:lvl w:ilvl="2" w:tplc="AD120F68" w:tentative="1">
      <w:start w:val="1"/>
      <w:numFmt w:val="bullet"/>
      <w:lvlText w:val="•"/>
      <w:lvlJc w:val="left"/>
      <w:pPr>
        <w:tabs>
          <w:tab w:val="num" w:pos="2160"/>
        </w:tabs>
        <w:ind w:left="2160" w:hanging="360"/>
      </w:pPr>
      <w:rPr>
        <w:rFonts w:ascii="Arial" w:hAnsi="Arial" w:hint="default"/>
      </w:rPr>
    </w:lvl>
    <w:lvl w:ilvl="3" w:tplc="6F847E0A" w:tentative="1">
      <w:start w:val="1"/>
      <w:numFmt w:val="bullet"/>
      <w:lvlText w:val="•"/>
      <w:lvlJc w:val="left"/>
      <w:pPr>
        <w:tabs>
          <w:tab w:val="num" w:pos="2880"/>
        </w:tabs>
        <w:ind w:left="2880" w:hanging="360"/>
      </w:pPr>
      <w:rPr>
        <w:rFonts w:ascii="Arial" w:hAnsi="Arial" w:hint="default"/>
      </w:rPr>
    </w:lvl>
    <w:lvl w:ilvl="4" w:tplc="CAC0A524" w:tentative="1">
      <w:start w:val="1"/>
      <w:numFmt w:val="bullet"/>
      <w:lvlText w:val="•"/>
      <w:lvlJc w:val="left"/>
      <w:pPr>
        <w:tabs>
          <w:tab w:val="num" w:pos="3600"/>
        </w:tabs>
        <w:ind w:left="3600" w:hanging="360"/>
      </w:pPr>
      <w:rPr>
        <w:rFonts w:ascii="Arial" w:hAnsi="Arial" w:hint="default"/>
      </w:rPr>
    </w:lvl>
    <w:lvl w:ilvl="5" w:tplc="C8F887C6" w:tentative="1">
      <w:start w:val="1"/>
      <w:numFmt w:val="bullet"/>
      <w:lvlText w:val="•"/>
      <w:lvlJc w:val="left"/>
      <w:pPr>
        <w:tabs>
          <w:tab w:val="num" w:pos="4320"/>
        </w:tabs>
        <w:ind w:left="4320" w:hanging="360"/>
      </w:pPr>
      <w:rPr>
        <w:rFonts w:ascii="Arial" w:hAnsi="Arial" w:hint="default"/>
      </w:rPr>
    </w:lvl>
    <w:lvl w:ilvl="6" w:tplc="3B8863FA" w:tentative="1">
      <w:start w:val="1"/>
      <w:numFmt w:val="bullet"/>
      <w:lvlText w:val="•"/>
      <w:lvlJc w:val="left"/>
      <w:pPr>
        <w:tabs>
          <w:tab w:val="num" w:pos="5040"/>
        </w:tabs>
        <w:ind w:left="5040" w:hanging="360"/>
      </w:pPr>
      <w:rPr>
        <w:rFonts w:ascii="Arial" w:hAnsi="Arial" w:hint="default"/>
      </w:rPr>
    </w:lvl>
    <w:lvl w:ilvl="7" w:tplc="DA545B22" w:tentative="1">
      <w:start w:val="1"/>
      <w:numFmt w:val="bullet"/>
      <w:lvlText w:val="•"/>
      <w:lvlJc w:val="left"/>
      <w:pPr>
        <w:tabs>
          <w:tab w:val="num" w:pos="5760"/>
        </w:tabs>
        <w:ind w:left="5760" w:hanging="360"/>
      </w:pPr>
      <w:rPr>
        <w:rFonts w:ascii="Arial" w:hAnsi="Arial" w:hint="default"/>
      </w:rPr>
    </w:lvl>
    <w:lvl w:ilvl="8" w:tplc="7FFEB4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8A7633"/>
    <w:multiLevelType w:val="hybridMultilevel"/>
    <w:tmpl w:val="A68019BE"/>
    <w:lvl w:ilvl="0" w:tplc="D6BA4EBC">
      <w:start w:val="1"/>
      <w:numFmt w:val="bullet"/>
      <w:lvlText w:val="•"/>
      <w:lvlJc w:val="left"/>
      <w:pPr>
        <w:tabs>
          <w:tab w:val="num" w:pos="720"/>
        </w:tabs>
        <w:ind w:left="720" w:hanging="360"/>
      </w:pPr>
      <w:rPr>
        <w:rFonts w:ascii="Arial" w:hAnsi="Arial" w:hint="default"/>
      </w:rPr>
    </w:lvl>
    <w:lvl w:ilvl="1" w:tplc="FB7C91B6" w:tentative="1">
      <w:start w:val="1"/>
      <w:numFmt w:val="bullet"/>
      <w:lvlText w:val="•"/>
      <w:lvlJc w:val="left"/>
      <w:pPr>
        <w:tabs>
          <w:tab w:val="num" w:pos="1440"/>
        </w:tabs>
        <w:ind w:left="1440" w:hanging="360"/>
      </w:pPr>
      <w:rPr>
        <w:rFonts w:ascii="Arial" w:hAnsi="Arial" w:hint="default"/>
      </w:rPr>
    </w:lvl>
    <w:lvl w:ilvl="2" w:tplc="8F5E82D2" w:tentative="1">
      <w:start w:val="1"/>
      <w:numFmt w:val="bullet"/>
      <w:lvlText w:val="•"/>
      <w:lvlJc w:val="left"/>
      <w:pPr>
        <w:tabs>
          <w:tab w:val="num" w:pos="2160"/>
        </w:tabs>
        <w:ind w:left="2160" w:hanging="360"/>
      </w:pPr>
      <w:rPr>
        <w:rFonts w:ascii="Arial" w:hAnsi="Arial" w:hint="default"/>
      </w:rPr>
    </w:lvl>
    <w:lvl w:ilvl="3" w:tplc="1E66A962" w:tentative="1">
      <w:start w:val="1"/>
      <w:numFmt w:val="bullet"/>
      <w:lvlText w:val="•"/>
      <w:lvlJc w:val="left"/>
      <w:pPr>
        <w:tabs>
          <w:tab w:val="num" w:pos="2880"/>
        </w:tabs>
        <w:ind w:left="2880" w:hanging="360"/>
      </w:pPr>
      <w:rPr>
        <w:rFonts w:ascii="Arial" w:hAnsi="Arial" w:hint="default"/>
      </w:rPr>
    </w:lvl>
    <w:lvl w:ilvl="4" w:tplc="99223854" w:tentative="1">
      <w:start w:val="1"/>
      <w:numFmt w:val="bullet"/>
      <w:lvlText w:val="•"/>
      <w:lvlJc w:val="left"/>
      <w:pPr>
        <w:tabs>
          <w:tab w:val="num" w:pos="3600"/>
        </w:tabs>
        <w:ind w:left="3600" w:hanging="360"/>
      </w:pPr>
      <w:rPr>
        <w:rFonts w:ascii="Arial" w:hAnsi="Arial" w:hint="default"/>
      </w:rPr>
    </w:lvl>
    <w:lvl w:ilvl="5" w:tplc="6C7666AA" w:tentative="1">
      <w:start w:val="1"/>
      <w:numFmt w:val="bullet"/>
      <w:lvlText w:val="•"/>
      <w:lvlJc w:val="left"/>
      <w:pPr>
        <w:tabs>
          <w:tab w:val="num" w:pos="4320"/>
        </w:tabs>
        <w:ind w:left="4320" w:hanging="360"/>
      </w:pPr>
      <w:rPr>
        <w:rFonts w:ascii="Arial" w:hAnsi="Arial" w:hint="default"/>
      </w:rPr>
    </w:lvl>
    <w:lvl w:ilvl="6" w:tplc="0DCED478" w:tentative="1">
      <w:start w:val="1"/>
      <w:numFmt w:val="bullet"/>
      <w:lvlText w:val="•"/>
      <w:lvlJc w:val="left"/>
      <w:pPr>
        <w:tabs>
          <w:tab w:val="num" w:pos="5040"/>
        </w:tabs>
        <w:ind w:left="5040" w:hanging="360"/>
      </w:pPr>
      <w:rPr>
        <w:rFonts w:ascii="Arial" w:hAnsi="Arial" w:hint="default"/>
      </w:rPr>
    </w:lvl>
    <w:lvl w:ilvl="7" w:tplc="9DB4829A" w:tentative="1">
      <w:start w:val="1"/>
      <w:numFmt w:val="bullet"/>
      <w:lvlText w:val="•"/>
      <w:lvlJc w:val="left"/>
      <w:pPr>
        <w:tabs>
          <w:tab w:val="num" w:pos="5760"/>
        </w:tabs>
        <w:ind w:left="5760" w:hanging="360"/>
      </w:pPr>
      <w:rPr>
        <w:rFonts w:ascii="Arial" w:hAnsi="Arial" w:hint="default"/>
      </w:rPr>
    </w:lvl>
    <w:lvl w:ilvl="8" w:tplc="ABF0AF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9105EB"/>
    <w:multiLevelType w:val="hybridMultilevel"/>
    <w:tmpl w:val="25882682"/>
    <w:lvl w:ilvl="0" w:tplc="E586E02A">
      <w:start w:val="1"/>
      <w:numFmt w:val="decimal"/>
      <w:lvlText w:val="%1."/>
      <w:lvlJc w:val="left"/>
      <w:pPr>
        <w:ind w:left="410" w:hanging="360"/>
      </w:pPr>
    </w:lvl>
    <w:lvl w:ilvl="1" w:tplc="08090019">
      <w:start w:val="1"/>
      <w:numFmt w:val="lowerLetter"/>
      <w:lvlText w:val="%2."/>
      <w:lvlJc w:val="left"/>
      <w:pPr>
        <w:ind w:left="1130" w:hanging="360"/>
      </w:pPr>
    </w:lvl>
    <w:lvl w:ilvl="2" w:tplc="0809001B">
      <w:start w:val="1"/>
      <w:numFmt w:val="lowerRoman"/>
      <w:lvlText w:val="%3."/>
      <w:lvlJc w:val="right"/>
      <w:pPr>
        <w:ind w:left="1850" w:hanging="180"/>
      </w:pPr>
    </w:lvl>
    <w:lvl w:ilvl="3" w:tplc="0809000F">
      <w:start w:val="1"/>
      <w:numFmt w:val="decimal"/>
      <w:lvlText w:val="%4."/>
      <w:lvlJc w:val="left"/>
      <w:pPr>
        <w:ind w:left="2570" w:hanging="360"/>
      </w:pPr>
    </w:lvl>
    <w:lvl w:ilvl="4" w:tplc="08090019">
      <w:start w:val="1"/>
      <w:numFmt w:val="lowerLetter"/>
      <w:lvlText w:val="%5."/>
      <w:lvlJc w:val="left"/>
      <w:pPr>
        <w:ind w:left="3290" w:hanging="360"/>
      </w:pPr>
    </w:lvl>
    <w:lvl w:ilvl="5" w:tplc="0809001B">
      <w:start w:val="1"/>
      <w:numFmt w:val="lowerRoman"/>
      <w:lvlText w:val="%6."/>
      <w:lvlJc w:val="right"/>
      <w:pPr>
        <w:ind w:left="4010" w:hanging="180"/>
      </w:pPr>
    </w:lvl>
    <w:lvl w:ilvl="6" w:tplc="0809000F">
      <w:start w:val="1"/>
      <w:numFmt w:val="decimal"/>
      <w:lvlText w:val="%7."/>
      <w:lvlJc w:val="left"/>
      <w:pPr>
        <w:ind w:left="4730" w:hanging="360"/>
      </w:pPr>
    </w:lvl>
    <w:lvl w:ilvl="7" w:tplc="08090019">
      <w:start w:val="1"/>
      <w:numFmt w:val="lowerLetter"/>
      <w:lvlText w:val="%8."/>
      <w:lvlJc w:val="left"/>
      <w:pPr>
        <w:ind w:left="5450" w:hanging="360"/>
      </w:pPr>
    </w:lvl>
    <w:lvl w:ilvl="8" w:tplc="0809001B">
      <w:start w:val="1"/>
      <w:numFmt w:val="lowerRoman"/>
      <w:lvlText w:val="%9."/>
      <w:lvlJc w:val="right"/>
      <w:pPr>
        <w:ind w:left="6170" w:hanging="180"/>
      </w:pPr>
    </w:lvl>
  </w:abstractNum>
  <w:abstractNum w:abstractNumId="19" w15:restartNumberingAfterBreak="0">
    <w:nsid w:val="606843DC"/>
    <w:multiLevelType w:val="hybridMultilevel"/>
    <w:tmpl w:val="3E42D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E1214D"/>
    <w:multiLevelType w:val="hybridMultilevel"/>
    <w:tmpl w:val="9F34024E"/>
    <w:lvl w:ilvl="0" w:tplc="ADB0AA92">
      <w:start w:val="1"/>
      <w:numFmt w:val="bullet"/>
      <w:lvlText w:val="•"/>
      <w:lvlJc w:val="left"/>
      <w:pPr>
        <w:tabs>
          <w:tab w:val="num" w:pos="720"/>
        </w:tabs>
        <w:ind w:left="720" w:hanging="360"/>
      </w:pPr>
      <w:rPr>
        <w:rFonts w:ascii="Arial" w:hAnsi="Arial" w:hint="default"/>
      </w:rPr>
    </w:lvl>
    <w:lvl w:ilvl="1" w:tplc="54B2907C" w:tentative="1">
      <w:start w:val="1"/>
      <w:numFmt w:val="bullet"/>
      <w:lvlText w:val="•"/>
      <w:lvlJc w:val="left"/>
      <w:pPr>
        <w:tabs>
          <w:tab w:val="num" w:pos="1440"/>
        </w:tabs>
        <w:ind w:left="1440" w:hanging="360"/>
      </w:pPr>
      <w:rPr>
        <w:rFonts w:ascii="Arial" w:hAnsi="Arial" w:hint="default"/>
      </w:rPr>
    </w:lvl>
    <w:lvl w:ilvl="2" w:tplc="7F848D9A" w:tentative="1">
      <w:start w:val="1"/>
      <w:numFmt w:val="bullet"/>
      <w:lvlText w:val="•"/>
      <w:lvlJc w:val="left"/>
      <w:pPr>
        <w:tabs>
          <w:tab w:val="num" w:pos="2160"/>
        </w:tabs>
        <w:ind w:left="2160" w:hanging="360"/>
      </w:pPr>
      <w:rPr>
        <w:rFonts w:ascii="Arial" w:hAnsi="Arial" w:hint="default"/>
      </w:rPr>
    </w:lvl>
    <w:lvl w:ilvl="3" w:tplc="E77AB61C" w:tentative="1">
      <w:start w:val="1"/>
      <w:numFmt w:val="bullet"/>
      <w:lvlText w:val="•"/>
      <w:lvlJc w:val="left"/>
      <w:pPr>
        <w:tabs>
          <w:tab w:val="num" w:pos="2880"/>
        </w:tabs>
        <w:ind w:left="2880" w:hanging="360"/>
      </w:pPr>
      <w:rPr>
        <w:rFonts w:ascii="Arial" w:hAnsi="Arial" w:hint="default"/>
      </w:rPr>
    </w:lvl>
    <w:lvl w:ilvl="4" w:tplc="D0862378" w:tentative="1">
      <w:start w:val="1"/>
      <w:numFmt w:val="bullet"/>
      <w:lvlText w:val="•"/>
      <w:lvlJc w:val="left"/>
      <w:pPr>
        <w:tabs>
          <w:tab w:val="num" w:pos="3600"/>
        </w:tabs>
        <w:ind w:left="3600" w:hanging="360"/>
      </w:pPr>
      <w:rPr>
        <w:rFonts w:ascii="Arial" w:hAnsi="Arial" w:hint="default"/>
      </w:rPr>
    </w:lvl>
    <w:lvl w:ilvl="5" w:tplc="181EBA86" w:tentative="1">
      <w:start w:val="1"/>
      <w:numFmt w:val="bullet"/>
      <w:lvlText w:val="•"/>
      <w:lvlJc w:val="left"/>
      <w:pPr>
        <w:tabs>
          <w:tab w:val="num" w:pos="4320"/>
        </w:tabs>
        <w:ind w:left="4320" w:hanging="360"/>
      </w:pPr>
      <w:rPr>
        <w:rFonts w:ascii="Arial" w:hAnsi="Arial" w:hint="default"/>
      </w:rPr>
    </w:lvl>
    <w:lvl w:ilvl="6" w:tplc="429A9BF2" w:tentative="1">
      <w:start w:val="1"/>
      <w:numFmt w:val="bullet"/>
      <w:lvlText w:val="•"/>
      <w:lvlJc w:val="left"/>
      <w:pPr>
        <w:tabs>
          <w:tab w:val="num" w:pos="5040"/>
        </w:tabs>
        <w:ind w:left="5040" w:hanging="360"/>
      </w:pPr>
      <w:rPr>
        <w:rFonts w:ascii="Arial" w:hAnsi="Arial" w:hint="default"/>
      </w:rPr>
    </w:lvl>
    <w:lvl w:ilvl="7" w:tplc="01AC9630" w:tentative="1">
      <w:start w:val="1"/>
      <w:numFmt w:val="bullet"/>
      <w:lvlText w:val="•"/>
      <w:lvlJc w:val="left"/>
      <w:pPr>
        <w:tabs>
          <w:tab w:val="num" w:pos="5760"/>
        </w:tabs>
        <w:ind w:left="5760" w:hanging="360"/>
      </w:pPr>
      <w:rPr>
        <w:rFonts w:ascii="Arial" w:hAnsi="Arial" w:hint="default"/>
      </w:rPr>
    </w:lvl>
    <w:lvl w:ilvl="8" w:tplc="3882357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7613CD2"/>
    <w:multiLevelType w:val="hybridMultilevel"/>
    <w:tmpl w:val="0CF0BB3A"/>
    <w:lvl w:ilvl="0" w:tplc="150827AC">
      <w:start w:val="1"/>
      <w:numFmt w:val="decimal"/>
      <w:lvlText w:val="%1."/>
      <w:lvlJc w:val="left"/>
      <w:pPr>
        <w:tabs>
          <w:tab w:val="num" w:pos="720"/>
        </w:tabs>
        <w:ind w:left="720" w:hanging="360"/>
      </w:pPr>
    </w:lvl>
    <w:lvl w:ilvl="1" w:tplc="7166CD38" w:tentative="1">
      <w:start w:val="1"/>
      <w:numFmt w:val="decimal"/>
      <w:lvlText w:val="%2."/>
      <w:lvlJc w:val="left"/>
      <w:pPr>
        <w:tabs>
          <w:tab w:val="num" w:pos="1440"/>
        </w:tabs>
        <w:ind w:left="1440" w:hanging="360"/>
      </w:pPr>
    </w:lvl>
    <w:lvl w:ilvl="2" w:tplc="6590C27E" w:tentative="1">
      <w:start w:val="1"/>
      <w:numFmt w:val="decimal"/>
      <w:lvlText w:val="%3."/>
      <w:lvlJc w:val="left"/>
      <w:pPr>
        <w:tabs>
          <w:tab w:val="num" w:pos="2160"/>
        </w:tabs>
        <w:ind w:left="2160" w:hanging="360"/>
      </w:pPr>
    </w:lvl>
    <w:lvl w:ilvl="3" w:tplc="DAEABB6A" w:tentative="1">
      <w:start w:val="1"/>
      <w:numFmt w:val="decimal"/>
      <w:lvlText w:val="%4."/>
      <w:lvlJc w:val="left"/>
      <w:pPr>
        <w:tabs>
          <w:tab w:val="num" w:pos="2880"/>
        </w:tabs>
        <w:ind w:left="2880" w:hanging="360"/>
      </w:pPr>
    </w:lvl>
    <w:lvl w:ilvl="4" w:tplc="743CC316" w:tentative="1">
      <w:start w:val="1"/>
      <w:numFmt w:val="decimal"/>
      <w:lvlText w:val="%5."/>
      <w:lvlJc w:val="left"/>
      <w:pPr>
        <w:tabs>
          <w:tab w:val="num" w:pos="3600"/>
        </w:tabs>
        <w:ind w:left="3600" w:hanging="360"/>
      </w:pPr>
    </w:lvl>
    <w:lvl w:ilvl="5" w:tplc="B6205870" w:tentative="1">
      <w:start w:val="1"/>
      <w:numFmt w:val="decimal"/>
      <w:lvlText w:val="%6."/>
      <w:lvlJc w:val="left"/>
      <w:pPr>
        <w:tabs>
          <w:tab w:val="num" w:pos="4320"/>
        </w:tabs>
        <w:ind w:left="4320" w:hanging="360"/>
      </w:pPr>
    </w:lvl>
    <w:lvl w:ilvl="6" w:tplc="51AE11DA" w:tentative="1">
      <w:start w:val="1"/>
      <w:numFmt w:val="decimal"/>
      <w:lvlText w:val="%7."/>
      <w:lvlJc w:val="left"/>
      <w:pPr>
        <w:tabs>
          <w:tab w:val="num" w:pos="5040"/>
        </w:tabs>
        <w:ind w:left="5040" w:hanging="360"/>
      </w:pPr>
    </w:lvl>
    <w:lvl w:ilvl="7" w:tplc="13FCFD3C" w:tentative="1">
      <w:start w:val="1"/>
      <w:numFmt w:val="decimal"/>
      <w:lvlText w:val="%8."/>
      <w:lvlJc w:val="left"/>
      <w:pPr>
        <w:tabs>
          <w:tab w:val="num" w:pos="5760"/>
        </w:tabs>
        <w:ind w:left="5760" w:hanging="360"/>
      </w:pPr>
    </w:lvl>
    <w:lvl w:ilvl="8" w:tplc="B21EA8F8" w:tentative="1">
      <w:start w:val="1"/>
      <w:numFmt w:val="decimal"/>
      <w:lvlText w:val="%9."/>
      <w:lvlJc w:val="left"/>
      <w:pPr>
        <w:tabs>
          <w:tab w:val="num" w:pos="6480"/>
        </w:tabs>
        <w:ind w:left="6480" w:hanging="360"/>
      </w:pPr>
    </w:lvl>
  </w:abstractNum>
  <w:abstractNum w:abstractNumId="22" w15:restartNumberingAfterBreak="0">
    <w:nsid w:val="6765577F"/>
    <w:multiLevelType w:val="hybridMultilevel"/>
    <w:tmpl w:val="BBB23B48"/>
    <w:lvl w:ilvl="0" w:tplc="AC68AD1A">
      <w:start w:val="1"/>
      <w:numFmt w:val="bullet"/>
      <w:lvlText w:val="•"/>
      <w:lvlJc w:val="left"/>
      <w:pPr>
        <w:tabs>
          <w:tab w:val="num" w:pos="720"/>
        </w:tabs>
        <w:ind w:left="720" w:hanging="360"/>
      </w:pPr>
      <w:rPr>
        <w:rFonts w:ascii="Arial" w:hAnsi="Arial" w:hint="default"/>
      </w:rPr>
    </w:lvl>
    <w:lvl w:ilvl="1" w:tplc="655AC03A" w:tentative="1">
      <w:start w:val="1"/>
      <w:numFmt w:val="bullet"/>
      <w:lvlText w:val="•"/>
      <w:lvlJc w:val="left"/>
      <w:pPr>
        <w:tabs>
          <w:tab w:val="num" w:pos="1440"/>
        </w:tabs>
        <w:ind w:left="1440" w:hanging="360"/>
      </w:pPr>
      <w:rPr>
        <w:rFonts w:ascii="Arial" w:hAnsi="Arial" w:hint="default"/>
      </w:rPr>
    </w:lvl>
    <w:lvl w:ilvl="2" w:tplc="FE6873AE" w:tentative="1">
      <w:start w:val="1"/>
      <w:numFmt w:val="bullet"/>
      <w:lvlText w:val="•"/>
      <w:lvlJc w:val="left"/>
      <w:pPr>
        <w:tabs>
          <w:tab w:val="num" w:pos="2160"/>
        </w:tabs>
        <w:ind w:left="2160" w:hanging="360"/>
      </w:pPr>
      <w:rPr>
        <w:rFonts w:ascii="Arial" w:hAnsi="Arial" w:hint="default"/>
      </w:rPr>
    </w:lvl>
    <w:lvl w:ilvl="3" w:tplc="59208412" w:tentative="1">
      <w:start w:val="1"/>
      <w:numFmt w:val="bullet"/>
      <w:lvlText w:val="•"/>
      <w:lvlJc w:val="left"/>
      <w:pPr>
        <w:tabs>
          <w:tab w:val="num" w:pos="2880"/>
        </w:tabs>
        <w:ind w:left="2880" w:hanging="360"/>
      </w:pPr>
      <w:rPr>
        <w:rFonts w:ascii="Arial" w:hAnsi="Arial" w:hint="default"/>
      </w:rPr>
    </w:lvl>
    <w:lvl w:ilvl="4" w:tplc="1B46B48C" w:tentative="1">
      <w:start w:val="1"/>
      <w:numFmt w:val="bullet"/>
      <w:lvlText w:val="•"/>
      <w:lvlJc w:val="left"/>
      <w:pPr>
        <w:tabs>
          <w:tab w:val="num" w:pos="3600"/>
        </w:tabs>
        <w:ind w:left="3600" w:hanging="360"/>
      </w:pPr>
      <w:rPr>
        <w:rFonts w:ascii="Arial" w:hAnsi="Arial" w:hint="default"/>
      </w:rPr>
    </w:lvl>
    <w:lvl w:ilvl="5" w:tplc="02EA0FDE" w:tentative="1">
      <w:start w:val="1"/>
      <w:numFmt w:val="bullet"/>
      <w:lvlText w:val="•"/>
      <w:lvlJc w:val="left"/>
      <w:pPr>
        <w:tabs>
          <w:tab w:val="num" w:pos="4320"/>
        </w:tabs>
        <w:ind w:left="4320" w:hanging="360"/>
      </w:pPr>
      <w:rPr>
        <w:rFonts w:ascii="Arial" w:hAnsi="Arial" w:hint="default"/>
      </w:rPr>
    </w:lvl>
    <w:lvl w:ilvl="6" w:tplc="1D860DEE" w:tentative="1">
      <w:start w:val="1"/>
      <w:numFmt w:val="bullet"/>
      <w:lvlText w:val="•"/>
      <w:lvlJc w:val="left"/>
      <w:pPr>
        <w:tabs>
          <w:tab w:val="num" w:pos="5040"/>
        </w:tabs>
        <w:ind w:left="5040" w:hanging="360"/>
      </w:pPr>
      <w:rPr>
        <w:rFonts w:ascii="Arial" w:hAnsi="Arial" w:hint="default"/>
      </w:rPr>
    </w:lvl>
    <w:lvl w:ilvl="7" w:tplc="CA8628BC" w:tentative="1">
      <w:start w:val="1"/>
      <w:numFmt w:val="bullet"/>
      <w:lvlText w:val="•"/>
      <w:lvlJc w:val="left"/>
      <w:pPr>
        <w:tabs>
          <w:tab w:val="num" w:pos="5760"/>
        </w:tabs>
        <w:ind w:left="5760" w:hanging="360"/>
      </w:pPr>
      <w:rPr>
        <w:rFonts w:ascii="Arial" w:hAnsi="Arial" w:hint="default"/>
      </w:rPr>
    </w:lvl>
    <w:lvl w:ilvl="8" w:tplc="1674DC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FD055A"/>
    <w:multiLevelType w:val="hybridMultilevel"/>
    <w:tmpl w:val="F490C33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4" w15:restartNumberingAfterBreak="0">
    <w:nsid w:val="6EA509EA"/>
    <w:multiLevelType w:val="hybridMultilevel"/>
    <w:tmpl w:val="14E0161E"/>
    <w:lvl w:ilvl="0" w:tplc="9F3AF1EC">
      <w:numFmt w:val="bullet"/>
      <w:lvlText w:val="-"/>
      <w:lvlJc w:val="left"/>
      <w:pPr>
        <w:ind w:left="360" w:hanging="360"/>
      </w:pPr>
      <w:rPr>
        <w:rFonts w:ascii="Calibri Light" w:eastAsia="Times New Roman" w:hAnsi="Calibri Light" w:cs="Calibri Light"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F137D7D"/>
    <w:multiLevelType w:val="hybridMultilevel"/>
    <w:tmpl w:val="F856C146"/>
    <w:lvl w:ilvl="0" w:tplc="F37A31CE">
      <w:start w:val="10"/>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0DE4F03"/>
    <w:multiLevelType w:val="hybridMultilevel"/>
    <w:tmpl w:val="D458DCC2"/>
    <w:lvl w:ilvl="0" w:tplc="ABAA372A">
      <w:start w:val="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5767A3"/>
    <w:multiLevelType w:val="hybridMultilevel"/>
    <w:tmpl w:val="50648AEA"/>
    <w:lvl w:ilvl="0" w:tplc="A25066A6">
      <w:start w:val="1"/>
      <w:numFmt w:val="bullet"/>
      <w:lvlText w:val="•"/>
      <w:lvlJc w:val="left"/>
      <w:pPr>
        <w:tabs>
          <w:tab w:val="num" w:pos="720"/>
        </w:tabs>
        <w:ind w:left="720" w:hanging="360"/>
      </w:pPr>
      <w:rPr>
        <w:rFonts w:ascii="Arial" w:hAnsi="Arial" w:hint="default"/>
      </w:rPr>
    </w:lvl>
    <w:lvl w:ilvl="1" w:tplc="535E907A" w:tentative="1">
      <w:start w:val="1"/>
      <w:numFmt w:val="bullet"/>
      <w:lvlText w:val="•"/>
      <w:lvlJc w:val="left"/>
      <w:pPr>
        <w:tabs>
          <w:tab w:val="num" w:pos="1440"/>
        </w:tabs>
        <w:ind w:left="1440" w:hanging="360"/>
      </w:pPr>
      <w:rPr>
        <w:rFonts w:ascii="Arial" w:hAnsi="Arial" w:hint="default"/>
      </w:rPr>
    </w:lvl>
    <w:lvl w:ilvl="2" w:tplc="414C932A" w:tentative="1">
      <w:start w:val="1"/>
      <w:numFmt w:val="bullet"/>
      <w:lvlText w:val="•"/>
      <w:lvlJc w:val="left"/>
      <w:pPr>
        <w:tabs>
          <w:tab w:val="num" w:pos="2160"/>
        </w:tabs>
        <w:ind w:left="2160" w:hanging="360"/>
      </w:pPr>
      <w:rPr>
        <w:rFonts w:ascii="Arial" w:hAnsi="Arial" w:hint="default"/>
      </w:rPr>
    </w:lvl>
    <w:lvl w:ilvl="3" w:tplc="21BC9A5A" w:tentative="1">
      <w:start w:val="1"/>
      <w:numFmt w:val="bullet"/>
      <w:lvlText w:val="•"/>
      <w:lvlJc w:val="left"/>
      <w:pPr>
        <w:tabs>
          <w:tab w:val="num" w:pos="2880"/>
        </w:tabs>
        <w:ind w:left="2880" w:hanging="360"/>
      </w:pPr>
      <w:rPr>
        <w:rFonts w:ascii="Arial" w:hAnsi="Arial" w:hint="default"/>
      </w:rPr>
    </w:lvl>
    <w:lvl w:ilvl="4" w:tplc="1DC8C3B0" w:tentative="1">
      <w:start w:val="1"/>
      <w:numFmt w:val="bullet"/>
      <w:lvlText w:val="•"/>
      <w:lvlJc w:val="left"/>
      <w:pPr>
        <w:tabs>
          <w:tab w:val="num" w:pos="3600"/>
        </w:tabs>
        <w:ind w:left="3600" w:hanging="360"/>
      </w:pPr>
      <w:rPr>
        <w:rFonts w:ascii="Arial" w:hAnsi="Arial" w:hint="default"/>
      </w:rPr>
    </w:lvl>
    <w:lvl w:ilvl="5" w:tplc="D3249644" w:tentative="1">
      <w:start w:val="1"/>
      <w:numFmt w:val="bullet"/>
      <w:lvlText w:val="•"/>
      <w:lvlJc w:val="left"/>
      <w:pPr>
        <w:tabs>
          <w:tab w:val="num" w:pos="4320"/>
        </w:tabs>
        <w:ind w:left="4320" w:hanging="360"/>
      </w:pPr>
      <w:rPr>
        <w:rFonts w:ascii="Arial" w:hAnsi="Arial" w:hint="default"/>
      </w:rPr>
    </w:lvl>
    <w:lvl w:ilvl="6" w:tplc="3FFACD3C" w:tentative="1">
      <w:start w:val="1"/>
      <w:numFmt w:val="bullet"/>
      <w:lvlText w:val="•"/>
      <w:lvlJc w:val="left"/>
      <w:pPr>
        <w:tabs>
          <w:tab w:val="num" w:pos="5040"/>
        </w:tabs>
        <w:ind w:left="5040" w:hanging="360"/>
      </w:pPr>
      <w:rPr>
        <w:rFonts w:ascii="Arial" w:hAnsi="Arial" w:hint="default"/>
      </w:rPr>
    </w:lvl>
    <w:lvl w:ilvl="7" w:tplc="02AE4BF4" w:tentative="1">
      <w:start w:val="1"/>
      <w:numFmt w:val="bullet"/>
      <w:lvlText w:val="•"/>
      <w:lvlJc w:val="left"/>
      <w:pPr>
        <w:tabs>
          <w:tab w:val="num" w:pos="5760"/>
        </w:tabs>
        <w:ind w:left="5760" w:hanging="360"/>
      </w:pPr>
      <w:rPr>
        <w:rFonts w:ascii="Arial" w:hAnsi="Arial" w:hint="default"/>
      </w:rPr>
    </w:lvl>
    <w:lvl w:ilvl="8" w:tplc="2FF2D88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9FB636A"/>
    <w:multiLevelType w:val="hybridMultilevel"/>
    <w:tmpl w:val="4454BAA0"/>
    <w:lvl w:ilvl="0" w:tplc="3A1A42B8">
      <w:start w:val="1"/>
      <w:numFmt w:val="bullet"/>
      <w:lvlText w:val="•"/>
      <w:lvlJc w:val="left"/>
      <w:pPr>
        <w:tabs>
          <w:tab w:val="num" w:pos="720"/>
        </w:tabs>
        <w:ind w:left="720" w:hanging="360"/>
      </w:pPr>
      <w:rPr>
        <w:rFonts w:ascii="Times New Roman" w:hAnsi="Times New Roman" w:hint="default"/>
      </w:rPr>
    </w:lvl>
    <w:lvl w:ilvl="1" w:tplc="E692F104" w:tentative="1">
      <w:start w:val="1"/>
      <w:numFmt w:val="bullet"/>
      <w:lvlText w:val="•"/>
      <w:lvlJc w:val="left"/>
      <w:pPr>
        <w:tabs>
          <w:tab w:val="num" w:pos="1440"/>
        </w:tabs>
        <w:ind w:left="1440" w:hanging="360"/>
      </w:pPr>
      <w:rPr>
        <w:rFonts w:ascii="Times New Roman" w:hAnsi="Times New Roman" w:hint="default"/>
      </w:rPr>
    </w:lvl>
    <w:lvl w:ilvl="2" w:tplc="B2446C56" w:tentative="1">
      <w:start w:val="1"/>
      <w:numFmt w:val="bullet"/>
      <w:lvlText w:val="•"/>
      <w:lvlJc w:val="left"/>
      <w:pPr>
        <w:tabs>
          <w:tab w:val="num" w:pos="2160"/>
        </w:tabs>
        <w:ind w:left="2160" w:hanging="360"/>
      </w:pPr>
      <w:rPr>
        <w:rFonts w:ascii="Times New Roman" w:hAnsi="Times New Roman" w:hint="default"/>
      </w:rPr>
    </w:lvl>
    <w:lvl w:ilvl="3" w:tplc="AE4AC440" w:tentative="1">
      <w:start w:val="1"/>
      <w:numFmt w:val="bullet"/>
      <w:lvlText w:val="•"/>
      <w:lvlJc w:val="left"/>
      <w:pPr>
        <w:tabs>
          <w:tab w:val="num" w:pos="2880"/>
        </w:tabs>
        <w:ind w:left="2880" w:hanging="360"/>
      </w:pPr>
      <w:rPr>
        <w:rFonts w:ascii="Times New Roman" w:hAnsi="Times New Roman" w:hint="default"/>
      </w:rPr>
    </w:lvl>
    <w:lvl w:ilvl="4" w:tplc="66124D80" w:tentative="1">
      <w:start w:val="1"/>
      <w:numFmt w:val="bullet"/>
      <w:lvlText w:val="•"/>
      <w:lvlJc w:val="left"/>
      <w:pPr>
        <w:tabs>
          <w:tab w:val="num" w:pos="3600"/>
        </w:tabs>
        <w:ind w:left="3600" w:hanging="360"/>
      </w:pPr>
      <w:rPr>
        <w:rFonts w:ascii="Times New Roman" w:hAnsi="Times New Roman" w:hint="default"/>
      </w:rPr>
    </w:lvl>
    <w:lvl w:ilvl="5" w:tplc="842272CA" w:tentative="1">
      <w:start w:val="1"/>
      <w:numFmt w:val="bullet"/>
      <w:lvlText w:val="•"/>
      <w:lvlJc w:val="left"/>
      <w:pPr>
        <w:tabs>
          <w:tab w:val="num" w:pos="4320"/>
        </w:tabs>
        <w:ind w:left="4320" w:hanging="360"/>
      </w:pPr>
      <w:rPr>
        <w:rFonts w:ascii="Times New Roman" w:hAnsi="Times New Roman" w:hint="default"/>
      </w:rPr>
    </w:lvl>
    <w:lvl w:ilvl="6" w:tplc="35648CEA" w:tentative="1">
      <w:start w:val="1"/>
      <w:numFmt w:val="bullet"/>
      <w:lvlText w:val="•"/>
      <w:lvlJc w:val="left"/>
      <w:pPr>
        <w:tabs>
          <w:tab w:val="num" w:pos="5040"/>
        </w:tabs>
        <w:ind w:left="5040" w:hanging="360"/>
      </w:pPr>
      <w:rPr>
        <w:rFonts w:ascii="Times New Roman" w:hAnsi="Times New Roman" w:hint="default"/>
      </w:rPr>
    </w:lvl>
    <w:lvl w:ilvl="7" w:tplc="9126DD12" w:tentative="1">
      <w:start w:val="1"/>
      <w:numFmt w:val="bullet"/>
      <w:lvlText w:val="•"/>
      <w:lvlJc w:val="left"/>
      <w:pPr>
        <w:tabs>
          <w:tab w:val="num" w:pos="5760"/>
        </w:tabs>
        <w:ind w:left="5760" w:hanging="360"/>
      </w:pPr>
      <w:rPr>
        <w:rFonts w:ascii="Times New Roman" w:hAnsi="Times New Roman" w:hint="default"/>
      </w:rPr>
    </w:lvl>
    <w:lvl w:ilvl="8" w:tplc="7C16C17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C2B4724"/>
    <w:multiLevelType w:val="hybridMultilevel"/>
    <w:tmpl w:val="A274A7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65382314">
    <w:abstractNumId w:val="2"/>
  </w:num>
  <w:num w:numId="2" w16cid:durableId="1910113698">
    <w:abstractNumId w:val="8"/>
  </w:num>
  <w:num w:numId="3" w16cid:durableId="405613309">
    <w:abstractNumId w:val="25"/>
  </w:num>
  <w:num w:numId="4" w16cid:durableId="240213499">
    <w:abstractNumId w:val="14"/>
  </w:num>
  <w:num w:numId="5" w16cid:durableId="740492638">
    <w:abstractNumId w:val="4"/>
  </w:num>
  <w:num w:numId="6" w16cid:durableId="211576891">
    <w:abstractNumId w:val="23"/>
  </w:num>
  <w:num w:numId="7" w16cid:durableId="1918248069">
    <w:abstractNumId w:val="6"/>
  </w:num>
  <w:num w:numId="8" w16cid:durableId="1159419045">
    <w:abstractNumId w:val="28"/>
  </w:num>
  <w:num w:numId="9" w16cid:durableId="1798374138">
    <w:abstractNumId w:val="5"/>
  </w:num>
  <w:num w:numId="10" w16cid:durableId="1530677457">
    <w:abstractNumId w:val="24"/>
  </w:num>
  <w:num w:numId="11" w16cid:durableId="984315201">
    <w:abstractNumId w:val="1"/>
  </w:num>
  <w:num w:numId="12" w16cid:durableId="776219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55103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9389165">
    <w:abstractNumId w:val="15"/>
  </w:num>
  <w:num w:numId="15" w16cid:durableId="1323195451">
    <w:abstractNumId w:val="12"/>
  </w:num>
  <w:num w:numId="16" w16cid:durableId="467165265">
    <w:abstractNumId w:val="9"/>
  </w:num>
  <w:num w:numId="17" w16cid:durableId="676033370">
    <w:abstractNumId w:val="11"/>
  </w:num>
  <w:num w:numId="18" w16cid:durableId="1742554342">
    <w:abstractNumId w:val="17"/>
  </w:num>
  <w:num w:numId="19" w16cid:durableId="613287013">
    <w:abstractNumId w:val="20"/>
  </w:num>
  <w:num w:numId="20" w16cid:durableId="8067070">
    <w:abstractNumId w:val="10"/>
  </w:num>
  <w:num w:numId="21" w16cid:durableId="825434180">
    <w:abstractNumId w:val="0"/>
  </w:num>
  <w:num w:numId="22" w16cid:durableId="1082681076">
    <w:abstractNumId w:val="22"/>
  </w:num>
  <w:num w:numId="23" w16cid:durableId="1901165520">
    <w:abstractNumId w:val="27"/>
  </w:num>
  <w:num w:numId="24" w16cid:durableId="1991010767">
    <w:abstractNumId w:val="21"/>
  </w:num>
  <w:num w:numId="25" w16cid:durableId="1542282676">
    <w:abstractNumId w:val="16"/>
  </w:num>
  <w:num w:numId="26" w16cid:durableId="986973659">
    <w:abstractNumId w:val="13"/>
  </w:num>
  <w:num w:numId="27" w16cid:durableId="815336034">
    <w:abstractNumId w:val="26"/>
  </w:num>
  <w:num w:numId="28" w16cid:durableId="1895651473">
    <w:abstractNumId w:val="7"/>
  </w:num>
  <w:num w:numId="29" w16cid:durableId="1858687908">
    <w:abstractNumId w:val="3"/>
  </w:num>
  <w:num w:numId="30" w16cid:durableId="17581644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943"/>
    <w:rsid w:val="00000954"/>
    <w:rsid w:val="00001C42"/>
    <w:rsid w:val="00001E72"/>
    <w:rsid w:val="0000226C"/>
    <w:rsid w:val="0000363D"/>
    <w:rsid w:val="00004596"/>
    <w:rsid w:val="00005419"/>
    <w:rsid w:val="000054D2"/>
    <w:rsid w:val="00005B3F"/>
    <w:rsid w:val="00006511"/>
    <w:rsid w:val="00006C79"/>
    <w:rsid w:val="000070E2"/>
    <w:rsid w:val="00010564"/>
    <w:rsid w:val="000118C2"/>
    <w:rsid w:val="00011AF5"/>
    <w:rsid w:val="0001227F"/>
    <w:rsid w:val="00015933"/>
    <w:rsid w:val="000159E5"/>
    <w:rsid w:val="0001656C"/>
    <w:rsid w:val="000175B3"/>
    <w:rsid w:val="000176E6"/>
    <w:rsid w:val="000202BA"/>
    <w:rsid w:val="00020581"/>
    <w:rsid w:val="00020ED0"/>
    <w:rsid w:val="00020FE5"/>
    <w:rsid w:val="000213CC"/>
    <w:rsid w:val="000221E0"/>
    <w:rsid w:val="00023E9F"/>
    <w:rsid w:val="0002473E"/>
    <w:rsid w:val="000264B4"/>
    <w:rsid w:val="000265A3"/>
    <w:rsid w:val="00027099"/>
    <w:rsid w:val="00027B22"/>
    <w:rsid w:val="00027BAD"/>
    <w:rsid w:val="00031418"/>
    <w:rsid w:val="00031478"/>
    <w:rsid w:val="00035040"/>
    <w:rsid w:val="00036FAB"/>
    <w:rsid w:val="00037707"/>
    <w:rsid w:val="00037C17"/>
    <w:rsid w:val="00040FA4"/>
    <w:rsid w:val="00043889"/>
    <w:rsid w:val="00043DB1"/>
    <w:rsid w:val="00044002"/>
    <w:rsid w:val="000444EA"/>
    <w:rsid w:val="000458CD"/>
    <w:rsid w:val="0004612A"/>
    <w:rsid w:val="00047DF1"/>
    <w:rsid w:val="000509DD"/>
    <w:rsid w:val="00050AF7"/>
    <w:rsid w:val="00051022"/>
    <w:rsid w:val="00051A5B"/>
    <w:rsid w:val="00052C6A"/>
    <w:rsid w:val="00053780"/>
    <w:rsid w:val="00053EE4"/>
    <w:rsid w:val="000559DE"/>
    <w:rsid w:val="00055CBC"/>
    <w:rsid w:val="000563EB"/>
    <w:rsid w:val="00056A4F"/>
    <w:rsid w:val="00057396"/>
    <w:rsid w:val="000606C6"/>
    <w:rsid w:val="00060D7F"/>
    <w:rsid w:val="00066F52"/>
    <w:rsid w:val="0006711A"/>
    <w:rsid w:val="00072447"/>
    <w:rsid w:val="00072DB9"/>
    <w:rsid w:val="000733AD"/>
    <w:rsid w:val="0007445A"/>
    <w:rsid w:val="00074C45"/>
    <w:rsid w:val="000752D6"/>
    <w:rsid w:val="00075932"/>
    <w:rsid w:val="0007638A"/>
    <w:rsid w:val="00076C37"/>
    <w:rsid w:val="000770D8"/>
    <w:rsid w:val="00080102"/>
    <w:rsid w:val="00081E35"/>
    <w:rsid w:val="00083D1A"/>
    <w:rsid w:val="000841C2"/>
    <w:rsid w:val="000842AE"/>
    <w:rsid w:val="00084CF9"/>
    <w:rsid w:val="00086094"/>
    <w:rsid w:val="00086BE0"/>
    <w:rsid w:val="0008743D"/>
    <w:rsid w:val="000900C9"/>
    <w:rsid w:val="0009101B"/>
    <w:rsid w:val="00091B3B"/>
    <w:rsid w:val="0009491E"/>
    <w:rsid w:val="00097293"/>
    <w:rsid w:val="000976B9"/>
    <w:rsid w:val="00097B42"/>
    <w:rsid w:val="000A019A"/>
    <w:rsid w:val="000A0285"/>
    <w:rsid w:val="000A0ECE"/>
    <w:rsid w:val="000A16EA"/>
    <w:rsid w:val="000A2779"/>
    <w:rsid w:val="000A29DE"/>
    <w:rsid w:val="000A2C3B"/>
    <w:rsid w:val="000A3ECF"/>
    <w:rsid w:val="000A4D59"/>
    <w:rsid w:val="000A5220"/>
    <w:rsid w:val="000A549A"/>
    <w:rsid w:val="000A664C"/>
    <w:rsid w:val="000B064D"/>
    <w:rsid w:val="000B0992"/>
    <w:rsid w:val="000B2005"/>
    <w:rsid w:val="000B3BFA"/>
    <w:rsid w:val="000B4C8F"/>
    <w:rsid w:val="000B510F"/>
    <w:rsid w:val="000B51A4"/>
    <w:rsid w:val="000B70C8"/>
    <w:rsid w:val="000B79A4"/>
    <w:rsid w:val="000C045B"/>
    <w:rsid w:val="000C11CC"/>
    <w:rsid w:val="000C12D3"/>
    <w:rsid w:val="000C12F1"/>
    <w:rsid w:val="000C1E4E"/>
    <w:rsid w:val="000C234E"/>
    <w:rsid w:val="000C3211"/>
    <w:rsid w:val="000C4910"/>
    <w:rsid w:val="000C502F"/>
    <w:rsid w:val="000C5651"/>
    <w:rsid w:val="000C6834"/>
    <w:rsid w:val="000D011A"/>
    <w:rsid w:val="000D02A4"/>
    <w:rsid w:val="000D1749"/>
    <w:rsid w:val="000D1D61"/>
    <w:rsid w:val="000D32BB"/>
    <w:rsid w:val="000D49D0"/>
    <w:rsid w:val="000D4F26"/>
    <w:rsid w:val="000D56F1"/>
    <w:rsid w:val="000D5D2B"/>
    <w:rsid w:val="000D684D"/>
    <w:rsid w:val="000D6EF9"/>
    <w:rsid w:val="000E087A"/>
    <w:rsid w:val="000E0B50"/>
    <w:rsid w:val="000E0C43"/>
    <w:rsid w:val="000E1975"/>
    <w:rsid w:val="000E2B4E"/>
    <w:rsid w:val="000E2FCE"/>
    <w:rsid w:val="000E3B1C"/>
    <w:rsid w:val="000E4810"/>
    <w:rsid w:val="000E4ABC"/>
    <w:rsid w:val="000E563F"/>
    <w:rsid w:val="000E59CE"/>
    <w:rsid w:val="000F02C1"/>
    <w:rsid w:val="000F02FD"/>
    <w:rsid w:val="000F0342"/>
    <w:rsid w:val="000F0636"/>
    <w:rsid w:val="000F0A03"/>
    <w:rsid w:val="000F426C"/>
    <w:rsid w:val="000F4318"/>
    <w:rsid w:val="000F617D"/>
    <w:rsid w:val="000F61F5"/>
    <w:rsid w:val="000F680C"/>
    <w:rsid w:val="000F70CA"/>
    <w:rsid w:val="00100269"/>
    <w:rsid w:val="001002CD"/>
    <w:rsid w:val="00100394"/>
    <w:rsid w:val="0010159F"/>
    <w:rsid w:val="00102262"/>
    <w:rsid w:val="0010268F"/>
    <w:rsid w:val="0010277A"/>
    <w:rsid w:val="00102D9A"/>
    <w:rsid w:val="00103662"/>
    <w:rsid w:val="0010371D"/>
    <w:rsid w:val="00105514"/>
    <w:rsid w:val="00105918"/>
    <w:rsid w:val="00105ACC"/>
    <w:rsid w:val="00105DB5"/>
    <w:rsid w:val="00106451"/>
    <w:rsid w:val="00106D78"/>
    <w:rsid w:val="00106F70"/>
    <w:rsid w:val="00107915"/>
    <w:rsid w:val="001102C6"/>
    <w:rsid w:val="001104C5"/>
    <w:rsid w:val="001106DD"/>
    <w:rsid w:val="00110C31"/>
    <w:rsid w:val="0011113B"/>
    <w:rsid w:val="001126B2"/>
    <w:rsid w:val="00112AA1"/>
    <w:rsid w:val="00112C5A"/>
    <w:rsid w:val="00112D3E"/>
    <w:rsid w:val="00112E70"/>
    <w:rsid w:val="0011443F"/>
    <w:rsid w:val="0011553C"/>
    <w:rsid w:val="00115D53"/>
    <w:rsid w:val="00115DDC"/>
    <w:rsid w:val="00116003"/>
    <w:rsid w:val="00116F4B"/>
    <w:rsid w:val="001177C9"/>
    <w:rsid w:val="00117860"/>
    <w:rsid w:val="00120FB7"/>
    <w:rsid w:val="001226BC"/>
    <w:rsid w:val="00122810"/>
    <w:rsid w:val="00122CC4"/>
    <w:rsid w:val="0012351B"/>
    <w:rsid w:val="00123FF9"/>
    <w:rsid w:val="00124EF9"/>
    <w:rsid w:val="001253CC"/>
    <w:rsid w:val="001259D2"/>
    <w:rsid w:val="00126A7F"/>
    <w:rsid w:val="00130063"/>
    <w:rsid w:val="00130359"/>
    <w:rsid w:val="001306A2"/>
    <w:rsid w:val="00131D36"/>
    <w:rsid w:val="00131E94"/>
    <w:rsid w:val="00132EE9"/>
    <w:rsid w:val="0013407D"/>
    <w:rsid w:val="001348D9"/>
    <w:rsid w:val="00134A41"/>
    <w:rsid w:val="001361CA"/>
    <w:rsid w:val="00136519"/>
    <w:rsid w:val="0013679D"/>
    <w:rsid w:val="00136825"/>
    <w:rsid w:val="00136D3A"/>
    <w:rsid w:val="00136EC9"/>
    <w:rsid w:val="00136FC5"/>
    <w:rsid w:val="00137050"/>
    <w:rsid w:val="0013716D"/>
    <w:rsid w:val="00137560"/>
    <w:rsid w:val="00140E10"/>
    <w:rsid w:val="001438F4"/>
    <w:rsid w:val="00143BF5"/>
    <w:rsid w:val="00143DCC"/>
    <w:rsid w:val="00144794"/>
    <w:rsid w:val="00144D53"/>
    <w:rsid w:val="00145506"/>
    <w:rsid w:val="001457AA"/>
    <w:rsid w:val="00145E7A"/>
    <w:rsid w:val="00146F46"/>
    <w:rsid w:val="0015125A"/>
    <w:rsid w:val="00151A74"/>
    <w:rsid w:val="001526EE"/>
    <w:rsid w:val="0015295E"/>
    <w:rsid w:val="00152A73"/>
    <w:rsid w:val="001534F6"/>
    <w:rsid w:val="00154B70"/>
    <w:rsid w:val="00154EE2"/>
    <w:rsid w:val="001553F8"/>
    <w:rsid w:val="00155A3F"/>
    <w:rsid w:val="00157080"/>
    <w:rsid w:val="001570E1"/>
    <w:rsid w:val="00157C6A"/>
    <w:rsid w:val="001605B3"/>
    <w:rsid w:val="001622C2"/>
    <w:rsid w:val="00162D23"/>
    <w:rsid w:val="001633ED"/>
    <w:rsid w:val="00163F5F"/>
    <w:rsid w:val="00165DDC"/>
    <w:rsid w:val="0016769F"/>
    <w:rsid w:val="00170298"/>
    <w:rsid w:val="001715A2"/>
    <w:rsid w:val="0017388B"/>
    <w:rsid w:val="00173D31"/>
    <w:rsid w:val="0017441E"/>
    <w:rsid w:val="00175839"/>
    <w:rsid w:val="00175A85"/>
    <w:rsid w:val="00175E6C"/>
    <w:rsid w:val="00175FBC"/>
    <w:rsid w:val="00176669"/>
    <w:rsid w:val="001766FF"/>
    <w:rsid w:val="00176C20"/>
    <w:rsid w:val="00177598"/>
    <w:rsid w:val="00180856"/>
    <w:rsid w:val="0018097B"/>
    <w:rsid w:val="00180A13"/>
    <w:rsid w:val="00182C97"/>
    <w:rsid w:val="00183066"/>
    <w:rsid w:val="001833C7"/>
    <w:rsid w:val="00183FB4"/>
    <w:rsid w:val="00184412"/>
    <w:rsid w:val="00186A72"/>
    <w:rsid w:val="001903B2"/>
    <w:rsid w:val="001906F3"/>
    <w:rsid w:val="00192933"/>
    <w:rsid w:val="001929FC"/>
    <w:rsid w:val="00195C6D"/>
    <w:rsid w:val="001961C5"/>
    <w:rsid w:val="00196F95"/>
    <w:rsid w:val="00197315"/>
    <w:rsid w:val="0019772B"/>
    <w:rsid w:val="001A05A9"/>
    <w:rsid w:val="001A2614"/>
    <w:rsid w:val="001A2623"/>
    <w:rsid w:val="001A463E"/>
    <w:rsid w:val="001A46CC"/>
    <w:rsid w:val="001A6304"/>
    <w:rsid w:val="001B1060"/>
    <w:rsid w:val="001B11F1"/>
    <w:rsid w:val="001B1467"/>
    <w:rsid w:val="001B1C5E"/>
    <w:rsid w:val="001B2B23"/>
    <w:rsid w:val="001B3197"/>
    <w:rsid w:val="001B39D3"/>
    <w:rsid w:val="001B59D9"/>
    <w:rsid w:val="001B5F14"/>
    <w:rsid w:val="001B6935"/>
    <w:rsid w:val="001B7154"/>
    <w:rsid w:val="001C091C"/>
    <w:rsid w:val="001C121C"/>
    <w:rsid w:val="001C150C"/>
    <w:rsid w:val="001C1FAA"/>
    <w:rsid w:val="001C2261"/>
    <w:rsid w:val="001C266E"/>
    <w:rsid w:val="001C280D"/>
    <w:rsid w:val="001C306A"/>
    <w:rsid w:val="001C49DC"/>
    <w:rsid w:val="001C6945"/>
    <w:rsid w:val="001C698F"/>
    <w:rsid w:val="001C7200"/>
    <w:rsid w:val="001C7CD3"/>
    <w:rsid w:val="001C7F88"/>
    <w:rsid w:val="001D12D6"/>
    <w:rsid w:val="001D169B"/>
    <w:rsid w:val="001D1B1C"/>
    <w:rsid w:val="001D2B76"/>
    <w:rsid w:val="001D2C14"/>
    <w:rsid w:val="001D2ECE"/>
    <w:rsid w:val="001D3292"/>
    <w:rsid w:val="001D39E5"/>
    <w:rsid w:val="001D3C90"/>
    <w:rsid w:val="001D43DB"/>
    <w:rsid w:val="001D474C"/>
    <w:rsid w:val="001D5BB9"/>
    <w:rsid w:val="001D6B1A"/>
    <w:rsid w:val="001D7365"/>
    <w:rsid w:val="001D7DA5"/>
    <w:rsid w:val="001E15FD"/>
    <w:rsid w:val="001E1AED"/>
    <w:rsid w:val="001E27B8"/>
    <w:rsid w:val="001E31AB"/>
    <w:rsid w:val="001E3706"/>
    <w:rsid w:val="001E4032"/>
    <w:rsid w:val="001E432A"/>
    <w:rsid w:val="001E4370"/>
    <w:rsid w:val="001E4D27"/>
    <w:rsid w:val="001E5169"/>
    <w:rsid w:val="001E5571"/>
    <w:rsid w:val="001E60C5"/>
    <w:rsid w:val="001E6F5D"/>
    <w:rsid w:val="001E71FE"/>
    <w:rsid w:val="001F0819"/>
    <w:rsid w:val="001F1677"/>
    <w:rsid w:val="001F1771"/>
    <w:rsid w:val="001F1C52"/>
    <w:rsid w:val="001F2A1F"/>
    <w:rsid w:val="001F3DF4"/>
    <w:rsid w:val="001F49EA"/>
    <w:rsid w:val="001F5CF7"/>
    <w:rsid w:val="001F64C3"/>
    <w:rsid w:val="001F6A78"/>
    <w:rsid w:val="001F72D8"/>
    <w:rsid w:val="001F7B28"/>
    <w:rsid w:val="002010C8"/>
    <w:rsid w:val="0020111C"/>
    <w:rsid w:val="0020121A"/>
    <w:rsid w:val="00201DDA"/>
    <w:rsid w:val="002027D4"/>
    <w:rsid w:val="0020296D"/>
    <w:rsid w:val="00203021"/>
    <w:rsid w:val="00203302"/>
    <w:rsid w:val="00203A7B"/>
    <w:rsid w:val="002045A5"/>
    <w:rsid w:val="00204F09"/>
    <w:rsid w:val="0020667A"/>
    <w:rsid w:val="00206F7E"/>
    <w:rsid w:val="00207AE7"/>
    <w:rsid w:val="00207CB1"/>
    <w:rsid w:val="002105A2"/>
    <w:rsid w:val="00210A9C"/>
    <w:rsid w:val="00211E6F"/>
    <w:rsid w:val="002128AF"/>
    <w:rsid w:val="002137B0"/>
    <w:rsid w:val="002138C0"/>
    <w:rsid w:val="002150BF"/>
    <w:rsid w:val="00215481"/>
    <w:rsid w:val="00216187"/>
    <w:rsid w:val="00216A54"/>
    <w:rsid w:val="00217881"/>
    <w:rsid w:val="0022075B"/>
    <w:rsid w:val="00221F77"/>
    <w:rsid w:val="00221FF5"/>
    <w:rsid w:val="002226C1"/>
    <w:rsid w:val="00222917"/>
    <w:rsid w:val="00222DB9"/>
    <w:rsid w:val="002244BA"/>
    <w:rsid w:val="00224E2B"/>
    <w:rsid w:val="0022581B"/>
    <w:rsid w:val="00225F51"/>
    <w:rsid w:val="0022648E"/>
    <w:rsid w:val="00226AB8"/>
    <w:rsid w:val="00226F32"/>
    <w:rsid w:val="00227ACD"/>
    <w:rsid w:val="00227C82"/>
    <w:rsid w:val="0023165F"/>
    <w:rsid w:val="00231F3A"/>
    <w:rsid w:val="002328F4"/>
    <w:rsid w:val="0023390F"/>
    <w:rsid w:val="0023393E"/>
    <w:rsid w:val="0023493E"/>
    <w:rsid w:val="00235942"/>
    <w:rsid w:val="00236538"/>
    <w:rsid w:val="0023703D"/>
    <w:rsid w:val="002375B2"/>
    <w:rsid w:val="00237A71"/>
    <w:rsid w:val="00237E0B"/>
    <w:rsid w:val="00242D73"/>
    <w:rsid w:val="002443DF"/>
    <w:rsid w:val="002446E1"/>
    <w:rsid w:val="00244923"/>
    <w:rsid w:val="002472A6"/>
    <w:rsid w:val="00247512"/>
    <w:rsid w:val="00247A4D"/>
    <w:rsid w:val="00250212"/>
    <w:rsid w:val="002507F2"/>
    <w:rsid w:val="00250C73"/>
    <w:rsid w:val="00251163"/>
    <w:rsid w:val="00251393"/>
    <w:rsid w:val="0025241A"/>
    <w:rsid w:val="0025305E"/>
    <w:rsid w:val="00253D09"/>
    <w:rsid w:val="00254CA2"/>
    <w:rsid w:val="002556C2"/>
    <w:rsid w:val="00256268"/>
    <w:rsid w:val="002567A3"/>
    <w:rsid w:val="00260219"/>
    <w:rsid w:val="00260B2C"/>
    <w:rsid w:val="0026106F"/>
    <w:rsid w:val="00262B7F"/>
    <w:rsid w:val="00263207"/>
    <w:rsid w:val="00264741"/>
    <w:rsid w:val="00264C92"/>
    <w:rsid w:val="0026639E"/>
    <w:rsid w:val="00266980"/>
    <w:rsid w:val="00267ACA"/>
    <w:rsid w:val="00270A4E"/>
    <w:rsid w:val="00270F52"/>
    <w:rsid w:val="00271563"/>
    <w:rsid w:val="00271569"/>
    <w:rsid w:val="00272177"/>
    <w:rsid w:val="002748F6"/>
    <w:rsid w:val="00274D15"/>
    <w:rsid w:val="00275209"/>
    <w:rsid w:val="00277D90"/>
    <w:rsid w:val="0028055F"/>
    <w:rsid w:val="002808DB"/>
    <w:rsid w:val="00280AB4"/>
    <w:rsid w:val="00280D31"/>
    <w:rsid w:val="00280F92"/>
    <w:rsid w:val="002817B5"/>
    <w:rsid w:val="00282BE6"/>
    <w:rsid w:val="00283681"/>
    <w:rsid w:val="00284721"/>
    <w:rsid w:val="0028530F"/>
    <w:rsid w:val="002853A9"/>
    <w:rsid w:val="00285A75"/>
    <w:rsid w:val="00287580"/>
    <w:rsid w:val="00290498"/>
    <w:rsid w:val="0029071C"/>
    <w:rsid w:val="00291656"/>
    <w:rsid w:val="00291BE8"/>
    <w:rsid w:val="00293122"/>
    <w:rsid w:val="0029502E"/>
    <w:rsid w:val="00296021"/>
    <w:rsid w:val="0029774E"/>
    <w:rsid w:val="00297B85"/>
    <w:rsid w:val="002A02A1"/>
    <w:rsid w:val="002A04EB"/>
    <w:rsid w:val="002A07F7"/>
    <w:rsid w:val="002A1748"/>
    <w:rsid w:val="002A23FA"/>
    <w:rsid w:val="002A266C"/>
    <w:rsid w:val="002A2CE3"/>
    <w:rsid w:val="002A31A1"/>
    <w:rsid w:val="002A3CF3"/>
    <w:rsid w:val="002A3F7E"/>
    <w:rsid w:val="002A4191"/>
    <w:rsid w:val="002A5D11"/>
    <w:rsid w:val="002A6290"/>
    <w:rsid w:val="002A6A60"/>
    <w:rsid w:val="002B1743"/>
    <w:rsid w:val="002B1996"/>
    <w:rsid w:val="002B35B7"/>
    <w:rsid w:val="002B3AB2"/>
    <w:rsid w:val="002B4617"/>
    <w:rsid w:val="002B4641"/>
    <w:rsid w:val="002B5069"/>
    <w:rsid w:val="002B58A5"/>
    <w:rsid w:val="002B724C"/>
    <w:rsid w:val="002C02A9"/>
    <w:rsid w:val="002C0719"/>
    <w:rsid w:val="002C179D"/>
    <w:rsid w:val="002C18CD"/>
    <w:rsid w:val="002C2C2B"/>
    <w:rsid w:val="002C30D4"/>
    <w:rsid w:val="002C47FE"/>
    <w:rsid w:val="002C513E"/>
    <w:rsid w:val="002D1376"/>
    <w:rsid w:val="002D238E"/>
    <w:rsid w:val="002D2A30"/>
    <w:rsid w:val="002D2DC7"/>
    <w:rsid w:val="002D3F94"/>
    <w:rsid w:val="002D4720"/>
    <w:rsid w:val="002D49FB"/>
    <w:rsid w:val="002D4A25"/>
    <w:rsid w:val="002D4DF8"/>
    <w:rsid w:val="002D6038"/>
    <w:rsid w:val="002E0041"/>
    <w:rsid w:val="002E1390"/>
    <w:rsid w:val="002E1AEB"/>
    <w:rsid w:val="002E1DBF"/>
    <w:rsid w:val="002E2498"/>
    <w:rsid w:val="002E3105"/>
    <w:rsid w:val="002E320D"/>
    <w:rsid w:val="002E3E1D"/>
    <w:rsid w:val="002E4CA1"/>
    <w:rsid w:val="002E4EFD"/>
    <w:rsid w:val="002E5E57"/>
    <w:rsid w:val="002E6192"/>
    <w:rsid w:val="002E6312"/>
    <w:rsid w:val="002E6C7C"/>
    <w:rsid w:val="002F0118"/>
    <w:rsid w:val="002F0F08"/>
    <w:rsid w:val="002F1752"/>
    <w:rsid w:val="002F1AFD"/>
    <w:rsid w:val="002F20C7"/>
    <w:rsid w:val="002F2F90"/>
    <w:rsid w:val="002F2FAA"/>
    <w:rsid w:val="002F4373"/>
    <w:rsid w:val="002F477C"/>
    <w:rsid w:val="002F4A74"/>
    <w:rsid w:val="002F4CBD"/>
    <w:rsid w:val="002F4CDA"/>
    <w:rsid w:val="002F506A"/>
    <w:rsid w:val="002F52DA"/>
    <w:rsid w:val="002F557F"/>
    <w:rsid w:val="002F6432"/>
    <w:rsid w:val="003012B9"/>
    <w:rsid w:val="0030161E"/>
    <w:rsid w:val="00301915"/>
    <w:rsid w:val="003028DC"/>
    <w:rsid w:val="003029D1"/>
    <w:rsid w:val="0030348A"/>
    <w:rsid w:val="003045DD"/>
    <w:rsid w:val="00304727"/>
    <w:rsid w:val="0030613B"/>
    <w:rsid w:val="00306844"/>
    <w:rsid w:val="003077DD"/>
    <w:rsid w:val="003111F3"/>
    <w:rsid w:val="003131EC"/>
    <w:rsid w:val="003134AE"/>
    <w:rsid w:val="003142AD"/>
    <w:rsid w:val="003143A4"/>
    <w:rsid w:val="00314AB6"/>
    <w:rsid w:val="00314CF6"/>
    <w:rsid w:val="00315F32"/>
    <w:rsid w:val="00316BAA"/>
    <w:rsid w:val="00317242"/>
    <w:rsid w:val="00320811"/>
    <w:rsid w:val="00322BF9"/>
    <w:rsid w:val="00324743"/>
    <w:rsid w:val="00324769"/>
    <w:rsid w:val="00324B27"/>
    <w:rsid w:val="003253AF"/>
    <w:rsid w:val="00327407"/>
    <w:rsid w:val="00327CB6"/>
    <w:rsid w:val="00330A92"/>
    <w:rsid w:val="0033298A"/>
    <w:rsid w:val="00333B31"/>
    <w:rsid w:val="00334257"/>
    <w:rsid w:val="0033440C"/>
    <w:rsid w:val="00335341"/>
    <w:rsid w:val="00335B88"/>
    <w:rsid w:val="00336412"/>
    <w:rsid w:val="00336CA6"/>
    <w:rsid w:val="00337157"/>
    <w:rsid w:val="003373BE"/>
    <w:rsid w:val="00340F22"/>
    <w:rsid w:val="003411DB"/>
    <w:rsid w:val="003417B4"/>
    <w:rsid w:val="00341D86"/>
    <w:rsid w:val="003423A7"/>
    <w:rsid w:val="003426EE"/>
    <w:rsid w:val="0034310E"/>
    <w:rsid w:val="00344213"/>
    <w:rsid w:val="003444F4"/>
    <w:rsid w:val="00344B88"/>
    <w:rsid w:val="00344EBB"/>
    <w:rsid w:val="00345842"/>
    <w:rsid w:val="0034612F"/>
    <w:rsid w:val="00346684"/>
    <w:rsid w:val="003472AF"/>
    <w:rsid w:val="00347FD9"/>
    <w:rsid w:val="003508FE"/>
    <w:rsid w:val="00351369"/>
    <w:rsid w:val="0035167B"/>
    <w:rsid w:val="003522BD"/>
    <w:rsid w:val="00352D4E"/>
    <w:rsid w:val="003543D2"/>
    <w:rsid w:val="0035493D"/>
    <w:rsid w:val="00356528"/>
    <w:rsid w:val="00356C7A"/>
    <w:rsid w:val="00356FF7"/>
    <w:rsid w:val="0035718C"/>
    <w:rsid w:val="003600A2"/>
    <w:rsid w:val="003608A1"/>
    <w:rsid w:val="003608FD"/>
    <w:rsid w:val="0036420C"/>
    <w:rsid w:val="00364A11"/>
    <w:rsid w:val="00366057"/>
    <w:rsid w:val="00366A68"/>
    <w:rsid w:val="003677E2"/>
    <w:rsid w:val="0037051F"/>
    <w:rsid w:val="003707E0"/>
    <w:rsid w:val="00370F35"/>
    <w:rsid w:val="003725F0"/>
    <w:rsid w:val="003732C7"/>
    <w:rsid w:val="0037346E"/>
    <w:rsid w:val="003739F0"/>
    <w:rsid w:val="00373FC2"/>
    <w:rsid w:val="003742A8"/>
    <w:rsid w:val="003749A5"/>
    <w:rsid w:val="00375CF8"/>
    <w:rsid w:val="00376918"/>
    <w:rsid w:val="00376F07"/>
    <w:rsid w:val="003775A3"/>
    <w:rsid w:val="00380502"/>
    <w:rsid w:val="00380788"/>
    <w:rsid w:val="003809CD"/>
    <w:rsid w:val="00381524"/>
    <w:rsid w:val="00381FAF"/>
    <w:rsid w:val="00383D10"/>
    <w:rsid w:val="00384170"/>
    <w:rsid w:val="003847A3"/>
    <w:rsid w:val="00385683"/>
    <w:rsid w:val="00386E7F"/>
    <w:rsid w:val="00387749"/>
    <w:rsid w:val="00387CB8"/>
    <w:rsid w:val="0039010C"/>
    <w:rsid w:val="00390C7F"/>
    <w:rsid w:val="00390E5C"/>
    <w:rsid w:val="00391AED"/>
    <w:rsid w:val="00391C4B"/>
    <w:rsid w:val="00391FA6"/>
    <w:rsid w:val="00393046"/>
    <w:rsid w:val="00394F6F"/>
    <w:rsid w:val="003952ED"/>
    <w:rsid w:val="00395549"/>
    <w:rsid w:val="00395F29"/>
    <w:rsid w:val="00396610"/>
    <w:rsid w:val="00396DEC"/>
    <w:rsid w:val="00396F9D"/>
    <w:rsid w:val="00397430"/>
    <w:rsid w:val="003A0443"/>
    <w:rsid w:val="003A0F5E"/>
    <w:rsid w:val="003A1E08"/>
    <w:rsid w:val="003A1F79"/>
    <w:rsid w:val="003A39B8"/>
    <w:rsid w:val="003A424B"/>
    <w:rsid w:val="003A46D3"/>
    <w:rsid w:val="003A542D"/>
    <w:rsid w:val="003A5636"/>
    <w:rsid w:val="003A5765"/>
    <w:rsid w:val="003A623D"/>
    <w:rsid w:val="003A68A3"/>
    <w:rsid w:val="003A76ED"/>
    <w:rsid w:val="003B0281"/>
    <w:rsid w:val="003B0433"/>
    <w:rsid w:val="003B04C1"/>
    <w:rsid w:val="003B2C84"/>
    <w:rsid w:val="003B4E23"/>
    <w:rsid w:val="003B4F01"/>
    <w:rsid w:val="003B505C"/>
    <w:rsid w:val="003B519E"/>
    <w:rsid w:val="003B5E6F"/>
    <w:rsid w:val="003C0B1B"/>
    <w:rsid w:val="003C1195"/>
    <w:rsid w:val="003C12B6"/>
    <w:rsid w:val="003C185F"/>
    <w:rsid w:val="003C2D27"/>
    <w:rsid w:val="003C373E"/>
    <w:rsid w:val="003C3D7F"/>
    <w:rsid w:val="003C41DD"/>
    <w:rsid w:val="003C5F2E"/>
    <w:rsid w:val="003C6326"/>
    <w:rsid w:val="003C6710"/>
    <w:rsid w:val="003C6D87"/>
    <w:rsid w:val="003C7600"/>
    <w:rsid w:val="003D079C"/>
    <w:rsid w:val="003D0D7D"/>
    <w:rsid w:val="003D164F"/>
    <w:rsid w:val="003D18F0"/>
    <w:rsid w:val="003D224C"/>
    <w:rsid w:val="003D2390"/>
    <w:rsid w:val="003D3759"/>
    <w:rsid w:val="003D45D4"/>
    <w:rsid w:val="003D57E2"/>
    <w:rsid w:val="003D613B"/>
    <w:rsid w:val="003D684B"/>
    <w:rsid w:val="003D749F"/>
    <w:rsid w:val="003D7D9E"/>
    <w:rsid w:val="003E0FC6"/>
    <w:rsid w:val="003E14DF"/>
    <w:rsid w:val="003E1F42"/>
    <w:rsid w:val="003E3584"/>
    <w:rsid w:val="003E382B"/>
    <w:rsid w:val="003E393C"/>
    <w:rsid w:val="003E3ACA"/>
    <w:rsid w:val="003E3DCB"/>
    <w:rsid w:val="003E4312"/>
    <w:rsid w:val="003E4820"/>
    <w:rsid w:val="003E48FA"/>
    <w:rsid w:val="003E4ADE"/>
    <w:rsid w:val="003E5891"/>
    <w:rsid w:val="003E7ED0"/>
    <w:rsid w:val="003F004F"/>
    <w:rsid w:val="003F021E"/>
    <w:rsid w:val="003F03DF"/>
    <w:rsid w:val="003F1189"/>
    <w:rsid w:val="003F12BC"/>
    <w:rsid w:val="003F12D5"/>
    <w:rsid w:val="003F159E"/>
    <w:rsid w:val="003F1CB9"/>
    <w:rsid w:val="003F2050"/>
    <w:rsid w:val="003F37CA"/>
    <w:rsid w:val="003F470D"/>
    <w:rsid w:val="003F512D"/>
    <w:rsid w:val="003F6A8D"/>
    <w:rsid w:val="003F6E69"/>
    <w:rsid w:val="003F7F31"/>
    <w:rsid w:val="004009B6"/>
    <w:rsid w:val="00400E23"/>
    <w:rsid w:val="004015AF"/>
    <w:rsid w:val="00401CD3"/>
    <w:rsid w:val="00401F79"/>
    <w:rsid w:val="00402778"/>
    <w:rsid w:val="00402D75"/>
    <w:rsid w:val="00402FA1"/>
    <w:rsid w:val="00403744"/>
    <w:rsid w:val="0040474A"/>
    <w:rsid w:val="00404E84"/>
    <w:rsid w:val="00405D7E"/>
    <w:rsid w:val="00406F40"/>
    <w:rsid w:val="00407FB6"/>
    <w:rsid w:val="00410561"/>
    <w:rsid w:val="004120D6"/>
    <w:rsid w:val="00412186"/>
    <w:rsid w:val="00412763"/>
    <w:rsid w:val="00412A2D"/>
    <w:rsid w:val="00413258"/>
    <w:rsid w:val="0041355F"/>
    <w:rsid w:val="00414181"/>
    <w:rsid w:val="0041427D"/>
    <w:rsid w:val="00414AD4"/>
    <w:rsid w:val="0041521E"/>
    <w:rsid w:val="004164DD"/>
    <w:rsid w:val="00416763"/>
    <w:rsid w:val="0041745A"/>
    <w:rsid w:val="004179B3"/>
    <w:rsid w:val="004207D5"/>
    <w:rsid w:val="00422B81"/>
    <w:rsid w:val="00422E44"/>
    <w:rsid w:val="004231FB"/>
    <w:rsid w:val="00423374"/>
    <w:rsid w:val="00423E0D"/>
    <w:rsid w:val="004257BB"/>
    <w:rsid w:val="00425A84"/>
    <w:rsid w:val="00425B3B"/>
    <w:rsid w:val="0042602B"/>
    <w:rsid w:val="004279BD"/>
    <w:rsid w:val="00430F3C"/>
    <w:rsid w:val="004325D3"/>
    <w:rsid w:val="00435176"/>
    <w:rsid w:val="00436F5C"/>
    <w:rsid w:val="004371EE"/>
    <w:rsid w:val="00437589"/>
    <w:rsid w:val="0043780A"/>
    <w:rsid w:val="00440A53"/>
    <w:rsid w:val="00442170"/>
    <w:rsid w:val="0044352D"/>
    <w:rsid w:val="004444EE"/>
    <w:rsid w:val="004445E7"/>
    <w:rsid w:val="00444BDA"/>
    <w:rsid w:val="00445609"/>
    <w:rsid w:val="004464CF"/>
    <w:rsid w:val="00446AAD"/>
    <w:rsid w:val="004476C2"/>
    <w:rsid w:val="00451368"/>
    <w:rsid w:val="004522D4"/>
    <w:rsid w:val="00452B0E"/>
    <w:rsid w:val="00453473"/>
    <w:rsid w:val="004555E6"/>
    <w:rsid w:val="00456A9B"/>
    <w:rsid w:val="00460772"/>
    <w:rsid w:val="00461E79"/>
    <w:rsid w:val="00462717"/>
    <w:rsid w:val="004641CC"/>
    <w:rsid w:val="00464E64"/>
    <w:rsid w:val="00465403"/>
    <w:rsid w:val="00465526"/>
    <w:rsid w:val="0046651A"/>
    <w:rsid w:val="004674AA"/>
    <w:rsid w:val="004714FB"/>
    <w:rsid w:val="004718BD"/>
    <w:rsid w:val="00471B86"/>
    <w:rsid w:val="00471D6F"/>
    <w:rsid w:val="00472210"/>
    <w:rsid w:val="00473C52"/>
    <w:rsid w:val="00474524"/>
    <w:rsid w:val="00475D5E"/>
    <w:rsid w:val="00475F13"/>
    <w:rsid w:val="0047661B"/>
    <w:rsid w:val="00476A2A"/>
    <w:rsid w:val="00477094"/>
    <w:rsid w:val="0047757F"/>
    <w:rsid w:val="00477AF5"/>
    <w:rsid w:val="00477CEB"/>
    <w:rsid w:val="00483136"/>
    <w:rsid w:val="0048354D"/>
    <w:rsid w:val="00483FA6"/>
    <w:rsid w:val="0048489E"/>
    <w:rsid w:val="004852E3"/>
    <w:rsid w:val="00485ADC"/>
    <w:rsid w:val="00486858"/>
    <w:rsid w:val="004904F6"/>
    <w:rsid w:val="00490505"/>
    <w:rsid w:val="004908DB"/>
    <w:rsid w:val="00490E1A"/>
    <w:rsid w:val="00491DB6"/>
    <w:rsid w:val="00492636"/>
    <w:rsid w:val="004935C1"/>
    <w:rsid w:val="00493A20"/>
    <w:rsid w:val="00493C14"/>
    <w:rsid w:val="00495C6A"/>
    <w:rsid w:val="004969D8"/>
    <w:rsid w:val="00496A0D"/>
    <w:rsid w:val="0049704E"/>
    <w:rsid w:val="004975FD"/>
    <w:rsid w:val="004979BF"/>
    <w:rsid w:val="004A1724"/>
    <w:rsid w:val="004A2349"/>
    <w:rsid w:val="004A31A7"/>
    <w:rsid w:val="004A435C"/>
    <w:rsid w:val="004A44DB"/>
    <w:rsid w:val="004A4D8B"/>
    <w:rsid w:val="004A4E6A"/>
    <w:rsid w:val="004A53BB"/>
    <w:rsid w:val="004A5819"/>
    <w:rsid w:val="004A5C0E"/>
    <w:rsid w:val="004A5D84"/>
    <w:rsid w:val="004A6CE0"/>
    <w:rsid w:val="004A724B"/>
    <w:rsid w:val="004A74F4"/>
    <w:rsid w:val="004B1175"/>
    <w:rsid w:val="004B1442"/>
    <w:rsid w:val="004B1766"/>
    <w:rsid w:val="004B19DD"/>
    <w:rsid w:val="004B3889"/>
    <w:rsid w:val="004B3E0D"/>
    <w:rsid w:val="004B3F04"/>
    <w:rsid w:val="004B441B"/>
    <w:rsid w:val="004B4571"/>
    <w:rsid w:val="004B51F9"/>
    <w:rsid w:val="004B564F"/>
    <w:rsid w:val="004B6A7C"/>
    <w:rsid w:val="004B7ECE"/>
    <w:rsid w:val="004C04EA"/>
    <w:rsid w:val="004C0763"/>
    <w:rsid w:val="004C0A56"/>
    <w:rsid w:val="004C0AC1"/>
    <w:rsid w:val="004C10E7"/>
    <w:rsid w:val="004C23FB"/>
    <w:rsid w:val="004C3997"/>
    <w:rsid w:val="004C423D"/>
    <w:rsid w:val="004C4C1F"/>
    <w:rsid w:val="004C50BF"/>
    <w:rsid w:val="004C53CB"/>
    <w:rsid w:val="004C593C"/>
    <w:rsid w:val="004C629B"/>
    <w:rsid w:val="004C693B"/>
    <w:rsid w:val="004C751A"/>
    <w:rsid w:val="004C7E8B"/>
    <w:rsid w:val="004D0B15"/>
    <w:rsid w:val="004D0EBA"/>
    <w:rsid w:val="004D114D"/>
    <w:rsid w:val="004D14D3"/>
    <w:rsid w:val="004D18AC"/>
    <w:rsid w:val="004D23AD"/>
    <w:rsid w:val="004D3E58"/>
    <w:rsid w:val="004D4156"/>
    <w:rsid w:val="004D4333"/>
    <w:rsid w:val="004D6531"/>
    <w:rsid w:val="004E011D"/>
    <w:rsid w:val="004E0D15"/>
    <w:rsid w:val="004E1AC6"/>
    <w:rsid w:val="004E2434"/>
    <w:rsid w:val="004E26E2"/>
    <w:rsid w:val="004E3070"/>
    <w:rsid w:val="004E32FB"/>
    <w:rsid w:val="004E4B5B"/>
    <w:rsid w:val="004E5779"/>
    <w:rsid w:val="004E5E51"/>
    <w:rsid w:val="004E668A"/>
    <w:rsid w:val="004E7E07"/>
    <w:rsid w:val="004F32E1"/>
    <w:rsid w:val="004F34F2"/>
    <w:rsid w:val="004F3D9B"/>
    <w:rsid w:val="004F4632"/>
    <w:rsid w:val="004F46CE"/>
    <w:rsid w:val="004F46D6"/>
    <w:rsid w:val="004F5C1C"/>
    <w:rsid w:val="004F62FF"/>
    <w:rsid w:val="004F69E2"/>
    <w:rsid w:val="004F6CFB"/>
    <w:rsid w:val="004F6EA8"/>
    <w:rsid w:val="004F70A7"/>
    <w:rsid w:val="005019FE"/>
    <w:rsid w:val="00502C28"/>
    <w:rsid w:val="00503D06"/>
    <w:rsid w:val="00504229"/>
    <w:rsid w:val="00504370"/>
    <w:rsid w:val="00505434"/>
    <w:rsid w:val="005063FD"/>
    <w:rsid w:val="005069C2"/>
    <w:rsid w:val="00507747"/>
    <w:rsid w:val="00510452"/>
    <w:rsid w:val="00510AD7"/>
    <w:rsid w:val="00510EB1"/>
    <w:rsid w:val="0051164C"/>
    <w:rsid w:val="00512176"/>
    <w:rsid w:val="005122E9"/>
    <w:rsid w:val="005137DB"/>
    <w:rsid w:val="005142AC"/>
    <w:rsid w:val="0051437A"/>
    <w:rsid w:val="0051449F"/>
    <w:rsid w:val="0051508B"/>
    <w:rsid w:val="0051570C"/>
    <w:rsid w:val="00515A05"/>
    <w:rsid w:val="00515ECA"/>
    <w:rsid w:val="00516007"/>
    <w:rsid w:val="00517111"/>
    <w:rsid w:val="005203B7"/>
    <w:rsid w:val="005208BD"/>
    <w:rsid w:val="0052161C"/>
    <w:rsid w:val="00521FF6"/>
    <w:rsid w:val="0052347F"/>
    <w:rsid w:val="00527260"/>
    <w:rsid w:val="00527681"/>
    <w:rsid w:val="0052771A"/>
    <w:rsid w:val="00527FC5"/>
    <w:rsid w:val="00530245"/>
    <w:rsid w:val="00530967"/>
    <w:rsid w:val="00530DE6"/>
    <w:rsid w:val="00531FAE"/>
    <w:rsid w:val="005343BA"/>
    <w:rsid w:val="0053589B"/>
    <w:rsid w:val="00535CDB"/>
    <w:rsid w:val="00535E49"/>
    <w:rsid w:val="0053659F"/>
    <w:rsid w:val="00537D18"/>
    <w:rsid w:val="00537D95"/>
    <w:rsid w:val="005417AF"/>
    <w:rsid w:val="00543780"/>
    <w:rsid w:val="005442D1"/>
    <w:rsid w:val="005450EB"/>
    <w:rsid w:val="0054574A"/>
    <w:rsid w:val="00545AC2"/>
    <w:rsid w:val="00546646"/>
    <w:rsid w:val="0054665C"/>
    <w:rsid w:val="00547A43"/>
    <w:rsid w:val="00550C47"/>
    <w:rsid w:val="00552694"/>
    <w:rsid w:val="00552D45"/>
    <w:rsid w:val="0055337B"/>
    <w:rsid w:val="0055377C"/>
    <w:rsid w:val="00553860"/>
    <w:rsid w:val="005541F4"/>
    <w:rsid w:val="00554717"/>
    <w:rsid w:val="00555261"/>
    <w:rsid w:val="00556DE6"/>
    <w:rsid w:val="005574AF"/>
    <w:rsid w:val="0055785D"/>
    <w:rsid w:val="005578C6"/>
    <w:rsid w:val="00557A53"/>
    <w:rsid w:val="0056090E"/>
    <w:rsid w:val="005613B3"/>
    <w:rsid w:val="00561ED7"/>
    <w:rsid w:val="00562166"/>
    <w:rsid w:val="00562995"/>
    <w:rsid w:val="00563855"/>
    <w:rsid w:val="005642DD"/>
    <w:rsid w:val="00564453"/>
    <w:rsid w:val="00566025"/>
    <w:rsid w:val="0056611F"/>
    <w:rsid w:val="005666D7"/>
    <w:rsid w:val="005676A0"/>
    <w:rsid w:val="00567ADA"/>
    <w:rsid w:val="005718D7"/>
    <w:rsid w:val="00571AFD"/>
    <w:rsid w:val="00571BEE"/>
    <w:rsid w:val="00571C08"/>
    <w:rsid w:val="00571C69"/>
    <w:rsid w:val="00572232"/>
    <w:rsid w:val="005722E9"/>
    <w:rsid w:val="00572D52"/>
    <w:rsid w:val="00573F62"/>
    <w:rsid w:val="00574588"/>
    <w:rsid w:val="00574592"/>
    <w:rsid w:val="00574619"/>
    <w:rsid w:val="005746F6"/>
    <w:rsid w:val="00575D36"/>
    <w:rsid w:val="005761EE"/>
    <w:rsid w:val="00576C13"/>
    <w:rsid w:val="00576CB6"/>
    <w:rsid w:val="00576CF4"/>
    <w:rsid w:val="00577164"/>
    <w:rsid w:val="00577D9F"/>
    <w:rsid w:val="00580391"/>
    <w:rsid w:val="0058086E"/>
    <w:rsid w:val="005818DE"/>
    <w:rsid w:val="00581AC8"/>
    <w:rsid w:val="00581CC1"/>
    <w:rsid w:val="00584718"/>
    <w:rsid w:val="00584D4C"/>
    <w:rsid w:val="005861DC"/>
    <w:rsid w:val="0058622F"/>
    <w:rsid w:val="00586418"/>
    <w:rsid w:val="00587350"/>
    <w:rsid w:val="005874B8"/>
    <w:rsid w:val="00587BA9"/>
    <w:rsid w:val="0059007C"/>
    <w:rsid w:val="00590699"/>
    <w:rsid w:val="00591A31"/>
    <w:rsid w:val="00591E29"/>
    <w:rsid w:val="00592318"/>
    <w:rsid w:val="00594C44"/>
    <w:rsid w:val="0059556C"/>
    <w:rsid w:val="00596B76"/>
    <w:rsid w:val="00597DD9"/>
    <w:rsid w:val="005A0ACF"/>
    <w:rsid w:val="005A0C34"/>
    <w:rsid w:val="005A2501"/>
    <w:rsid w:val="005A292F"/>
    <w:rsid w:val="005A2FF8"/>
    <w:rsid w:val="005A34B6"/>
    <w:rsid w:val="005A3E34"/>
    <w:rsid w:val="005A44FF"/>
    <w:rsid w:val="005A4BD9"/>
    <w:rsid w:val="005A4D8E"/>
    <w:rsid w:val="005A51C6"/>
    <w:rsid w:val="005A576D"/>
    <w:rsid w:val="005A5BAB"/>
    <w:rsid w:val="005A5CB3"/>
    <w:rsid w:val="005A6604"/>
    <w:rsid w:val="005A78DE"/>
    <w:rsid w:val="005A7E09"/>
    <w:rsid w:val="005B08A6"/>
    <w:rsid w:val="005B0F22"/>
    <w:rsid w:val="005B0F27"/>
    <w:rsid w:val="005B1A31"/>
    <w:rsid w:val="005B2B4F"/>
    <w:rsid w:val="005B2CB5"/>
    <w:rsid w:val="005B3439"/>
    <w:rsid w:val="005B4653"/>
    <w:rsid w:val="005B4E45"/>
    <w:rsid w:val="005B4E85"/>
    <w:rsid w:val="005B5E17"/>
    <w:rsid w:val="005B6419"/>
    <w:rsid w:val="005B6CC1"/>
    <w:rsid w:val="005C1943"/>
    <w:rsid w:val="005C22C2"/>
    <w:rsid w:val="005C2322"/>
    <w:rsid w:val="005C501A"/>
    <w:rsid w:val="005C5673"/>
    <w:rsid w:val="005C6D52"/>
    <w:rsid w:val="005C6F67"/>
    <w:rsid w:val="005C7858"/>
    <w:rsid w:val="005C7A9A"/>
    <w:rsid w:val="005C7FCE"/>
    <w:rsid w:val="005D05FD"/>
    <w:rsid w:val="005D11A5"/>
    <w:rsid w:val="005D1A7D"/>
    <w:rsid w:val="005D3508"/>
    <w:rsid w:val="005D48E0"/>
    <w:rsid w:val="005D4BC8"/>
    <w:rsid w:val="005D55D6"/>
    <w:rsid w:val="005D593D"/>
    <w:rsid w:val="005D65FF"/>
    <w:rsid w:val="005D6E43"/>
    <w:rsid w:val="005D717B"/>
    <w:rsid w:val="005D769A"/>
    <w:rsid w:val="005D7FC2"/>
    <w:rsid w:val="005E092E"/>
    <w:rsid w:val="005E1DD8"/>
    <w:rsid w:val="005E1EA0"/>
    <w:rsid w:val="005E1F6F"/>
    <w:rsid w:val="005E4132"/>
    <w:rsid w:val="005E58E1"/>
    <w:rsid w:val="005E5F8B"/>
    <w:rsid w:val="005F0EC7"/>
    <w:rsid w:val="005F105B"/>
    <w:rsid w:val="005F1295"/>
    <w:rsid w:val="005F2075"/>
    <w:rsid w:val="005F2341"/>
    <w:rsid w:val="005F2B48"/>
    <w:rsid w:val="005F3ADE"/>
    <w:rsid w:val="005F432C"/>
    <w:rsid w:val="005F4B41"/>
    <w:rsid w:val="005F4F2A"/>
    <w:rsid w:val="005F5099"/>
    <w:rsid w:val="005F73A6"/>
    <w:rsid w:val="006002FC"/>
    <w:rsid w:val="00600D9B"/>
    <w:rsid w:val="0060128D"/>
    <w:rsid w:val="006015EB"/>
    <w:rsid w:val="006021B4"/>
    <w:rsid w:val="00602BDA"/>
    <w:rsid w:val="0060305B"/>
    <w:rsid w:val="0060308F"/>
    <w:rsid w:val="0060552B"/>
    <w:rsid w:val="00606E04"/>
    <w:rsid w:val="00607B8A"/>
    <w:rsid w:val="00611A97"/>
    <w:rsid w:val="00611B3C"/>
    <w:rsid w:val="00611C5C"/>
    <w:rsid w:val="00612686"/>
    <w:rsid w:val="006131E9"/>
    <w:rsid w:val="0061392C"/>
    <w:rsid w:val="00613C92"/>
    <w:rsid w:val="00615685"/>
    <w:rsid w:val="00616069"/>
    <w:rsid w:val="00616FDD"/>
    <w:rsid w:val="00617E42"/>
    <w:rsid w:val="00617E6C"/>
    <w:rsid w:val="006203EC"/>
    <w:rsid w:val="00622015"/>
    <w:rsid w:val="00622191"/>
    <w:rsid w:val="00622D62"/>
    <w:rsid w:val="00622D80"/>
    <w:rsid w:val="0062336F"/>
    <w:rsid w:val="00623D41"/>
    <w:rsid w:val="00624A28"/>
    <w:rsid w:val="00624E5B"/>
    <w:rsid w:val="006264F1"/>
    <w:rsid w:val="00626A29"/>
    <w:rsid w:val="00626AF4"/>
    <w:rsid w:val="00626CB1"/>
    <w:rsid w:val="00626CBB"/>
    <w:rsid w:val="00627894"/>
    <w:rsid w:val="00627FF6"/>
    <w:rsid w:val="00630506"/>
    <w:rsid w:val="00630BC9"/>
    <w:rsid w:val="0063314F"/>
    <w:rsid w:val="0063422F"/>
    <w:rsid w:val="006354FF"/>
    <w:rsid w:val="00635832"/>
    <w:rsid w:val="00635AB6"/>
    <w:rsid w:val="006361B1"/>
    <w:rsid w:val="006365E9"/>
    <w:rsid w:val="00636E18"/>
    <w:rsid w:val="0063705B"/>
    <w:rsid w:val="00637228"/>
    <w:rsid w:val="00641532"/>
    <w:rsid w:val="00641E0B"/>
    <w:rsid w:val="0064225E"/>
    <w:rsid w:val="0064298D"/>
    <w:rsid w:val="0064364F"/>
    <w:rsid w:val="006445A3"/>
    <w:rsid w:val="00645115"/>
    <w:rsid w:val="006462F1"/>
    <w:rsid w:val="006464CF"/>
    <w:rsid w:val="00647A7A"/>
    <w:rsid w:val="00650724"/>
    <w:rsid w:val="0065124E"/>
    <w:rsid w:val="006513A0"/>
    <w:rsid w:val="00652C4F"/>
    <w:rsid w:val="0065308E"/>
    <w:rsid w:val="006534DC"/>
    <w:rsid w:val="006541D1"/>
    <w:rsid w:val="00654860"/>
    <w:rsid w:val="00654F37"/>
    <w:rsid w:val="00655662"/>
    <w:rsid w:val="00656ABE"/>
    <w:rsid w:val="00657521"/>
    <w:rsid w:val="0066000B"/>
    <w:rsid w:val="0066030A"/>
    <w:rsid w:val="00660931"/>
    <w:rsid w:val="00661956"/>
    <w:rsid w:val="00661C43"/>
    <w:rsid w:val="00662C23"/>
    <w:rsid w:val="00663A53"/>
    <w:rsid w:val="0066473E"/>
    <w:rsid w:val="00664F66"/>
    <w:rsid w:val="00665069"/>
    <w:rsid w:val="0066537B"/>
    <w:rsid w:val="00665718"/>
    <w:rsid w:val="00665E8C"/>
    <w:rsid w:val="0066692E"/>
    <w:rsid w:val="00666CC6"/>
    <w:rsid w:val="006677D7"/>
    <w:rsid w:val="00667828"/>
    <w:rsid w:val="00670CDD"/>
    <w:rsid w:val="00670F37"/>
    <w:rsid w:val="00676079"/>
    <w:rsid w:val="00676326"/>
    <w:rsid w:val="006777C7"/>
    <w:rsid w:val="006839E8"/>
    <w:rsid w:val="00683D65"/>
    <w:rsid w:val="00684AB4"/>
    <w:rsid w:val="00684FDE"/>
    <w:rsid w:val="00685F12"/>
    <w:rsid w:val="00687672"/>
    <w:rsid w:val="00690FB6"/>
    <w:rsid w:val="00691287"/>
    <w:rsid w:val="006919FC"/>
    <w:rsid w:val="00693034"/>
    <w:rsid w:val="0069373F"/>
    <w:rsid w:val="00693FDC"/>
    <w:rsid w:val="006963D2"/>
    <w:rsid w:val="00697FEB"/>
    <w:rsid w:val="006A02C9"/>
    <w:rsid w:val="006A0B4A"/>
    <w:rsid w:val="006A0D71"/>
    <w:rsid w:val="006A0E7E"/>
    <w:rsid w:val="006A0F4A"/>
    <w:rsid w:val="006A1D16"/>
    <w:rsid w:val="006A1EA8"/>
    <w:rsid w:val="006A4300"/>
    <w:rsid w:val="006A4428"/>
    <w:rsid w:val="006A7BEA"/>
    <w:rsid w:val="006A7D62"/>
    <w:rsid w:val="006B120F"/>
    <w:rsid w:val="006B1FE2"/>
    <w:rsid w:val="006B2EBD"/>
    <w:rsid w:val="006B2F86"/>
    <w:rsid w:val="006B3690"/>
    <w:rsid w:val="006B37A6"/>
    <w:rsid w:val="006B3C0D"/>
    <w:rsid w:val="006C0355"/>
    <w:rsid w:val="006C090C"/>
    <w:rsid w:val="006C13D5"/>
    <w:rsid w:val="006C3A40"/>
    <w:rsid w:val="006C3F79"/>
    <w:rsid w:val="006C4E8E"/>
    <w:rsid w:val="006C53A0"/>
    <w:rsid w:val="006C5E9B"/>
    <w:rsid w:val="006C6628"/>
    <w:rsid w:val="006C6D77"/>
    <w:rsid w:val="006C7240"/>
    <w:rsid w:val="006C74D6"/>
    <w:rsid w:val="006C7663"/>
    <w:rsid w:val="006D0EE8"/>
    <w:rsid w:val="006D12C7"/>
    <w:rsid w:val="006D175B"/>
    <w:rsid w:val="006D1BF7"/>
    <w:rsid w:val="006D23EF"/>
    <w:rsid w:val="006D457D"/>
    <w:rsid w:val="006D59F8"/>
    <w:rsid w:val="006D61DA"/>
    <w:rsid w:val="006D6AF7"/>
    <w:rsid w:val="006D6EBB"/>
    <w:rsid w:val="006D781E"/>
    <w:rsid w:val="006D7F80"/>
    <w:rsid w:val="006D7FC7"/>
    <w:rsid w:val="006E00DA"/>
    <w:rsid w:val="006E04F7"/>
    <w:rsid w:val="006E0941"/>
    <w:rsid w:val="006E0B68"/>
    <w:rsid w:val="006E0EAD"/>
    <w:rsid w:val="006E1DC5"/>
    <w:rsid w:val="006E2E7E"/>
    <w:rsid w:val="006E2EFD"/>
    <w:rsid w:val="006E3420"/>
    <w:rsid w:val="006E39D7"/>
    <w:rsid w:val="006E3BD0"/>
    <w:rsid w:val="006E3FA9"/>
    <w:rsid w:val="006E4444"/>
    <w:rsid w:val="006E4D14"/>
    <w:rsid w:val="006E6866"/>
    <w:rsid w:val="006E702B"/>
    <w:rsid w:val="006E7DC6"/>
    <w:rsid w:val="006F01FC"/>
    <w:rsid w:val="006F0349"/>
    <w:rsid w:val="006F08E1"/>
    <w:rsid w:val="006F0E10"/>
    <w:rsid w:val="006F13D2"/>
    <w:rsid w:val="006F1A53"/>
    <w:rsid w:val="006F2196"/>
    <w:rsid w:val="006F2B29"/>
    <w:rsid w:val="006F3620"/>
    <w:rsid w:val="006F3D73"/>
    <w:rsid w:val="006F5A87"/>
    <w:rsid w:val="006F747C"/>
    <w:rsid w:val="006F74BF"/>
    <w:rsid w:val="006F7BDA"/>
    <w:rsid w:val="00700C93"/>
    <w:rsid w:val="00701FC8"/>
    <w:rsid w:val="0070288A"/>
    <w:rsid w:val="00702D07"/>
    <w:rsid w:val="00703676"/>
    <w:rsid w:val="00706655"/>
    <w:rsid w:val="007078D6"/>
    <w:rsid w:val="007106DD"/>
    <w:rsid w:val="00710F87"/>
    <w:rsid w:val="00711217"/>
    <w:rsid w:val="007116F8"/>
    <w:rsid w:val="00712900"/>
    <w:rsid w:val="007133E9"/>
    <w:rsid w:val="007137B3"/>
    <w:rsid w:val="00713BD4"/>
    <w:rsid w:val="00714542"/>
    <w:rsid w:val="00714837"/>
    <w:rsid w:val="00714EF0"/>
    <w:rsid w:val="00714F04"/>
    <w:rsid w:val="00715087"/>
    <w:rsid w:val="00715712"/>
    <w:rsid w:val="007158C7"/>
    <w:rsid w:val="00715D0C"/>
    <w:rsid w:val="0071628B"/>
    <w:rsid w:val="00716F27"/>
    <w:rsid w:val="00717727"/>
    <w:rsid w:val="00717B00"/>
    <w:rsid w:val="00720DE3"/>
    <w:rsid w:val="00721C6A"/>
    <w:rsid w:val="007227EC"/>
    <w:rsid w:val="00722F2C"/>
    <w:rsid w:val="00723293"/>
    <w:rsid w:val="00723439"/>
    <w:rsid w:val="00723CB3"/>
    <w:rsid w:val="00724D46"/>
    <w:rsid w:val="007252D4"/>
    <w:rsid w:val="00727012"/>
    <w:rsid w:val="0072723A"/>
    <w:rsid w:val="00727D29"/>
    <w:rsid w:val="00730E2D"/>
    <w:rsid w:val="0073142D"/>
    <w:rsid w:val="007323B9"/>
    <w:rsid w:val="007330A4"/>
    <w:rsid w:val="00733C05"/>
    <w:rsid w:val="00734568"/>
    <w:rsid w:val="0073460E"/>
    <w:rsid w:val="007349F9"/>
    <w:rsid w:val="00734A12"/>
    <w:rsid w:val="00735CDE"/>
    <w:rsid w:val="00736EAE"/>
    <w:rsid w:val="00737F9B"/>
    <w:rsid w:val="007402C2"/>
    <w:rsid w:val="0074044C"/>
    <w:rsid w:val="007405B1"/>
    <w:rsid w:val="007419ED"/>
    <w:rsid w:val="00742174"/>
    <w:rsid w:val="00742C4C"/>
    <w:rsid w:val="007431F0"/>
    <w:rsid w:val="00743577"/>
    <w:rsid w:val="007435D3"/>
    <w:rsid w:val="00744220"/>
    <w:rsid w:val="00744C66"/>
    <w:rsid w:val="007464CC"/>
    <w:rsid w:val="00747238"/>
    <w:rsid w:val="00747B4B"/>
    <w:rsid w:val="00747D5E"/>
    <w:rsid w:val="00750679"/>
    <w:rsid w:val="00751EDA"/>
    <w:rsid w:val="00754851"/>
    <w:rsid w:val="007575D0"/>
    <w:rsid w:val="00757649"/>
    <w:rsid w:val="007609D5"/>
    <w:rsid w:val="00760C75"/>
    <w:rsid w:val="007611AD"/>
    <w:rsid w:val="0076126B"/>
    <w:rsid w:val="007613B3"/>
    <w:rsid w:val="00762FBA"/>
    <w:rsid w:val="0076316D"/>
    <w:rsid w:val="00763FB6"/>
    <w:rsid w:val="0076473F"/>
    <w:rsid w:val="00764748"/>
    <w:rsid w:val="00765515"/>
    <w:rsid w:val="00766F28"/>
    <w:rsid w:val="007713E8"/>
    <w:rsid w:val="00771967"/>
    <w:rsid w:val="00771AA1"/>
    <w:rsid w:val="00772FC8"/>
    <w:rsid w:val="0077322C"/>
    <w:rsid w:val="00774715"/>
    <w:rsid w:val="007747EE"/>
    <w:rsid w:val="00774999"/>
    <w:rsid w:val="00774F98"/>
    <w:rsid w:val="00776623"/>
    <w:rsid w:val="007768F5"/>
    <w:rsid w:val="0077735A"/>
    <w:rsid w:val="0078095B"/>
    <w:rsid w:val="00780D10"/>
    <w:rsid w:val="007813D1"/>
    <w:rsid w:val="00782158"/>
    <w:rsid w:val="007821BC"/>
    <w:rsid w:val="007826E0"/>
    <w:rsid w:val="0078271A"/>
    <w:rsid w:val="00783194"/>
    <w:rsid w:val="00783455"/>
    <w:rsid w:val="007835D5"/>
    <w:rsid w:val="0078383A"/>
    <w:rsid w:val="00783BA7"/>
    <w:rsid w:val="007853F8"/>
    <w:rsid w:val="0078687A"/>
    <w:rsid w:val="00786AA2"/>
    <w:rsid w:val="00786BB9"/>
    <w:rsid w:val="00786FE5"/>
    <w:rsid w:val="007870B3"/>
    <w:rsid w:val="00787297"/>
    <w:rsid w:val="007877DC"/>
    <w:rsid w:val="0079039B"/>
    <w:rsid w:val="007908E2"/>
    <w:rsid w:val="00793842"/>
    <w:rsid w:val="007953B5"/>
    <w:rsid w:val="00795F3C"/>
    <w:rsid w:val="00796271"/>
    <w:rsid w:val="00796431"/>
    <w:rsid w:val="007964DC"/>
    <w:rsid w:val="007967E6"/>
    <w:rsid w:val="00797D07"/>
    <w:rsid w:val="00797EC1"/>
    <w:rsid w:val="007A03B9"/>
    <w:rsid w:val="007A06C5"/>
    <w:rsid w:val="007A0B4E"/>
    <w:rsid w:val="007A117C"/>
    <w:rsid w:val="007A2635"/>
    <w:rsid w:val="007A3BFB"/>
    <w:rsid w:val="007A69A5"/>
    <w:rsid w:val="007A6B52"/>
    <w:rsid w:val="007A6C81"/>
    <w:rsid w:val="007A7B10"/>
    <w:rsid w:val="007B02A8"/>
    <w:rsid w:val="007B0B30"/>
    <w:rsid w:val="007B129D"/>
    <w:rsid w:val="007B219A"/>
    <w:rsid w:val="007B31A6"/>
    <w:rsid w:val="007B4508"/>
    <w:rsid w:val="007B5E3D"/>
    <w:rsid w:val="007B6B28"/>
    <w:rsid w:val="007B79F6"/>
    <w:rsid w:val="007B7B44"/>
    <w:rsid w:val="007C1271"/>
    <w:rsid w:val="007C12F0"/>
    <w:rsid w:val="007C15B2"/>
    <w:rsid w:val="007C4747"/>
    <w:rsid w:val="007C4C83"/>
    <w:rsid w:val="007C525A"/>
    <w:rsid w:val="007C533A"/>
    <w:rsid w:val="007C591A"/>
    <w:rsid w:val="007C6206"/>
    <w:rsid w:val="007C6225"/>
    <w:rsid w:val="007C64E2"/>
    <w:rsid w:val="007C7C72"/>
    <w:rsid w:val="007D065D"/>
    <w:rsid w:val="007D1196"/>
    <w:rsid w:val="007D1E88"/>
    <w:rsid w:val="007D275E"/>
    <w:rsid w:val="007D2928"/>
    <w:rsid w:val="007D37BA"/>
    <w:rsid w:val="007D3850"/>
    <w:rsid w:val="007D3F75"/>
    <w:rsid w:val="007D4025"/>
    <w:rsid w:val="007D66F0"/>
    <w:rsid w:val="007D73E5"/>
    <w:rsid w:val="007D750A"/>
    <w:rsid w:val="007D7523"/>
    <w:rsid w:val="007E0084"/>
    <w:rsid w:val="007E0678"/>
    <w:rsid w:val="007E0A18"/>
    <w:rsid w:val="007E0EF4"/>
    <w:rsid w:val="007E1035"/>
    <w:rsid w:val="007E18D1"/>
    <w:rsid w:val="007E199C"/>
    <w:rsid w:val="007E2A76"/>
    <w:rsid w:val="007E4D07"/>
    <w:rsid w:val="007E581F"/>
    <w:rsid w:val="007E722A"/>
    <w:rsid w:val="007E72EF"/>
    <w:rsid w:val="007E770A"/>
    <w:rsid w:val="007E7968"/>
    <w:rsid w:val="007E7C0D"/>
    <w:rsid w:val="007F0CB0"/>
    <w:rsid w:val="007F1600"/>
    <w:rsid w:val="007F166D"/>
    <w:rsid w:val="007F1EDF"/>
    <w:rsid w:val="007F2054"/>
    <w:rsid w:val="007F299B"/>
    <w:rsid w:val="007F365B"/>
    <w:rsid w:val="007F3B50"/>
    <w:rsid w:val="007F4023"/>
    <w:rsid w:val="007F40D6"/>
    <w:rsid w:val="007F41A0"/>
    <w:rsid w:val="007F5346"/>
    <w:rsid w:val="007F690B"/>
    <w:rsid w:val="007F742B"/>
    <w:rsid w:val="007F7CBC"/>
    <w:rsid w:val="00800C45"/>
    <w:rsid w:val="0080130F"/>
    <w:rsid w:val="008026FE"/>
    <w:rsid w:val="00802F9F"/>
    <w:rsid w:val="0080372E"/>
    <w:rsid w:val="00803E55"/>
    <w:rsid w:val="00804358"/>
    <w:rsid w:val="00804F92"/>
    <w:rsid w:val="00807F85"/>
    <w:rsid w:val="0081060D"/>
    <w:rsid w:val="00810A52"/>
    <w:rsid w:val="00810DCF"/>
    <w:rsid w:val="008110C4"/>
    <w:rsid w:val="00811527"/>
    <w:rsid w:val="00811F2C"/>
    <w:rsid w:val="00811FE2"/>
    <w:rsid w:val="008134F5"/>
    <w:rsid w:val="00814399"/>
    <w:rsid w:val="00815A51"/>
    <w:rsid w:val="008208F2"/>
    <w:rsid w:val="00820A66"/>
    <w:rsid w:val="00820F38"/>
    <w:rsid w:val="00822D27"/>
    <w:rsid w:val="008242DA"/>
    <w:rsid w:val="00824A84"/>
    <w:rsid w:val="00826371"/>
    <w:rsid w:val="0082668B"/>
    <w:rsid w:val="0082687A"/>
    <w:rsid w:val="008272AC"/>
    <w:rsid w:val="00830214"/>
    <w:rsid w:val="00830902"/>
    <w:rsid w:val="00832118"/>
    <w:rsid w:val="00832C2F"/>
    <w:rsid w:val="00833EC7"/>
    <w:rsid w:val="00834366"/>
    <w:rsid w:val="008358AE"/>
    <w:rsid w:val="008363D1"/>
    <w:rsid w:val="00836C3B"/>
    <w:rsid w:val="00840749"/>
    <w:rsid w:val="00840F7C"/>
    <w:rsid w:val="008412E1"/>
    <w:rsid w:val="008413A8"/>
    <w:rsid w:val="00842443"/>
    <w:rsid w:val="00843285"/>
    <w:rsid w:val="00843286"/>
    <w:rsid w:val="00843386"/>
    <w:rsid w:val="00844479"/>
    <w:rsid w:val="00844C79"/>
    <w:rsid w:val="00846122"/>
    <w:rsid w:val="008466C4"/>
    <w:rsid w:val="00850FDB"/>
    <w:rsid w:val="008510D6"/>
    <w:rsid w:val="008522B5"/>
    <w:rsid w:val="00853C4A"/>
    <w:rsid w:val="00854190"/>
    <w:rsid w:val="00854682"/>
    <w:rsid w:val="00855DA1"/>
    <w:rsid w:val="00856359"/>
    <w:rsid w:val="00856DA4"/>
    <w:rsid w:val="00857078"/>
    <w:rsid w:val="00857A3C"/>
    <w:rsid w:val="00860613"/>
    <w:rsid w:val="00861279"/>
    <w:rsid w:val="008612B4"/>
    <w:rsid w:val="00862A90"/>
    <w:rsid w:val="00863D31"/>
    <w:rsid w:val="0086454A"/>
    <w:rsid w:val="00866E95"/>
    <w:rsid w:val="00870102"/>
    <w:rsid w:val="00870456"/>
    <w:rsid w:val="008721A5"/>
    <w:rsid w:val="008723A8"/>
    <w:rsid w:val="00872847"/>
    <w:rsid w:val="00872C9B"/>
    <w:rsid w:val="00872E78"/>
    <w:rsid w:val="00872FDB"/>
    <w:rsid w:val="00873451"/>
    <w:rsid w:val="00873471"/>
    <w:rsid w:val="00873C14"/>
    <w:rsid w:val="0087619E"/>
    <w:rsid w:val="00877706"/>
    <w:rsid w:val="00877F7D"/>
    <w:rsid w:val="008811FC"/>
    <w:rsid w:val="00881D54"/>
    <w:rsid w:val="008825CE"/>
    <w:rsid w:val="0088460D"/>
    <w:rsid w:val="008857AA"/>
    <w:rsid w:val="00885FA2"/>
    <w:rsid w:val="0088688E"/>
    <w:rsid w:val="00887608"/>
    <w:rsid w:val="00887ABB"/>
    <w:rsid w:val="00887FD1"/>
    <w:rsid w:val="008900AF"/>
    <w:rsid w:val="008906E6"/>
    <w:rsid w:val="00890AD0"/>
    <w:rsid w:val="00890B66"/>
    <w:rsid w:val="00891109"/>
    <w:rsid w:val="00891BA0"/>
    <w:rsid w:val="00891BF0"/>
    <w:rsid w:val="00891F38"/>
    <w:rsid w:val="00893E72"/>
    <w:rsid w:val="00896BC2"/>
    <w:rsid w:val="00896C06"/>
    <w:rsid w:val="008A072D"/>
    <w:rsid w:val="008A1815"/>
    <w:rsid w:val="008A1C42"/>
    <w:rsid w:val="008A2D63"/>
    <w:rsid w:val="008A3348"/>
    <w:rsid w:val="008A3889"/>
    <w:rsid w:val="008A4BAF"/>
    <w:rsid w:val="008A5CE1"/>
    <w:rsid w:val="008A5EE6"/>
    <w:rsid w:val="008A6398"/>
    <w:rsid w:val="008B048B"/>
    <w:rsid w:val="008B08D3"/>
    <w:rsid w:val="008B19B7"/>
    <w:rsid w:val="008B19E5"/>
    <w:rsid w:val="008B1C16"/>
    <w:rsid w:val="008B2AC1"/>
    <w:rsid w:val="008B2D32"/>
    <w:rsid w:val="008B2E9A"/>
    <w:rsid w:val="008B2EB5"/>
    <w:rsid w:val="008B3ADE"/>
    <w:rsid w:val="008B44C3"/>
    <w:rsid w:val="008B5255"/>
    <w:rsid w:val="008B5613"/>
    <w:rsid w:val="008B62E9"/>
    <w:rsid w:val="008B7050"/>
    <w:rsid w:val="008B7162"/>
    <w:rsid w:val="008C1507"/>
    <w:rsid w:val="008C19A3"/>
    <w:rsid w:val="008C2501"/>
    <w:rsid w:val="008C383B"/>
    <w:rsid w:val="008C3A5F"/>
    <w:rsid w:val="008C44A7"/>
    <w:rsid w:val="008C5671"/>
    <w:rsid w:val="008C59BA"/>
    <w:rsid w:val="008C5D4D"/>
    <w:rsid w:val="008C6671"/>
    <w:rsid w:val="008C739D"/>
    <w:rsid w:val="008C7707"/>
    <w:rsid w:val="008D1695"/>
    <w:rsid w:val="008D3273"/>
    <w:rsid w:val="008D3CA0"/>
    <w:rsid w:val="008D4696"/>
    <w:rsid w:val="008D6805"/>
    <w:rsid w:val="008D6CA8"/>
    <w:rsid w:val="008D733D"/>
    <w:rsid w:val="008E0A95"/>
    <w:rsid w:val="008E136A"/>
    <w:rsid w:val="008E14A5"/>
    <w:rsid w:val="008E2336"/>
    <w:rsid w:val="008E27A7"/>
    <w:rsid w:val="008E33F9"/>
    <w:rsid w:val="008E34A2"/>
    <w:rsid w:val="008E34AE"/>
    <w:rsid w:val="008E4D1F"/>
    <w:rsid w:val="008E694D"/>
    <w:rsid w:val="008E78B4"/>
    <w:rsid w:val="008F047E"/>
    <w:rsid w:val="008F2841"/>
    <w:rsid w:val="008F2959"/>
    <w:rsid w:val="008F399F"/>
    <w:rsid w:val="008F39F1"/>
    <w:rsid w:val="008F432C"/>
    <w:rsid w:val="008F7ADB"/>
    <w:rsid w:val="009001B0"/>
    <w:rsid w:val="00900940"/>
    <w:rsid w:val="0090288E"/>
    <w:rsid w:val="009038F9"/>
    <w:rsid w:val="00905028"/>
    <w:rsid w:val="009055D6"/>
    <w:rsid w:val="00905AAB"/>
    <w:rsid w:val="009068C3"/>
    <w:rsid w:val="00906F53"/>
    <w:rsid w:val="0090775D"/>
    <w:rsid w:val="00910432"/>
    <w:rsid w:val="0091050C"/>
    <w:rsid w:val="00911865"/>
    <w:rsid w:val="00911A8D"/>
    <w:rsid w:val="009139AF"/>
    <w:rsid w:val="009148EC"/>
    <w:rsid w:val="00914BFD"/>
    <w:rsid w:val="00914CD2"/>
    <w:rsid w:val="00915EF9"/>
    <w:rsid w:val="009174F6"/>
    <w:rsid w:val="00917A99"/>
    <w:rsid w:val="00921BFB"/>
    <w:rsid w:val="00921EF9"/>
    <w:rsid w:val="00922AFA"/>
    <w:rsid w:val="00922BF2"/>
    <w:rsid w:val="009234FD"/>
    <w:rsid w:val="00923665"/>
    <w:rsid w:val="00924258"/>
    <w:rsid w:val="00924973"/>
    <w:rsid w:val="00924ED5"/>
    <w:rsid w:val="0092631A"/>
    <w:rsid w:val="009311DF"/>
    <w:rsid w:val="009314B6"/>
    <w:rsid w:val="0093152E"/>
    <w:rsid w:val="009315A3"/>
    <w:rsid w:val="00931779"/>
    <w:rsid w:val="00931E42"/>
    <w:rsid w:val="0093252C"/>
    <w:rsid w:val="0093283A"/>
    <w:rsid w:val="0093430F"/>
    <w:rsid w:val="00935AC3"/>
    <w:rsid w:val="00935EAC"/>
    <w:rsid w:val="00937529"/>
    <w:rsid w:val="00940DF7"/>
    <w:rsid w:val="00940F2E"/>
    <w:rsid w:val="00942405"/>
    <w:rsid w:val="00942818"/>
    <w:rsid w:val="00942AD5"/>
    <w:rsid w:val="00942F66"/>
    <w:rsid w:val="00943510"/>
    <w:rsid w:val="00943A66"/>
    <w:rsid w:val="00944371"/>
    <w:rsid w:val="00944529"/>
    <w:rsid w:val="00944CB3"/>
    <w:rsid w:val="00944D10"/>
    <w:rsid w:val="009450BA"/>
    <w:rsid w:val="009454B6"/>
    <w:rsid w:val="00946929"/>
    <w:rsid w:val="00946D29"/>
    <w:rsid w:val="009474F2"/>
    <w:rsid w:val="00950E7E"/>
    <w:rsid w:val="00952AEF"/>
    <w:rsid w:val="00955C33"/>
    <w:rsid w:val="0095625A"/>
    <w:rsid w:val="00956446"/>
    <w:rsid w:val="00957B4C"/>
    <w:rsid w:val="009603BF"/>
    <w:rsid w:val="00960F24"/>
    <w:rsid w:val="00960FAF"/>
    <w:rsid w:val="0096172B"/>
    <w:rsid w:val="00961C91"/>
    <w:rsid w:val="00962AB8"/>
    <w:rsid w:val="00962CB7"/>
    <w:rsid w:val="00962E64"/>
    <w:rsid w:val="00963AA3"/>
    <w:rsid w:val="00963B80"/>
    <w:rsid w:val="00966080"/>
    <w:rsid w:val="0096628F"/>
    <w:rsid w:val="009664DD"/>
    <w:rsid w:val="00966F48"/>
    <w:rsid w:val="0096744E"/>
    <w:rsid w:val="009704A0"/>
    <w:rsid w:val="00970792"/>
    <w:rsid w:val="00970EB5"/>
    <w:rsid w:val="00971E1A"/>
    <w:rsid w:val="00971EE1"/>
    <w:rsid w:val="00973197"/>
    <w:rsid w:val="00973E14"/>
    <w:rsid w:val="009753FB"/>
    <w:rsid w:val="00975439"/>
    <w:rsid w:val="009756E8"/>
    <w:rsid w:val="00976F97"/>
    <w:rsid w:val="00977317"/>
    <w:rsid w:val="009802E6"/>
    <w:rsid w:val="009804C2"/>
    <w:rsid w:val="00980C11"/>
    <w:rsid w:val="00981086"/>
    <w:rsid w:val="0098257D"/>
    <w:rsid w:val="0098302F"/>
    <w:rsid w:val="009831C8"/>
    <w:rsid w:val="00983D28"/>
    <w:rsid w:val="0098474E"/>
    <w:rsid w:val="009857EB"/>
    <w:rsid w:val="00986110"/>
    <w:rsid w:val="009869D5"/>
    <w:rsid w:val="00987232"/>
    <w:rsid w:val="009877E3"/>
    <w:rsid w:val="00990EC7"/>
    <w:rsid w:val="00991B95"/>
    <w:rsid w:val="00991D3E"/>
    <w:rsid w:val="00992840"/>
    <w:rsid w:val="00994C6F"/>
    <w:rsid w:val="00994CC4"/>
    <w:rsid w:val="00995379"/>
    <w:rsid w:val="009968AC"/>
    <w:rsid w:val="00996911"/>
    <w:rsid w:val="00996DB9"/>
    <w:rsid w:val="009976E7"/>
    <w:rsid w:val="009A044E"/>
    <w:rsid w:val="009A10AD"/>
    <w:rsid w:val="009A10DD"/>
    <w:rsid w:val="009A11ED"/>
    <w:rsid w:val="009A1795"/>
    <w:rsid w:val="009A1CB0"/>
    <w:rsid w:val="009A2547"/>
    <w:rsid w:val="009A4D66"/>
    <w:rsid w:val="009A5821"/>
    <w:rsid w:val="009A63A6"/>
    <w:rsid w:val="009A65F0"/>
    <w:rsid w:val="009A67A1"/>
    <w:rsid w:val="009A7026"/>
    <w:rsid w:val="009A702B"/>
    <w:rsid w:val="009A7D0C"/>
    <w:rsid w:val="009A7F30"/>
    <w:rsid w:val="009B069B"/>
    <w:rsid w:val="009B097A"/>
    <w:rsid w:val="009B10E0"/>
    <w:rsid w:val="009B18EB"/>
    <w:rsid w:val="009B27DF"/>
    <w:rsid w:val="009B36AF"/>
    <w:rsid w:val="009B393A"/>
    <w:rsid w:val="009B5A7A"/>
    <w:rsid w:val="009B7972"/>
    <w:rsid w:val="009B7A5A"/>
    <w:rsid w:val="009C0DD6"/>
    <w:rsid w:val="009C1B29"/>
    <w:rsid w:val="009C1C07"/>
    <w:rsid w:val="009C1F84"/>
    <w:rsid w:val="009C38DF"/>
    <w:rsid w:val="009C40F8"/>
    <w:rsid w:val="009C5A3E"/>
    <w:rsid w:val="009C6CC1"/>
    <w:rsid w:val="009D05F1"/>
    <w:rsid w:val="009D089E"/>
    <w:rsid w:val="009D094F"/>
    <w:rsid w:val="009D0BF3"/>
    <w:rsid w:val="009D0E88"/>
    <w:rsid w:val="009D1003"/>
    <w:rsid w:val="009D24D7"/>
    <w:rsid w:val="009D256E"/>
    <w:rsid w:val="009D2DB6"/>
    <w:rsid w:val="009D2EAF"/>
    <w:rsid w:val="009D2F47"/>
    <w:rsid w:val="009D2FB9"/>
    <w:rsid w:val="009D3067"/>
    <w:rsid w:val="009D39EE"/>
    <w:rsid w:val="009D3B45"/>
    <w:rsid w:val="009D4E78"/>
    <w:rsid w:val="009D5487"/>
    <w:rsid w:val="009D55B8"/>
    <w:rsid w:val="009D5F35"/>
    <w:rsid w:val="009D674E"/>
    <w:rsid w:val="009D6791"/>
    <w:rsid w:val="009D7835"/>
    <w:rsid w:val="009D7CDF"/>
    <w:rsid w:val="009D7EFC"/>
    <w:rsid w:val="009E05AC"/>
    <w:rsid w:val="009E1649"/>
    <w:rsid w:val="009E172B"/>
    <w:rsid w:val="009E1B55"/>
    <w:rsid w:val="009E204D"/>
    <w:rsid w:val="009E253A"/>
    <w:rsid w:val="009E25F5"/>
    <w:rsid w:val="009E39C0"/>
    <w:rsid w:val="009E4CE0"/>
    <w:rsid w:val="009E523E"/>
    <w:rsid w:val="009E5367"/>
    <w:rsid w:val="009E7B93"/>
    <w:rsid w:val="009F0062"/>
    <w:rsid w:val="009F0349"/>
    <w:rsid w:val="009F1E76"/>
    <w:rsid w:val="009F2FEB"/>
    <w:rsid w:val="009F3268"/>
    <w:rsid w:val="009F4230"/>
    <w:rsid w:val="009F4860"/>
    <w:rsid w:val="009F5F2C"/>
    <w:rsid w:val="009F6749"/>
    <w:rsid w:val="009F6A7F"/>
    <w:rsid w:val="009F6C56"/>
    <w:rsid w:val="00A0021A"/>
    <w:rsid w:val="00A0178C"/>
    <w:rsid w:val="00A01D67"/>
    <w:rsid w:val="00A02A33"/>
    <w:rsid w:val="00A02F5D"/>
    <w:rsid w:val="00A031CC"/>
    <w:rsid w:val="00A0323B"/>
    <w:rsid w:val="00A04192"/>
    <w:rsid w:val="00A04474"/>
    <w:rsid w:val="00A0482C"/>
    <w:rsid w:val="00A0762A"/>
    <w:rsid w:val="00A0776D"/>
    <w:rsid w:val="00A0778F"/>
    <w:rsid w:val="00A1004D"/>
    <w:rsid w:val="00A1182A"/>
    <w:rsid w:val="00A13922"/>
    <w:rsid w:val="00A13DB8"/>
    <w:rsid w:val="00A13F1D"/>
    <w:rsid w:val="00A1482D"/>
    <w:rsid w:val="00A14AA1"/>
    <w:rsid w:val="00A155ED"/>
    <w:rsid w:val="00A15F37"/>
    <w:rsid w:val="00A16191"/>
    <w:rsid w:val="00A163E3"/>
    <w:rsid w:val="00A220C0"/>
    <w:rsid w:val="00A22229"/>
    <w:rsid w:val="00A2295F"/>
    <w:rsid w:val="00A22A52"/>
    <w:rsid w:val="00A23246"/>
    <w:rsid w:val="00A24A2E"/>
    <w:rsid w:val="00A25889"/>
    <w:rsid w:val="00A2710F"/>
    <w:rsid w:val="00A3034C"/>
    <w:rsid w:val="00A325EE"/>
    <w:rsid w:val="00A338A1"/>
    <w:rsid w:val="00A349CB"/>
    <w:rsid w:val="00A34E5A"/>
    <w:rsid w:val="00A3508F"/>
    <w:rsid w:val="00A35D8A"/>
    <w:rsid w:val="00A364F7"/>
    <w:rsid w:val="00A36DDD"/>
    <w:rsid w:val="00A378ED"/>
    <w:rsid w:val="00A425BA"/>
    <w:rsid w:val="00A42D6B"/>
    <w:rsid w:val="00A42EEB"/>
    <w:rsid w:val="00A430E2"/>
    <w:rsid w:val="00A4316F"/>
    <w:rsid w:val="00A44A0C"/>
    <w:rsid w:val="00A454B6"/>
    <w:rsid w:val="00A4559F"/>
    <w:rsid w:val="00A45FC0"/>
    <w:rsid w:val="00A472F8"/>
    <w:rsid w:val="00A50571"/>
    <w:rsid w:val="00A50AEA"/>
    <w:rsid w:val="00A5314F"/>
    <w:rsid w:val="00A53F81"/>
    <w:rsid w:val="00A54055"/>
    <w:rsid w:val="00A54B25"/>
    <w:rsid w:val="00A55882"/>
    <w:rsid w:val="00A5590F"/>
    <w:rsid w:val="00A569E0"/>
    <w:rsid w:val="00A56B6B"/>
    <w:rsid w:val="00A60311"/>
    <w:rsid w:val="00A60546"/>
    <w:rsid w:val="00A61107"/>
    <w:rsid w:val="00A63EEE"/>
    <w:rsid w:val="00A6445C"/>
    <w:rsid w:val="00A66F1E"/>
    <w:rsid w:val="00A6760A"/>
    <w:rsid w:val="00A676D3"/>
    <w:rsid w:val="00A679AD"/>
    <w:rsid w:val="00A71142"/>
    <w:rsid w:val="00A711B7"/>
    <w:rsid w:val="00A7149F"/>
    <w:rsid w:val="00A72C93"/>
    <w:rsid w:val="00A72DB7"/>
    <w:rsid w:val="00A72FF3"/>
    <w:rsid w:val="00A7410C"/>
    <w:rsid w:val="00A754A0"/>
    <w:rsid w:val="00A76082"/>
    <w:rsid w:val="00A7784F"/>
    <w:rsid w:val="00A80A07"/>
    <w:rsid w:val="00A811D6"/>
    <w:rsid w:val="00A81F02"/>
    <w:rsid w:val="00A82860"/>
    <w:rsid w:val="00A82F07"/>
    <w:rsid w:val="00A832BA"/>
    <w:rsid w:val="00A8331B"/>
    <w:rsid w:val="00A83BF6"/>
    <w:rsid w:val="00A84963"/>
    <w:rsid w:val="00A84D9C"/>
    <w:rsid w:val="00A85048"/>
    <w:rsid w:val="00A86552"/>
    <w:rsid w:val="00A86CD7"/>
    <w:rsid w:val="00A86D7C"/>
    <w:rsid w:val="00A8750A"/>
    <w:rsid w:val="00A9017B"/>
    <w:rsid w:val="00A90878"/>
    <w:rsid w:val="00A91266"/>
    <w:rsid w:val="00A9266A"/>
    <w:rsid w:val="00A9310D"/>
    <w:rsid w:val="00A9367D"/>
    <w:rsid w:val="00A950F4"/>
    <w:rsid w:val="00A9567A"/>
    <w:rsid w:val="00A96783"/>
    <w:rsid w:val="00A97098"/>
    <w:rsid w:val="00A97337"/>
    <w:rsid w:val="00A97B08"/>
    <w:rsid w:val="00A97D41"/>
    <w:rsid w:val="00A97F5A"/>
    <w:rsid w:val="00A97F92"/>
    <w:rsid w:val="00AA253F"/>
    <w:rsid w:val="00AA25AC"/>
    <w:rsid w:val="00AA28D2"/>
    <w:rsid w:val="00AA2D58"/>
    <w:rsid w:val="00AA4A27"/>
    <w:rsid w:val="00AA4C06"/>
    <w:rsid w:val="00AA5C1F"/>
    <w:rsid w:val="00AA62A7"/>
    <w:rsid w:val="00AA7E5F"/>
    <w:rsid w:val="00AB0ED1"/>
    <w:rsid w:val="00AB16F3"/>
    <w:rsid w:val="00AB1ED1"/>
    <w:rsid w:val="00AB23B0"/>
    <w:rsid w:val="00AB2567"/>
    <w:rsid w:val="00AB3537"/>
    <w:rsid w:val="00AB365A"/>
    <w:rsid w:val="00AB3A63"/>
    <w:rsid w:val="00AB4201"/>
    <w:rsid w:val="00AB453D"/>
    <w:rsid w:val="00AB48D1"/>
    <w:rsid w:val="00AB4CFC"/>
    <w:rsid w:val="00AB58F2"/>
    <w:rsid w:val="00AB5E9F"/>
    <w:rsid w:val="00AB61EF"/>
    <w:rsid w:val="00AB689B"/>
    <w:rsid w:val="00AB7541"/>
    <w:rsid w:val="00AB7CDE"/>
    <w:rsid w:val="00AC0AAA"/>
    <w:rsid w:val="00AC0D62"/>
    <w:rsid w:val="00AC1771"/>
    <w:rsid w:val="00AC1934"/>
    <w:rsid w:val="00AC277A"/>
    <w:rsid w:val="00AC41F9"/>
    <w:rsid w:val="00AC4EEC"/>
    <w:rsid w:val="00AC6C46"/>
    <w:rsid w:val="00AC6D5D"/>
    <w:rsid w:val="00AC6F64"/>
    <w:rsid w:val="00AC706B"/>
    <w:rsid w:val="00AC7487"/>
    <w:rsid w:val="00AC7B00"/>
    <w:rsid w:val="00AD03D9"/>
    <w:rsid w:val="00AD1503"/>
    <w:rsid w:val="00AD20AF"/>
    <w:rsid w:val="00AD25AD"/>
    <w:rsid w:val="00AD3A59"/>
    <w:rsid w:val="00AD3BBF"/>
    <w:rsid w:val="00AD613B"/>
    <w:rsid w:val="00AE079E"/>
    <w:rsid w:val="00AE0D0C"/>
    <w:rsid w:val="00AE1BA9"/>
    <w:rsid w:val="00AE2387"/>
    <w:rsid w:val="00AE4002"/>
    <w:rsid w:val="00AE6E19"/>
    <w:rsid w:val="00AE724E"/>
    <w:rsid w:val="00AE76A8"/>
    <w:rsid w:val="00AF09A0"/>
    <w:rsid w:val="00AF1091"/>
    <w:rsid w:val="00AF153A"/>
    <w:rsid w:val="00AF18A6"/>
    <w:rsid w:val="00AF18CA"/>
    <w:rsid w:val="00AF1CFD"/>
    <w:rsid w:val="00AF2306"/>
    <w:rsid w:val="00AF2617"/>
    <w:rsid w:val="00AF2AE5"/>
    <w:rsid w:val="00AF2B00"/>
    <w:rsid w:val="00AF3AD9"/>
    <w:rsid w:val="00AF4640"/>
    <w:rsid w:val="00AF5145"/>
    <w:rsid w:val="00AF58F3"/>
    <w:rsid w:val="00AF5ABA"/>
    <w:rsid w:val="00AF6D94"/>
    <w:rsid w:val="00B00317"/>
    <w:rsid w:val="00B0149D"/>
    <w:rsid w:val="00B014EC"/>
    <w:rsid w:val="00B04FE2"/>
    <w:rsid w:val="00B05126"/>
    <w:rsid w:val="00B05777"/>
    <w:rsid w:val="00B05B5E"/>
    <w:rsid w:val="00B06527"/>
    <w:rsid w:val="00B10C3C"/>
    <w:rsid w:val="00B11271"/>
    <w:rsid w:val="00B112A5"/>
    <w:rsid w:val="00B116FF"/>
    <w:rsid w:val="00B118CF"/>
    <w:rsid w:val="00B12833"/>
    <w:rsid w:val="00B12D4B"/>
    <w:rsid w:val="00B140E9"/>
    <w:rsid w:val="00B14557"/>
    <w:rsid w:val="00B1471D"/>
    <w:rsid w:val="00B15438"/>
    <w:rsid w:val="00B17281"/>
    <w:rsid w:val="00B2131B"/>
    <w:rsid w:val="00B21BF3"/>
    <w:rsid w:val="00B222E2"/>
    <w:rsid w:val="00B230A8"/>
    <w:rsid w:val="00B2310C"/>
    <w:rsid w:val="00B23328"/>
    <w:rsid w:val="00B233EC"/>
    <w:rsid w:val="00B23B81"/>
    <w:rsid w:val="00B242B1"/>
    <w:rsid w:val="00B24E54"/>
    <w:rsid w:val="00B25994"/>
    <w:rsid w:val="00B27646"/>
    <w:rsid w:val="00B31A01"/>
    <w:rsid w:val="00B31E3C"/>
    <w:rsid w:val="00B32C18"/>
    <w:rsid w:val="00B33037"/>
    <w:rsid w:val="00B33732"/>
    <w:rsid w:val="00B3483B"/>
    <w:rsid w:val="00B35C7E"/>
    <w:rsid w:val="00B36448"/>
    <w:rsid w:val="00B377F6"/>
    <w:rsid w:val="00B416B1"/>
    <w:rsid w:val="00B418F4"/>
    <w:rsid w:val="00B426A2"/>
    <w:rsid w:val="00B43376"/>
    <w:rsid w:val="00B43E68"/>
    <w:rsid w:val="00B44209"/>
    <w:rsid w:val="00B44CCC"/>
    <w:rsid w:val="00B44EAC"/>
    <w:rsid w:val="00B465C8"/>
    <w:rsid w:val="00B472C9"/>
    <w:rsid w:val="00B47C1C"/>
    <w:rsid w:val="00B47F43"/>
    <w:rsid w:val="00B506AC"/>
    <w:rsid w:val="00B50773"/>
    <w:rsid w:val="00B50D1B"/>
    <w:rsid w:val="00B50E2C"/>
    <w:rsid w:val="00B51364"/>
    <w:rsid w:val="00B517ED"/>
    <w:rsid w:val="00B52041"/>
    <w:rsid w:val="00B52F1D"/>
    <w:rsid w:val="00B53170"/>
    <w:rsid w:val="00B536A8"/>
    <w:rsid w:val="00B53B00"/>
    <w:rsid w:val="00B54AE6"/>
    <w:rsid w:val="00B54F8C"/>
    <w:rsid w:val="00B551CF"/>
    <w:rsid w:val="00B56D06"/>
    <w:rsid w:val="00B5765A"/>
    <w:rsid w:val="00B60C22"/>
    <w:rsid w:val="00B616A0"/>
    <w:rsid w:val="00B620CA"/>
    <w:rsid w:val="00B6232A"/>
    <w:rsid w:val="00B62B8F"/>
    <w:rsid w:val="00B6475C"/>
    <w:rsid w:val="00B649F7"/>
    <w:rsid w:val="00B667C6"/>
    <w:rsid w:val="00B66DB7"/>
    <w:rsid w:val="00B67ADB"/>
    <w:rsid w:val="00B70A7F"/>
    <w:rsid w:val="00B716B3"/>
    <w:rsid w:val="00B719C9"/>
    <w:rsid w:val="00B71C25"/>
    <w:rsid w:val="00B71D4B"/>
    <w:rsid w:val="00B7214B"/>
    <w:rsid w:val="00B72A9B"/>
    <w:rsid w:val="00B73636"/>
    <w:rsid w:val="00B7370E"/>
    <w:rsid w:val="00B73C08"/>
    <w:rsid w:val="00B7439C"/>
    <w:rsid w:val="00B743D7"/>
    <w:rsid w:val="00B7657E"/>
    <w:rsid w:val="00B76793"/>
    <w:rsid w:val="00B76C42"/>
    <w:rsid w:val="00B76CBC"/>
    <w:rsid w:val="00B770C9"/>
    <w:rsid w:val="00B80C63"/>
    <w:rsid w:val="00B819ED"/>
    <w:rsid w:val="00B8390E"/>
    <w:rsid w:val="00B83CA3"/>
    <w:rsid w:val="00B84219"/>
    <w:rsid w:val="00B84275"/>
    <w:rsid w:val="00B84382"/>
    <w:rsid w:val="00B85068"/>
    <w:rsid w:val="00B85154"/>
    <w:rsid w:val="00B85546"/>
    <w:rsid w:val="00B85D8E"/>
    <w:rsid w:val="00B87377"/>
    <w:rsid w:val="00B87EA2"/>
    <w:rsid w:val="00B913AA"/>
    <w:rsid w:val="00B91481"/>
    <w:rsid w:val="00B91B01"/>
    <w:rsid w:val="00B9205C"/>
    <w:rsid w:val="00B925BA"/>
    <w:rsid w:val="00B93031"/>
    <w:rsid w:val="00B9335D"/>
    <w:rsid w:val="00B94400"/>
    <w:rsid w:val="00B95673"/>
    <w:rsid w:val="00B961C8"/>
    <w:rsid w:val="00B96C2A"/>
    <w:rsid w:val="00B96FD4"/>
    <w:rsid w:val="00B97971"/>
    <w:rsid w:val="00BA04E1"/>
    <w:rsid w:val="00BA18D1"/>
    <w:rsid w:val="00BA19E0"/>
    <w:rsid w:val="00BA1F8A"/>
    <w:rsid w:val="00BA258C"/>
    <w:rsid w:val="00BA321E"/>
    <w:rsid w:val="00BA3EDB"/>
    <w:rsid w:val="00BA4441"/>
    <w:rsid w:val="00BA46B0"/>
    <w:rsid w:val="00BA47DA"/>
    <w:rsid w:val="00BA4E91"/>
    <w:rsid w:val="00BA5E59"/>
    <w:rsid w:val="00BA6D0B"/>
    <w:rsid w:val="00BA75F2"/>
    <w:rsid w:val="00BB0F17"/>
    <w:rsid w:val="00BB1A4D"/>
    <w:rsid w:val="00BB228F"/>
    <w:rsid w:val="00BB304B"/>
    <w:rsid w:val="00BB347F"/>
    <w:rsid w:val="00BB36ED"/>
    <w:rsid w:val="00BB50DE"/>
    <w:rsid w:val="00BB641A"/>
    <w:rsid w:val="00BB6DED"/>
    <w:rsid w:val="00BB79A4"/>
    <w:rsid w:val="00BB7A89"/>
    <w:rsid w:val="00BB7CBB"/>
    <w:rsid w:val="00BC08D4"/>
    <w:rsid w:val="00BC0CB8"/>
    <w:rsid w:val="00BC0EE4"/>
    <w:rsid w:val="00BC1B82"/>
    <w:rsid w:val="00BC1D46"/>
    <w:rsid w:val="00BC21D7"/>
    <w:rsid w:val="00BC4A61"/>
    <w:rsid w:val="00BC52EB"/>
    <w:rsid w:val="00BC5978"/>
    <w:rsid w:val="00BC5A14"/>
    <w:rsid w:val="00BD0100"/>
    <w:rsid w:val="00BD297C"/>
    <w:rsid w:val="00BD2BB6"/>
    <w:rsid w:val="00BD4509"/>
    <w:rsid w:val="00BD483C"/>
    <w:rsid w:val="00BD4931"/>
    <w:rsid w:val="00BD499A"/>
    <w:rsid w:val="00BD532D"/>
    <w:rsid w:val="00BD6F03"/>
    <w:rsid w:val="00BD6FDA"/>
    <w:rsid w:val="00BD77B5"/>
    <w:rsid w:val="00BD7A55"/>
    <w:rsid w:val="00BE00E4"/>
    <w:rsid w:val="00BE0270"/>
    <w:rsid w:val="00BE0809"/>
    <w:rsid w:val="00BE0965"/>
    <w:rsid w:val="00BE0D73"/>
    <w:rsid w:val="00BE0DD9"/>
    <w:rsid w:val="00BE180E"/>
    <w:rsid w:val="00BE19CD"/>
    <w:rsid w:val="00BE21A8"/>
    <w:rsid w:val="00BE2827"/>
    <w:rsid w:val="00BE2CB6"/>
    <w:rsid w:val="00BE331A"/>
    <w:rsid w:val="00BE391E"/>
    <w:rsid w:val="00BE4444"/>
    <w:rsid w:val="00BE48B7"/>
    <w:rsid w:val="00BE4C20"/>
    <w:rsid w:val="00BE53BC"/>
    <w:rsid w:val="00BE5574"/>
    <w:rsid w:val="00BE5CDB"/>
    <w:rsid w:val="00BE5DF3"/>
    <w:rsid w:val="00BE61B0"/>
    <w:rsid w:val="00BE6BFF"/>
    <w:rsid w:val="00BE74B4"/>
    <w:rsid w:val="00BE74D9"/>
    <w:rsid w:val="00BF01E3"/>
    <w:rsid w:val="00BF0B84"/>
    <w:rsid w:val="00BF19A0"/>
    <w:rsid w:val="00BF2280"/>
    <w:rsid w:val="00BF4843"/>
    <w:rsid w:val="00BF4B69"/>
    <w:rsid w:val="00BF5F81"/>
    <w:rsid w:val="00BF6456"/>
    <w:rsid w:val="00BF6462"/>
    <w:rsid w:val="00BF6F8D"/>
    <w:rsid w:val="00BF7738"/>
    <w:rsid w:val="00C00471"/>
    <w:rsid w:val="00C011B3"/>
    <w:rsid w:val="00C014C6"/>
    <w:rsid w:val="00C01839"/>
    <w:rsid w:val="00C01BF8"/>
    <w:rsid w:val="00C02043"/>
    <w:rsid w:val="00C04F50"/>
    <w:rsid w:val="00C05E06"/>
    <w:rsid w:val="00C06FED"/>
    <w:rsid w:val="00C0702F"/>
    <w:rsid w:val="00C076D3"/>
    <w:rsid w:val="00C1041E"/>
    <w:rsid w:val="00C1044E"/>
    <w:rsid w:val="00C10EB9"/>
    <w:rsid w:val="00C11E3B"/>
    <w:rsid w:val="00C1233D"/>
    <w:rsid w:val="00C12AFA"/>
    <w:rsid w:val="00C12E9A"/>
    <w:rsid w:val="00C1412B"/>
    <w:rsid w:val="00C15578"/>
    <w:rsid w:val="00C15648"/>
    <w:rsid w:val="00C16E21"/>
    <w:rsid w:val="00C17244"/>
    <w:rsid w:val="00C2000C"/>
    <w:rsid w:val="00C2020E"/>
    <w:rsid w:val="00C20265"/>
    <w:rsid w:val="00C20ECB"/>
    <w:rsid w:val="00C2112F"/>
    <w:rsid w:val="00C21CA1"/>
    <w:rsid w:val="00C21D7D"/>
    <w:rsid w:val="00C21FB0"/>
    <w:rsid w:val="00C24142"/>
    <w:rsid w:val="00C257EC"/>
    <w:rsid w:val="00C25B6F"/>
    <w:rsid w:val="00C25CA5"/>
    <w:rsid w:val="00C2605E"/>
    <w:rsid w:val="00C2648E"/>
    <w:rsid w:val="00C26B97"/>
    <w:rsid w:val="00C27BE2"/>
    <w:rsid w:val="00C30194"/>
    <w:rsid w:val="00C30F85"/>
    <w:rsid w:val="00C31129"/>
    <w:rsid w:val="00C313E7"/>
    <w:rsid w:val="00C3210B"/>
    <w:rsid w:val="00C34EEE"/>
    <w:rsid w:val="00C3561D"/>
    <w:rsid w:val="00C3654D"/>
    <w:rsid w:val="00C369FE"/>
    <w:rsid w:val="00C410EB"/>
    <w:rsid w:val="00C4196A"/>
    <w:rsid w:val="00C41CF2"/>
    <w:rsid w:val="00C41E47"/>
    <w:rsid w:val="00C42E87"/>
    <w:rsid w:val="00C42F00"/>
    <w:rsid w:val="00C43453"/>
    <w:rsid w:val="00C44924"/>
    <w:rsid w:val="00C45097"/>
    <w:rsid w:val="00C45C93"/>
    <w:rsid w:val="00C461EB"/>
    <w:rsid w:val="00C50077"/>
    <w:rsid w:val="00C51720"/>
    <w:rsid w:val="00C520D7"/>
    <w:rsid w:val="00C52B35"/>
    <w:rsid w:val="00C5372C"/>
    <w:rsid w:val="00C53769"/>
    <w:rsid w:val="00C53EEF"/>
    <w:rsid w:val="00C55CD2"/>
    <w:rsid w:val="00C55E91"/>
    <w:rsid w:val="00C562B4"/>
    <w:rsid w:val="00C56832"/>
    <w:rsid w:val="00C56C08"/>
    <w:rsid w:val="00C57869"/>
    <w:rsid w:val="00C60DF5"/>
    <w:rsid w:val="00C60FED"/>
    <w:rsid w:val="00C627A3"/>
    <w:rsid w:val="00C64C2F"/>
    <w:rsid w:val="00C6528A"/>
    <w:rsid w:val="00C6546A"/>
    <w:rsid w:val="00C66586"/>
    <w:rsid w:val="00C665F2"/>
    <w:rsid w:val="00C6749F"/>
    <w:rsid w:val="00C676D3"/>
    <w:rsid w:val="00C7054B"/>
    <w:rsid w:val="00C71439"/>
    <w:rsid w:val="00C72AE9"/>
    <w:rsid w:val="00C7375A"/>
    <w:rsid w:val="00C74048"/>
    <w:rsid w:val="00C74654"/>
    <w:rsid w:val="00C74775"/>
    <w:rsid w:val="00C74F0F"/>
    <w:rsid w:val="00C754A8"/>
    <w:rsid w:val="00C7556D"/>
    <w:rsid w:val="00C75F55"/>
    <w:rsid w:val="00C76725"/>
    <w:rsid w:val="00C81867"/>
    <w:rsid w:val="00C81AAE"/>
    <w:rsid w:val="00C81EBC"/>
    <w:rsid w:val="00C847AA"/>
    <w:rsid w:val="00C84C3A"/>
    <w:rsid w:val="00C86300"/>
    <w:rsid w:val="00C8679C"/>
    <w:rsid w:val="00C8685C"/>
    <w:rsid w:val="00C87645"/>
    <w:rsid w:val="00C87795"/>
    <w:rsid w:val="00C8788F"/>
    <w:rsid w:val="00C878A2"/>
    <w:rsid w:val="00C93936"/>
    <w:rsid w:val="00C948E7"/>
    <w:rsid w:val="00C963E5"/>
    <w:rsid w:val="00C967BE"/>
    <w:rsid w:val="00C96E4A"/>
    <w:rsid w:val="00C97546"/>
    <w:rsid w:val="00C975A8"/>
    <w:rsid w:val="00C97688"/>
    <w:rsid w:val="00C97773"/>
    <w:rsid w:val="00C9786B"/>
    <w:rsid w:val="00C97D39"/>
    <w:rsid w:val="00CA1482"/>
    <w:rsid w:val="00CA1957"/>
    <w:rsid w:val="00CA2159"/>
    <w:rsid w:val="00CA21E3"/>
    <w:rsid w:val="00CA2ACE"/>
    <w:rsid w:val="00CA3B1F"/>
    <w:rsid w:val="00CA3B41"/>
    <w:rsid w:val="00CA3BA7"/>
    <w:rsid w:val="00CA3D0C"/>
    <w:rsid w:val="00CA7866"/>
    <w:rsid w:val="00CA7F24"/>
    <w:rsid w:val="00CB0C31"/>
    <w:rsid w:val="00CB0D84"/>
    <w:rsid w:val="00CB1580"/>
    <w:rsid w:val="00CB1A38"/>
    <w:rsid w:val="00CB21B3"/>
    <w:rsid w:val="00CB4072"/>
    <w:rsid w:val="00CB484D"/>
    <w:rsid w:val="00CB517A"/>
    <w:rsid w:val="00CB61C9"/>
    <w:rsid w:val="00CB62EE"/>
    <w:rsid w:val="00CB7176"/>
    <w:rsid w:val="00CB730C"/>
    <w:rsid w:val="00CC0F4A"/>
    <w:rsid w:val="00CC0F68"/>
    <w:rsid w:val="00CC22B1"/>
    <w:rsid w:val="00CC2A03"/>
    <w:rsid w:val="00CC2C93"/>
    <w:rsid w:val="00CC2DC4"/>
    <w:rsid w:val="00CC384C"/>
    <w:rsid w:val="00CC3988"/>
    <w:rsid w:val="00CC52C9"/>
    <w:rsid w:val="00CC53F4"/>
    <w:rsid w:val="00CC5AF3"/>
    <w:rsid w:val="00CC68BF"/>
    <w:rsid w:val="00CC6958"/>
    <w:rsid w:val="00CC7C45"/>
    <w:rsid w:val="00CD13B1"/>
    <w:rsid w:val="00CD2107"/>
    <w:rsid w:val="00CD28EC"/>
    <w:rsid w:val="00CD2DC8"/>
    <w:rsid w:val="00CD3D23"/>
    <w:rsid w:val="00CD561D"/>
    <w:rsid w:val="00CD6EF5"/>
    <w:rsid w:val="00CE052C"/>
    <w:rsid w:val="00CE0CE1"/>
    <w:rsid w:val="00CE20E9"/>
    <w:rsid w:val="00CE3DD3"/>
    <w:rsid w:val="00CE4053"/>
    <w:rsid w:val="00CE4954"/>
    <w:rsid w:val="00CE5016"/>
    <w:rsid w:val="00CE596E"/>
    <w:rsid w:val="00CE5FEF"/>
    <w:rsid w:val="00CF1160"/>
    <w:rsid w:val="00CF3482"/>
    <w:rsid w:val="00CF4940"/>
    <w:rsid w:val="00CF4CD4"/>
    <w:rsid w:val="00CF5293"/>
    <w:rsid w:val="00CF72AC"/>
    <w:rsid w:val="00D0011E"/>
    <w:rsid w:val="00D004E5"/>
    <w:rsid w:val="00D0136A"/>
    <w:rsid w:val="00D0142A"/>
    <w:rsid w:val="00D0150B"/>
    <w:rsid w:val="00D0280B"/>
    <w:rsid w:val="00D038D7"/>
    <w:rsid w:val="00D052E6"/>
    <w:rsid w:val="00D05DDB"/>
    <w:rsid w:val="00D073F9"/>
    <w:rsid w:val="00D07DD7"/>
    <w:rsid w:val="00D10717"/>
    <w:rsid w:val="00D1147F"/>
    <w:rsid w:val="00D13DF1"/>
    <w:rsid w:val="00D13EDA"/>
    <w:rsid w:val="00D15061"/>
    <w:rsid w:val="00D15D74"/>
    <w:rsid w:val="00D1722E"/>
    <w:rsid w:val="00D176B7"/>
    <w:rsid w:val="00D20B08"/>
    <w:rsid w:val="00D2261D"/>
    <w:rsid w:val="00D228B8"/>
    <w:rsid w:val="00D24515"/>
    <w:rsid w:val="00D24E61"/>
    <w:rsid w:val="00D2526B"/>
    <w:rsid w:val="00D266A9"/>
    <w:rsid w:val="00D27660"/>
    <w:rsid w:val="00D30E94"/>
    <w:rsid w:val="00D31401"/>
    <w:rsid w:val="00D324DA"/>
    <w:rsid w:val="00D3266B"/>
    <w:rsid w:val="00D32A14"/>
    <w:rsid w:val="00D32B43"/>
    <w:rsid w:val="00D33571"/>
    <w:rsid w:val="00D339A1"/>
    <w:rsid w:val="00D33CFC"/>
    <w:rsid w:val="00D344F3"/>
    <w:rsid w:val="00D3524B"/>
    <w:rsid w:val="00D357A4"/>
    <w:rsid w:val="00D36238"/>
    <w:rsid w:val="00D36EB1"/>
    <w:rsid w:val="00D375AE"/>
    <w:rsid w:val="00D4029D"/>
    <w:rsid w:val="00D44DF2"/>
    <w:rsid w:val="00D44EDE"/>
    <w:rsid w:val="00D451A5"/>
    <w:rsid w:val="00D451C1"/>
    <w:rsid w:val="00D45283"/>
    <w:rsid w:val="00D4541B"/>
    <w:rsid w:val="00D477C3"/>
    <w:rsid w:val="00D47CB0"/>
    <w:rsid w:val="00D47DE7"/>
    <w:rsid w:val="00D51271"/>
    <w:rsid w:val="00D51828"/>
    <w:rsid w:val="00D53179"/>
    <w:rsid w:val="00D53DC5"/>
    <w:rsid w:val="00D5465D"/>
    <w:rsid w:val="00D5517C"/>
    <w:rsid w:val="00D55406"/>
    <w:rsid w:val="00D55E9A"/>
    <w:rsid w:val="00D5615B"/>
    <w:rsid w:val="00D56E84"/>
    <w:rsid w:val="00D60759"/>
    <w:rsid w:val="00D6293F"/>
    <w:rsid w:val="00D662E4"/>
    <w:rsid w:val="00D670D3"/>
    <w:rsid w:val="00D67470"/>
    <w:rsid w:val="00D6792F"/>
    <w:rsid w:val="00D67B99"/>
    <w:rsid w:val="00D67FC9"/>
    <w:rsid w:val="00D709B5"/>
    <w:rsid w:val="00D729D1"/>
    <w:rsid w:val="00D72B2A"/>
    <w:rsid w:val="00D736FB"/>
    <w:rsid w:val="00D73AAF"/>
    <w:rsid w:val="00D73B35"/>
    <w:rsid w:val="00D74B08"/>
    <w:rsid w:val="00D75B0B"/>
    <w:rsid w:val="00D77388"/>
    <w:rsid w:val="00D775D2"/>
    <w:rsid w:val="00D77855"/>
    <w:rsid w:val="00D80D94"/>
    <w:rsid w:val="00D8118D"/>
    <w:rsid w:val="00D82637"/>
    <w:rsid w:val="00D83283"/>
    <w:rsid w:val="00D83860"/>
    <w:rsid w:val="00D83D34"/>
    <w:rsid w:val="00D85155"/>
    <w:rsid w:val="00D85F3F"/>
    <w:rsid w:val="00D86169"/>
    <w:rsid w:val="00D8652F"/>
    <w:rsid w:val="00D86BF7"/>
    <w:rsid w:val="00D875E3"/>
    <w:rsid w:val="00D91421"/>
    <w:rsid w:val="00D91CBD"/>
    <w:rsid w:val="00D926E9"/>
    <w:rsid w:val="00D92B66"/>
    <w:rsid w:val="00D9348C"/>
    <w:rsid w:val="00D93CC1"/>
    <w:rsid w:val="00D93EB9"/>
    <w:rsid w:val="00D942A3"/>
    <w:rsid w:val="00D95384"/>
    <w:rsid w:val="00D9583F"/>
    <w:rsid w:val="00D96C34"/>
    <w:rsid w:val="00D970E9"/>
    <w:rsid w:val="00D97E49"/>
    <w:rsid w:val="00DA073F"/>
    <w:rsid w:val="00DA08BF"/>
    <w:rsid w:val="00DA12F6"/>
    <w:rsid w:val="00DA1419"/>
    <w:rsid w:val="00DA2603"/>
    <w:rsid w:val="00DA2818"/>
    <w:rsid w:val="00DA2876"/>
    <w:rsid w:val="00DA40F8"/>
    <w:rsid w:val="00DA4875"/>
    <w:rsid w:val="00DA4917"/>
    <w:rsid w:val="00DA4E73"/>
    <w:rsid w:val="00DA5117"/>
    <w:rsid w:val="00DA61B6"/>
    <w:rsid w:val="00DA68C1"/>
    <w:rsid w:val="00DA71E0"/>
    <w:rsid w:val="00DA7808"/>
    <w:rsid w:val="00DB2F25"/>
    <w:rsid w:val="00DB35F8"/>
    <w:rsid w:val="00DB57B7"/>
    <w:rsid w:val="00DB67E5"/>
    <w:rsid w:val="00DB68CD"/>
    <w:rsid w:val="00DB73AB"/>
    <w:rsid w:val="00DB761D"/>
    <w:rsid w:val="00DB7C28"/>
    <w:rsid w:val="00DC13F9"/>
    <w:rsid w:val="00DC1D72"/>
    <w:rsid w:val="00DC2E2C"/>
    <w:rsid w:val="00DC4E8F"/>
    <w:rsid w:val="00DC545A"/>
    <w:rsid w:val="00DC585F"/>
    <w:rsid w:val="00DC77F2"/>
    <w:rsid w:val="00DC78DB"/>
    <w:rsid w:val="00DC7F7D"/>
    <w:rsid w:val="00DD028A"/>
    <w:rsid w:val="00DD08C1"/>
    <w:rsid w:val="00DD19C8"/>
    <w:rsid w:val="00DD1BFF"/>
    <w:rsid w:val="00DD2278"/>
    <w:rsid w:val="00DD2ADC"/>
    <w:rsid w:val="00DD4F3E"/>
    <w:rsid w:val="00DD67A9"/>
    <w:rsid w:val="00DD6EA5"/>
    <w:rsid w:val="00DD75C0"/>
    <w:rsid w:val="00DD7C85"/>
    <w:rsid w:val="00DE2574"/>
    <w:rsid w:val="00DE2C5D"/>
    <w:rsid w:val="00DE36B6"/>
    <w:rsid w:val="00DE4BD0"/>
    <w:rsid w:val="00DE58C9"/>
    <w:rsid w:val="00DE58D7"/>
    <w:rsid w:val="00DE62BC"/>
    <w:rsid w:val="00DE7572"/>
    <w:rsid w:val="00DE7BEA"/>
    <w:rsid w:val="00DE7DAF"/>
    <w:rsid w:val="00DF154D"/>
    <w:rsid w:val="00DF16FC"/>
    <w:rsid w:val="00DF19F6"/>
    <w:rsid w:val="00DF376E"/>
    <w:rsid w:val="00DF431A"/>
    <w:rsid w:val="00DF62C6"/>
    <w:rsid w:val="00DF6D21"/>
    <w:rsid w:val="00DF7C00"/>
    <w:rsid w:val="00E00BBD"/>
    <w:rsid w:val="00E01F2F"/>
    <w:rsid w:val="00E02136"/>
    <w:rsid w:val="00E02157"/>
    <w:rsid w:val="00E0219A"/>
    <w:rsid w:val="00E02370"/>
    <w:rsid w:val="00E02392"/>
    <w:rsid w:val="00E02F84"/>
    <w:rsid w:val="00E03E17"/>
    <w:rsid w:val="00E042FF"/>
    <w:rsid w:val="00E05C13"/>
    <w:rsid w:val="00E05C1A"/>
    <w:rsid w:val="00E064CA"/>
    <w:rsid w:val="00E065B2"/>
    <w:rsid w:val="00E06813"/>
    <w:rsid w:val="00E10053"/>
    <w:rsid w:val="00E111E4"/>
    <w:rsid w:val="00E11521"/>
    <w:rsid w:val="00E127AF"/>
    <w:rsid w:val="00E13B47"/>
    <w:rsid w:val="00E15933"/>
    <w:rsid w:val="00E15B99"/>
    <w:rsid w:val="00E16FAA"/>
    <w:rsid w:val="00E171C2"/>
    <w:rsid w:val="00E20598"/>
    <w:rsid w:val="00E20664"/>
    <w:rsid w:val="00E2148E"/>
    <w:rsid w:val="00E21C56"/>
    <w:rsid w:val="00E22425"/>
    <w:rsid w:val="00E23F67"/>
    <w:rsid w:val="00E24926"/>
    <w:rsid w:val="00E24E04"/>
    <w:rsid w:val="00E2580D"/>
    <w:rsid w:val="00E2583C"/>
    <w:rsid w:val="00E2789E"/>
    <w:rsid w:val="00E27F2F"/>
    <w:rsid w:val="00E30294"/>
    <w:rsid w:val="00E315D6"/>
    <w:rsid w:val="00E3258F"/>
    <w:rsid w:val="00E330AB"/>
    <w:rsid w:val="00E3317B"/>
    <w:rsid w:val="00E3386F"/>
    <w:rsid w:val="00E341F0"/>
    <w:rsid w:val="00E350BD"/>
    <w:rsid w:val="00E3540A"/>
    <w:rsid w:val="00E35AE0"/>
    <w:rsid w:val="00E36335"/>
    <w:rsid w:val="00E373B4"/>
    <w:rsid w:val="00E37B5C"/>
    <w:rsid w:val="00E37CF8"/>
    <w:rsid w:val="00E40350"/>
    <w:rsid w:val="00E407AC"/>
    <w:rsid w:val="00E413A5"/>
    <w:rsid w:val="00E41AF8"/>
    <w:rsid w:val="00E4296A"/>
    <w:rsid w:val="00E43380"/>
    <w:rsid w:val="00E44274"/>
    <w:rsid w:val="00E44603"/>
    <w:rsid w:val="00E44F24"/>
    <w:rsid w:val="00E455B4"/>
    <w:rsid w:val="00E46FA7"/>
    <w:rsid w:val="00E46FBA"/>
    <w:rsid w:val="00E47328"/>
    <w:rsid w:val="00E479DF"/>
    <w:rsid w:val="00E505D8"/>
    <w:rsid w:val="00E50B83"/>
    <w:rsid w:val="00E51530"/>
    <w:rsid w:val="00E5252F"/>
    <w:rsid w:val="00E528C6"/>
    <w:rsid w:val="00E52B26"/>
    <w:rsid w:val="00E535BD"/>
    <w:rsid w:val="00E54596"/>
    <w:rsid w:val="00E55578"/>
    <w:rsid w:val="00E56000"/>
    <w:rsid w:val="00E56378"/>
    <w:rsid w:val="00E57208"/>
    <w:rsid w:val="00E57457"/>
    <w:rsid w:val="00E60175"/>
    <w:rsid w:val="00E6160E"/>
    <w:rsid w:val="00E63F00"/>
    <w:rsid w:val="00E642DC"/>
    <w:rsid w:val="00E64E57"/>
    <w:rsid w:val="00E64F71"/>
    <w:rsid w:val="00E64FC2"/>
    <w:rsid w:val="00E65240"/>
    <w:rsid w:val="00E67590"/>
    <w:rsid w:val="00E67A1A"/>
    <w:rsid w:val="00E703B1"/>
    <w:rsid w:val="00E7045C"/>
    <w:rsid w:val="00E718EA"/>
    <w:rsid w:val="00E71A6E"/>
    <w:rsid w:val="00E72E55"/>
    <w:rsid w:val="00E733D4"/>
    <w:rsid w:val="00E74228"/>
    <w:rsid w:val="00E74759"/>
    <w:rsid w:val="00E74A24"/>
    <w:rsid w:val="00E74E48"/>
    <w:rsid w:val="00E76B64"/>
    <w:rsid w:val="00E76BBE"/>
    <w:rsid w:val="00E77101"/>
    <w:rsid w:val="00E808C9"/>
    <w:rsid w:val="00E80943"/>
    <w:rsid w:val="00E8112D"/>
    <w:rsid w:val="00E81135"/>
    <w:rsid w:val="00E8148D"/>
    <w:rsid w:val="00E818C3"/>
    <w:rsid w:val="00E82DCF"/>
    <w:rsid w:val="00E84DC4"/>
    <w:rsid w:val="00E8561A"/>
    <w:rsid w:val="00E8589E"/>
    <w:rsid w:val="00E85DE8"/>
    <w:rsid w:val="00E86672"/>
    <w:rsid w:val="00E86E0C"/>
    <w:rsid w:val="00E87FB1"/>
    <w:rsid w:val="00E900CF"/>
    <w:rsid w:val="00E908C6"/>
    <w:rsid w:val="00E93450"/>
    <w:rsid w:val="00E9372A"/>
    <w:rsid w:val="00E93AFD"/>
    <w:rsid w:val="00E95441"/>
    <w:rsid w:val="00E97970"/>
    <w:rsid w:val="00E979A5"/>
    <w:rsid w:val="00E97C50"/>
    <w:rsid w:val="00EA03D8"/>
    <w:rsid w:val="00EA0DB1"/>
    <w:rsid w:val="00EA507E"/>
    <w:rsid w:val="00EA5747"/>
    <w:rsid w:val="00EA73BA"/>
    <w:rsid w:val="00EA7745"/>
    <w:rsid w:val="00EB0F28"/>
    <w:rsid w:val="00EB1892"/>
    <w:rsid w:val="00EB2336"/>
    <w:rsid w:val="00EB3B2C"/>
    <w:rsid w:val="00EB3F96"/>
    <w:rsid w:val="00EB3FA2"/>
    <w:rsid w:val="00EB4281"/>
    <w:rsid w:val="00EB4A81"/>
    <w:rsid w:val="00EB5264"/>
    <w:rsid w:val="00EB52AE"/>
    <w:rsid w:val="00EB60D0"/>
    <w:rsid w:val="00EC03D2"/>
    <w:rsid w:val="00EC0719"/>
    <w:rsid w:val="00EC09D5"/>
    <w:rsid w:val="00EC202F"/>
    <w:rsid w:val="00EC25AB"/>
    <w:rsid w:val="00EC3DF9"/>
    <w:rsid w:val="00EC4F93"/>
    <w:rsid w:val="00EC5679"/>
    <w:rsid w:val="00EC5764"/>
    <w:rsid w:val="00EC5DBE"/>
    <w:rsid w:val="00EC5DE6"/>
    <w:rsid w:val="00EC6C65"/>
    <w:rsid w:val="00ED0FC6"/>
    <w:rsid w:val="00ED1C3D"/>
    <w:rsid w:val="00ED2264"/>
    <w:rsid w:val="00ED23A2"/>
    <w:rsid w:val="00ED2B1D"/>
    <w:rsid w:val="00ED412E"/>
    <w:rsid w:val="00ED41A8"/>
    <w:rsid w:val="00ED44D2"/>
    <w:rsid w:val="00ED452D"/>
    <w:rsid w:val="00ED5035"/>
    <w:rsid w:val="00ED5703"/>
    <w:rsid w:val="00ED5DD6"/>
    <w:rsid w:val="00ED6AF2"/>
    <w:rsid w:val="00ED7BC1"/>
    <w:rsid w:val="00EE04D4"/>
    <w:rsid w:val="00EE0C71"/>
    <w:rsid w:val="00EE29BE"/>
    <w:rsid w:val="00EE3C34"/>
    <w:rsid w:val="00EE3CDA"/>
    <w:rsid w:val="00EF038F"/>
    <w:rsid w:val="00EF07C3"/>
    <w:rsid w:val="00EF1944"/>
    <w:rsid w:val="00EF26AE"/>
    <w:rsid w:val="00EF27B5"/>
    <w:rsid w:val="00EF43EA"/>
    <w:rsid w:val="00EF493E"/>
    <w:rsid w:val="00EF607A"/>
    <w:rsid w:val="00EF6331"/>
    <w:rsid w:val="00EF6482"/>
    <w:rsid w:val="00EF71FF"/>
    <w:rsid w:val="00EF773B"/>
    <w:rsid w:val="00F00241"/>
    <w:rsid w:val="00F00777"/>
    <w:rsid w:val="00F01AED"/>
    <w:rsid w:val="00F02876"/>
    <w:rsid w:val="00F06185"/>
    <w:rsid w:val="00F064C3"/>
    <w:rsid w:val="00F109A7"/>
    <w:rsid w:val="00F10BFD"/>
    <w:rsid w:val="00F10D7E"/>
    <w:rsid w:val="00F11D60"/>
    <w:rsid w:val="00F12451"/>
    <w:rsid w:val="00F12F74"/>
    <w:rsid w:val="00F1303C"/>
    <w:rsid w:val="00F132E8"/>
    <w:rsid w:val="00F14FD4"/>
    <w:rsid w:val="00F15550"/>
    <w:rsid w:val="00F15E8D"/>
    <w:rsid w:val="00F175AF"/>
    <w:rsid w:val="00F205FB"/>
    <w:rsid w:val="00F20DD7"/>
    <w:rsid w:val="00F21CF8"/>
    <w:rsid w:val="00F22A61"/>
    <w:rsid w:val="00F2357B"/>
    <w:rsid w:val="00F23602"/>
    <w:rsid w:val="00F236DC"/>
    <w:rsid w:val="00F2464A"/>
    <w:rsid w:val="00F247BC"/>
    <w:rsid w:val="00F2482C"/>
    <w:rsid w:val="00F25233"/>
    <w:rsid w:val="00F25CBC"/>
    <w:rsid w:val="00F25EAF"/>
    <w:rsid w:val="00F26AC0"/>
    <w:rsid w:val="00F2719D"/>
    <w:rsid w:val="00F27940"/>
    <w:rsid w:val="00F27A13"/>
    <w:rsid w:val="00F27FA1"/>
    <w:rsid w:val="00F3032E"/>
    <w:rsid w:val="00F3124A"/>
    <w:rsid w:val="00F313E8"/>
    <w:rsid w:val="00F31EFE"/>
    <w:rsid w:val="00F3277D"/>
    <w:rsid w:val="00F32822"/>
    <w:rsid w:val="00F3329B"/>
    <w:rsid w:val="00F33D35"/>
    <w:rsid w:val="00F340F0"/>
    <w:rsid w:val="00F343CC"/>
    <w:rsid w:val="00F34F38"/>
    <w:rsid w:val="00F350F7"/>
    <w:rsid w:val="00F35253"/>
    <w:rsid w:val="00F36405"/>
    <w:rsid w:val="00F36950"/>
    <w:rsid w:val="00F371E7"/>
    <w:rsid w:val="00F3733F"/>
    <w:rsid w:val="00F3738F"/>
    <w:rsid w:val="00F37625"/>
    <w:rsid w:val="00F40055"/>
    <w:rsid w:val="00F41E87"/>
    <w:rsid w:val="00F42120"/>
    <w:rsid w:val="00F428F8"/>
    <w:rsid w:val="00F43B83"/>
    <w:rsid w:val="00F44EBF"/>
    <w:rsid w:val="00F45EB3"/>
    <w:rsid w:val="00F47502"/>
    <w:rsid w:val="00F47697"/>
    <w:rsid w:val="00F517F3"/>
    <w:rsid w:val="00F520B3"/>
    <w:rsid w:val="00F53132"/>
    <w:rsid w:val="00F531DC"/>
    <w:rsid w:val="00F538EF"/>
    <w:rsid w:val="00F53F88"/>
    <w:rsid w:val="00F54274"/>
    <w:rsid w:val="00F5456A"/>
    <w:rsid w:val="00F545FC"/>
    <w:rsid w:val="00F547FE"/>
    <w:rsid w:val="00F54E12"/>
    <w:rsid w:val="00F56446"/>
    <w:rsid w:val="00F573F1"/>
    <w:rsid w:val="00F57AF7"/>
    <w:rsid w:val="00F57CAC"/>
    <w:rsid w:val="00F61B21"/>
    <w:rsid w:val="00F61FFC"/>
    <w:rsid w:val="00F625CA"/>
    <w:rsid w:val="00F62A93"/>
    <w:rsid w:val="00F62AF9"/>
    <w:rsid w:val="00F62C6B"/>
    <w:rsid w:val="00F62CDB"/>
    <w:rsid w:val="00F62F06"/>
    <w:rsid w:val="00F644AD"/>
    <w:rsid w:val="00F646BE"/>
    <w:rsid w:val="00F64FF5"/>
    <w:rsid w:val="00F66320"/>
    <w:rsid w:val="00F663A8"/>
    <w:rsid w:val="00F66A76"/>
    <w:rsid w:val="00F674BA"/>
    <w:rsid w:val="00F6767A"/>
    <w:rsid w:val="00F67E6A"/>
    <w:rsid w:val="00F70A48"/>
    <w:rsid w:val="00F70BAD"/>
    <w:rsid w:val="00F71668"/>
    <w:rsid w:val="00F73140"/>
    <w:rsid w:val="00F74364"/>
    <w:rsid w:val="00F74666"/>
    <w:rsid w:val="00F751A4"/>
    <w:rsid w:val="00F7568A"/>
    <w:rsid w:val="00F77C1A"/>
    <w:rsid w:val="00F81073"/>
    <w:rsid w:val="00F812E4"/>
    <w:rsid w:val="00F815BB"/>
    <w:rsid w:val="00F825C9"/>
    <w:rsid w:val="00F8344B"/>
    <w:rsid w:val="00F83C40"/>
    <w:rsid w:val="00F83EEA"/>
    <w:rsid w:val="00F8461A"/>
    <w:rsid w:val="00F84BEC"/>
    <w:rsid w:val="00F852BE"/>
    <w:rsid w:val="00F8731D"/>
    <w:rsid w:val="00F87CAF"/>
    <w:rsid w:val="00F87FA4"/>
    <w:rsid w:val="00F90063"/>
    <w:rsid w:val="00F90A3D"/>
    <w:rsid w:val="00F90EC0"/>
    <w:rsid w:val="00F91222"/>
    <w:rsid w:val="00F92352"/>
    <w:rsid w:val="00F9267B"/>
    <w:rsid w:val="00F93B7A"/>
    <w:rsid w:val="00F94ACE"/>
    <w:rsid w:val="00F94AE5"/>
    <w:rsid w:val="00F94C20"/>
    <w:rsid w:val="00F94EAF"/>
    <w:rsid w:val="00F96581"/>
    <w:rsid w:val="00F96AF2"/>
    <w:rsid w:val="00F96F50"/>
    <w:rsid w:val="00F970A7"/>
    <w:rsid w:val="00F9738D"/>
    <w:rsid w:val="00FA1622"/>
    <w:rsid w:val="00FA1A3F"/>
    <w:rsid w:val="00FA2228"/>
    <w:rsid w:val="00FA2A03"/>
    <w:rsid w:val="00FA57BD"/>
    <w:rsid w:val="00FA59C4"/>
    <w:rsid w:val="00FA59C6"/>
    <w:rsid w:val="00FA5A3F"/>
    <w:rsid w:val="00FA5B04"/>
    <w:rsid w:val="00FA5F7E"/>
    <w:rsid w:val="00FA6AEF"/>
    <w:rsid w:val="00FB0167"/>
    <w:rsid w:val="00FB0EBB"/>
    <w:rsid w:val="00FB10F6"/>
    <w:rsid w:val="00FB13A2"/>
    <w:rsid w:val="00FB15EB"/>
    <w:rsid w:val="00FB19EB"/>
    <w:rsid w:val="00FB3A29"/>
    <w:rsid w:val="00FB41AF"/>
    <w:rsid w:val="00FB47DE"/>
    <w:rsid w:val="00FB4A1C"/>
    <w:rsid w:val="00FB60CC"/>
    <w:rsid w:val="00FB60FB"/>
    <w:rsid w:val="00FB6635"/>
    <w:rsid w:val="00FB6B37"/>
    <w:rsid w:val="00FB7510"/>
    <w:rsid w:val="00FC111B"/>
    <w:rsid w:val="00FC1DE5"/>
    <w:rsid w:val="00FC206B"/>
    <w:rsid w:val="00FC23C7"/>
    <w:rsid w:val="00FC2710"/>
    <w:rsid w:val="00FC3E40"/>
    <w:rsid w:val="00FC3FB7"/>
    <w:rsid w:val="00FC4378"/>
    <w:rsid w:val="00FC52C1"/>
    <w:rsid w:val="00FC5A6D"/>
    <w:rsid w:val="00FC5B2A"/>
    <w:rsid w:val="00FC65D0"/>
    <w:rsid w:val="00FC772C"/>
    <w:rsid w:val="00FC7DB1"/>
    <w:rsid w:val="00FD0284"/>
    <w:rsid w:val="00FD0BC0"/>
    <w:rsid w:val="00FD1078"/>
    <w:rsid w:val="00FD12DB"/>
    <w:rsid w:val="00FD1306"/>
    <w:rsid w:val="00FD3713"/>
    <w:rsid w:val="00FD4587"/>
    <w:rsid w:val="00FD57E2"/>
    <w:rsid w:val="00FD5B9B"/>
    <w:rsid w:val="00FD66DD"/>
    <w:rsid w:val="00FD6921"/>
    <w:rsid w:val="00FD77C2"/>
    <w:rsid w:val="00FE175F"/>
    <w:rsid w:val="00FE1F8E"/>
    <w:rsid w:val="00FE2ED7"/>
    <w:rsid w:val="00FE329D"/>
    <w:rsid w:val="00FE34B0"/>
    <w:rsid w:val="00FE3AFB"/>
    <w:rsid w:val="00FE3E6F"/>
    <w:rsid w:val="00FE400F"/>
    <w:rsid w:val="00FE4187"/>
    <w:rsid w:val="00FE58C5"/>
    <w:rsid w:val="00FE5ADE"/>
    <w:rsid w:val="00FE5C0B"/>
    <w:rsid w:val="00FE5E79"/>
    <w:rsid w:val="00FE788D"/>
    <w:rsid w:val="00FE797F"/>
    <w:rsid w:val="00FF052C"/>
    <w:rsid w:val="00FF05CB"/>
    <w:rsid w:val="00FF1B26"/>
    <w:rsid w:val="00FF211E"/>
    <w:rsid w:val="00FF27FB"/>
    <w:rsid w:val="00FF31B0"/>
    <w:rsid w:val="00FF3E5C"/>
    <w:rsid w:val="00FF4658"/>
    <w:rsid w:val="00FF473D"/>
    <w:rsid w:val="00FF4E8A"/>
    <w:rsid w:val="00FF556A"/>
    <w:rsid w:val="00FF5D50"/>
    <w:rsid w:val="00FF609F"/>
    <w:rsid w:val="00FF6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08FD0"/>
  <w15:docId w15:val="{A3C56C42-C2BB-4C69-A941-45FEB851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2501"/>
    <w:pPr>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573F1"/>
    <w:pPr>
      <w:tabs>
        <w:tab w:val="center" w:pos="4536"/>
        <w:tab w:val="right" w:pos="9072"/>
      </w:tabs>
    </w:pPr>
  </w:style>
  <w:style w:type="character" w:customStyle="1" w:styleId="ZhlavChar">
    <w:name w:val="Záhlaví Char"/>
    <w:basedOn w:val="Standardnpsmoodstavce"/>
    <w:link w:val="Zhlav"/>
    <w:uiPriority w:val="99"/>
    <w:rsid w:val="00F573F1"/>
  </w:style>
  <w:style w:type="paragraph" w:styleId="Zpat">
    <w:name w:val="footer"/>
    <w:basedOn w:val="Normln"/>
    <w:link w:val="ZpatChar"/>
    <w:uiPriority w:val="99"/>
    <w:unhideWhenUsed/>
    <w:rsid w:val="00F573F1"/>
    <w:pPr>
      <w:tabs>
        <w:tab w:val="center" w:pos="4536"/>
        <w:tab w:val="right" w:pos="9072"/>
      </w:tabs>
    </w:pPr>
  </w:style>
  <w:style w:type="character" w:customStyle="1" w:styleId="ZpatChar">
    <w:name w:val="Zápatí Char"/>
    <w:basedOn w:val="Standardnpsmoodstavce"/>
    <w:link w:val="Zpat"/>
    <w:uiPriority w:val="99"/>
    <w:rsid w:val="00F573F1"/>
  </w:style>
  <w:style w:type="paragraph" w:customStyle="1" w:styleId="Standard">
    <w:name w:val="Standard"/>
    <w:rsid w:val="00F573F1"/>
    <w:pPr>
      <w:suppressAutoHyphens/>
      <w:autoSpaceDN w:val="0"/>
      <w:spacing w:after="0" w:line="240" w:lineRule="auto"/>
      <w:jc w:val="both"/>
      <w:textAlignment w:val="baseline"/>
    </w:pPr>
    <w:rPr>
      <w:rFonts w:ascii="Arial" w:eastAsia="Times New Roman" w:hAnsi="Arial" w:cs="Arial Unicode MS"/>
      <w:kern w:val="3"/>
      <w:sz w:val="18"/>
      <w:szCs w:val="20"/>
      <w:lang w:eastAsia="zh-CN" w:bidi="hi-IN"/>
    </w:rPr>
  </w:style>
  <w:style w:type="character" w:styleId="Hypertextovodkaz">
    <w:name w:val="Hyperlink"/>
    <w:basedOn w:val="Standardnpsmoodstavce"/>
    <w:uiPriority w:val="99"/>
    <w:rsid w:val="005A2501"/>
    <w:rPr>
      <w:rFonts w:cs="Times New Roman"/>
      <w:color w:val="0000FF"/>
      <w:u w:val="single"/>
    </w:rPr>
  </w:style>
  <w:style w:type="paragraph" w:styleId="Normlnweb">
    <w:name w:val="Normal (Web)"/>
    <w:basedOn w:val="Normln"/>
    <w:uiPriority w:val="99"/>
    <w:rsid w:val="005A2501"/>
    <w:pPr>
      <w:overflowPunct/>
      <w:autoSpaceDE/>
      <w:autoSpaceDN/>
      <w:adjustRightInd/>
      <w:spacing w:before="100" w:beforeAutospacing="1" w:after="100" w:afterAutospacing="1"/>
      <w:jc w:val="left"/>
      <w:textAlignment w:val="auto"/>
    </w:pPr>
    <w:rPr>
      <w:rFonts w:ascii="Times New Roman" w:eastAsia="Calibri" w:hAnsi="Times New Roman"/>
      <w:sz w:val="24"/>
      <w:szCs w:val="24"/>
    </w:rPr>
  </w:style>
  <w:style w:type="paragraph" w:styleId="Odstavecseseznamem">
    <w:name w:val="List Paragraph"/>
    <w:basedOn w:val="Normln"/>
    <w:uiPriority w:val="34"/>
    <w:qFormat/>
    <w:rsid w:val="00517111"/>
    <w:pPr>
      <w:ind w:left="720"/>
      <w:contextualSpacing/>
    </w:pPr>
  </w:style>
  <w:style w:type="paragraph" w:styleId="Textbubliny">
    <w:name w:val="Balloon Text"/>
    <w:basedOn w:val="Normln"/>
    <w:link w:val="TextbublinyChar"/>
    <w:uiPriority w:val="99"/>
    <w:semiHidden/>
    <w:unhideWhenUsed/>
    <w:rsid w:val="009139AF"/>
    <w:rPr>
      <w:rFonts w:cs="Arial"/>
      <w:szCs w:val="18"/>
    </w:rPr>
  </w:style>
  <w:style w:type="character" w:customStyle="1" w:styleId="TextbublinyChar">
    <w:name w:val="Text bubliny Char"/>
    <w:basedOn w:val="Standardnpsmoodstavce"/>
    <w:link w:val="Textbubliny"/>
    <w:uiPriority w:val="99"/>
    <w:semiHidden/>
    <w:rsid w:val="009139AF"/>
    <w:rPr>
      <w:rFonts w:ascii="Arial" w:eastAsia="Times New Roman" w:hAnsi="Arial" w:cs="Arial"/>
      <w:sz w:val="18"/>
      <w:szCs w:val="18"/>
      <w:lang w:eastAsia="cs-CZ"/>
    </w:rPr>
  </w:style>
  <w:style w:type="character" w:styleId="Odkaznakoment">
    <w:name w:val="annotation reference"/>
    <w:basedOn w:val="Standardnpsmoodstavce"/>
    <w:uiPriority w:val="99"/>
    <w:semiHidden/>
    <w:unhideWhenUsed/>
    <w:rsid w:val="00EA5747"/>
    <w:rPr>
      <w:sz w:val="16"/>
      <w:szCs w:val="16"/>
    </w:rPr>
  </w:style>
  <w:style w:type="paragraph" w:styleId="Textkomente">
    <w:name w:val="annotation text"/>
    <w:basedOn w:val="Normln"/>
    <w:link w:val="TextkomenteChar"/>
    <w:uiPriority w:val="99"/>
    <w:unhideWhenUsed/>
    <w:rsid w:val="00EA5747"/>
    <w:rPr>
      <w:sz w:val="20"/>
    </w:rPr>
  </w:style>
  <w:style w:type="character" w:customStyle="1" w:styleId="TextkomenteChar">
    <w:name w:val="Text komentáře Char"/>
    <w:basedOn w:val="Standardnpsmoodstavce"/>
    <w:link w:val="Textkomente"/>
    <w:uiPriority w:val="99"/>
    <w:rsid w:val="00EA574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A5747"/>
    <w:rPr>
      <w:b/>
      <w:bCs/>
    </w:rPr>
  </w:style>
  <w:style w:type="character" w:customStyle="1" w:styleId="PedmtkomenteChar">
    <w:name w:val="Předmět komentáře Char"/>
    <w:basedOn w:val="TextkomenteChar"/>
    <w:link w:val="Pedmtkomente"/>
    <w:uiPriority w:val="99"/>
    <w:semiHidden/>
    <w:rsid w:val="00EA5747"/>
    <w:rPr>
      <w:rFonts w:ascii="Arial" w:eastAsia="Times New Roman" w:hAnsi="Arial" w:cs="Times New Roman"/>
      <w:b/>
      <w:bCs/>
      <w:sz w:val="20"/>
      <w:szCs w:val="20"/>
      <w:lang w:eastAsia="cs-CZ"/>
    </w:rPr>
  </w:style>
  <w:style w:type="paragraph" w:styleId="Revize">
    <w:name w:val="Revision"/>
    <w:hidden/>
    <w:uiPriority w:val="99"/>
    <w:semiHidden/>
    <w:rsid w:val="0046651A"/>
    <w:pPr>
      <w:spacing w:after="0" w:line="240" w:lineRule="auto"/>
    </w:pPr>
    <w:rPr>
      <w:rFonts w:ascii="Arial" w:eastAsia="Times New Roman" w:hAnsi="Arial" w:cs="Times New Roman"/>
      <w:sz w:val="18"/>
      <w:szCs w:val="20"/>
      <w:lang w:eastAsia="cs-CZ"/>
    </w:rPr>
  </w:style>
  <w:style w:type="character" w:styleId="Siln">
    <w:name w:val="Strong"/>
    <w:basedOn w:val="Standardnpsmoodstavce"/>
    <w:uiPriority w:val="22"/>
    <w:qFormat/>
    <w:rsid w:val="00C12AFA"/>
    <w:rPr>
      <w:b/>
      <w:bCs/>
    </w:rPr>
  </w:style>
  <w:style w:type="paragraph" w:customStyle="1" w:styleId="THnorm">
    <w:name w:val="TH norm"/>
    <w:basedOn w:val="Normln"/>
    <w:rsid w:val="006A7BEA"/>
    <w:pPr>
      <w:tabs>
        <w:tab w:val="left" w:pos="0"/>
      </w:tabs>
      <w:overflowPunct/>
      <w:autoSpaceDE/>
      <w:autoSpaceDN/>
      <w:adjustRightInd/>
      <w:spacing w:after="120"/>
      <w:ind w:firstLine="709"/>
      <w:textAlignment w:val="auto"/>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9968AC"/>
    <w:rPr>
      <w:color w:val="605E5C"/>
      <w:shd w:val="clear" w:color="auto" w:fill="E1DFDD"/>
    </w:rPr>
  </w:style>
  <w:style w:type="character" w:styleId="Sledovanodkaz">
    <w:name w:val="FollowedHyperlink"/>
    <w:basedOn w:val="Standardnpsmoodstavce"/>
    <w:uiPriority w:val="99"/>
    <w:semiHidden/>
    <w:unhideWhenUsed/>
    <w:rsid w:val="000444EA"/>
    <w:rPr>
      <w:color w:val="954F72" w:themeColor="followedHyperlink"/>
      <w:u w:val="single"/>
    </w:rPr>
  </w:style>
  <w:style w:type="character" w:customStyle="1" w:styleId="Nevyeenzmnka2">
    <w:name w:val="Nevyřešená zmínka2"/>
    <w:basedOn w:val="Standardnpsmoodstavce"/>
    <w:uiPriority w:val="99"/>
    <w:semiHidden/>
    <w:unhideWhenUsed/>
    <w:rsid w:val="005A0ACF"/>
    <w:rPr>
      <w:color w:val="605E5C"/>
      <w:shd w:val="clear" w:color="auto" w:fill="E1DFDD"/>
    </w:rPr>
  </w:style>
  <w:style w:type="character" w:styleId="Nevyeenzmnka">
    <w:name w:val="Unresolved Mention"/>
    <w:basedOn w:val="Standardnpsmoodstavce"/>
    <w:uiPriority w:val="99"/>
    <w:semiHidden/>
    <w:unhideWhenUsed/>
    <w:rsid w:val="00BA19E0"/>
    <w:rPr>
      <w:color w:val="605E5C"/>
      <w:shd w:val="clear" w:color="auto" w:fill="E1DFDD"/>
    </w:rPr>
  </w:style>
  <w:style w:type="table" w:styleId="Mkatabulky">
    <w:name w:val="Table Grid"/>
    <w:basedOn w:val="Normlntabulka"/>
    <w:uiPriority w:val="39"/>
    <w:rsid w:val="00012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6F7BDA"/>
    <w:rPr>
      <w:sz w:val="20"/>
    </w:rPr>
  </w:style>
  <w:style w:type="character" w:customStyle="1" w:styleId="TextpoznpodarouChar">
    <w:name w:val="Text pozn. pod čarou Char"/>
    <w:basedOn w:val="Standardnpsmoodstavce"/>
    <w:link w:val="Textpoznpodarou"/>
    <w:uiPriority w:val="99"/>
    <w:semiHidden/>
    <w:rsid w:val="006F7BDA"/>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6F7BDA"/>
    <w:rPr>
      <w:vertAlign w:val="superscript"/>
    </w:rPr>
  </w:style>
  <w:style w:type="paragraph" w:customStyle="1" w:styleId="xmsonormal">
    <w:name w:val="xmsonormal"/>
    <w:basedOn w:val="Normln"/>
    <w:rsid w:val="00051022"/>
    <w:pPr>
      <w:overflowPunct/>
      <w:autoSpaceDE/>
      <w:autoSpaceDN/>
      <w:adjustRightInd/>
      <w:spacing w:before="100" w:beforeAutospacing="1" w:after="100" w:afterAutospacing="1"/>
      <w:jc w:val="left"/>
      <w:textAlignment w:val="auto"/>
    </w:pPr>
    <w:rPr>
      <w:rFonts w:ascii="Calibri" w:eastAsia="Calibri" w:hAnsi="Calibri" w:cs="Calibri"/>
      <w:sz w:val="22"/>
      <w:szCs w:val="22"/>
    </w:rPr>
  </w:style>
  <w:style w:type="character" w:customStyle="1" w:styleId="xpk-token">
    <w:name w:val="xpk-token"/>
    <w:basedOn w:val="Standardnpsmoodstavce"/>
    <w:rsid w:val="00051022"/>
  </w:style>
  <w:style w:type="paragraph" w:customStyle="1" w:styleId="xmsonormal0">
    <w:name w:val="x_msonormal"/>
    <w:basedOn w:val="Normln"/>
    <w:rsid w:val="00162D23"/>
    <w:pPr>
      <w:overflowPunct/>
      <w:autoSpaceDE/>
      <w:autoSpaceDN/>
      <w:adjustRightInd/>
      <w:jc w:val="left"/>
      <w:textAlignment w:val="auto"/>
    </w:pPr>
    <w:rPr>
      <w:rFonts w:ascii="Calibri" w:eastAsiaTheme="minorHAnsi" w:hAnsi="Calibri" w:cs="Calibri"/>
      <w:sz w:val="22"/>
      <w:szCs w:val="22"/>
    </w:rPr>
  </w:style>
  <w:style w:type="paragraph" w:styleId="Textvysvtlivek">
    <w:name w:val="endnote text"/>
    <w:basedOn w:val="Normln"/>
    <w:link w:val="TextvysvtlivekChar"/>
    <w:uiPriority w:val="99"/>
    <w:semiHidden/>
    <w:unhideWhenUsed/>
    <w:rsid w:val="00AA4A27"/>
    <w:rPr>
      <w:sz w:val="20"/>
    </w:rPr>
  </w:style>
  <w:style w:type="character" w:customStyle="1" w:styleId="TextvysvtlivekChar">
    <w:name w:val="Text vysvětlivek Char"/>
    <w:basedOn w:val="Standardnpsmoodstavce"/>
    <w:link w:val="Textvysvtlivek"/>
    <w:uiPriority w:val="99"/>
    <w:semiHidden/>
    <w:rsid w:val="00AA4A27"/>
    <w:rPr>
      <w:rFonts w:ascii="Arial" w:eastAsia="Times New Roman" w:hAnsi="Arial" w:cs="Times New Roman"/>
      <w:sz w:val="20"/>
      <w:szCs w:val="20"/>
      <w:lang w:eastAsia="cs-CZ"/>
    </w:rPr>
  </w:style>
  <w:style w:type="character" w:styleId="Odkaznavysvtlivky">
    <w:name w:val="endnote reference"/>
    <w:basedOn w:val="Standardnpsmoodstavce"/>
    <w:uiPriority w:val="99"/>
    <w:semiHidden/>
    <w:unhideWhenUsed/>
    <w:rsid w:val="00AA4A27"/>
    <w:rPr>
      <w:vertAlign w:val="superscript"/>
    </w:rPr>
  </w:style>
  <w:style w:type="paragraph" w:customStyle="1" w:styleId="CBANadpisvTABULCE">
    <w:name w:val="CBA Nadpis v TABULCE"/>
    <w:basedOn w:val="Normln"/>
    <w:qFormat/>
    <w:rsid w:val="0028530F"/>
    <w:pPr>
      <w:spacing w:before="120" w:after="120"/>
      <w:jc w:val="left"/>
    </w:pPr>
    <w:rPr>
      <w:b/>
      <w:bCs/>
      <w:color w:val="13576B"/>
    </w:rPr>
  </w:style>
  <w:style w:type="paragraph" w:customStyle="1" w:styleId="CBAodstavecvTABULCE">
    <w:name w:val="CBA odstavec v TABULCE"/>
    <w:basedOn w:val="Normln"/>
    <w:qFormat/>
    <w:rsid w:val="0028530F"/>
    <w:pPr>
      <w:spacing w:before="120" w:after="120"/>
      <w:jc w:val="left"/>
    </w:pPr>
    <w:rPr>
      <w:color w:val="13576B"/>
    </w:rPr>
  </w:style>
  <w:style w:type="paragraph" w:styleId="Prosttext">
    <w:name w:val="Plain Text"/>
    <w:basedOn w:val="Normln"/>
    <w:link w:val="ProsttextChar"/>
    <w:uiPriority w:val="99"/>
    <w:semiHidden/>
    <w:unhideWhenUsed/>
    <w:rsid w:val="001177C9"/>
    <w:rPr>
      <w:rFonts w:ascii="Consolas" w:hAnsi="Consolas"/>
      <w:sz w:val="21"/>
      <w:szCs w:val="21"/>
    </w:rPr>
  </w:style>
  <w:style w:type="character" w:customStyle="1" w:styleId="ProsttextChar">
    <w:name w:val="Prostý text Char"/>
    <w:basedOn w:val="Standardnpsmoodstavce"/>
    <w:link w:val="Prosttext"/>
    <w:uiPriority w:val="99"/>
    <w:semiHidden/>
    <w:rsid w:val="001177C9"/>
    <w:rPr>
      <w:rFonts w:ascii="Consolas" w:eastAsia="Times New Roman" w:hAnsi="Consolas" w:cs="Times New Roman"/>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326">
      <w:bodyDiv w:val="1"/>
      <w:marLeft w:val="0"/>
      <w:marRight w:val="0"/>
      <w:marTop w:val="0"/>
      <w:marBottom w:val="0"/>
      <w:divBdr>
        <w:top w:val="none" w:sz="0" w:space="0" w:color="auto"/>
        <w:left w:val="none" w:sz="0" w:space="0" w:color="auto"/>
        <w:bottom w:val="none" w:sz="0" w:space="0" w:color="auto"/>
        <w:right w:val="none" w:sz="0" w:space="0" w:color="auto"/>
      </w:divBdr>
    </w:div>
    <w:div w:id="5329771">
      <w:bodyDiv w:val="1"/>
      <w:marLeft w:val="0"/>
      <w:marRight w:val="0"/>
      <w:marTop w:val="0"/>
      <w:marBottom w:val="0"/>
      <w:divBdr>
        <w:top w:val="none" w:sz="0" w:space="0" w:color="auto"/>
        <w:left w:val="none" w:sz="0" w:space="0" w:color="auto"/>
        <w:bottom w:val="none" w:sz="0" w:space="0" w:color="auto"/>
        <w:right w:val="none" w:sz="0" w:space="0" w:color="auto"/>
      </w:divBdr>
      <w:divsChild>
        <w:div w:id="655306342">
          <w:marLeft w:val="360"/>
          <w:marRight w:val="0"/>
          <w:marTop w:val="200"/>
          <w:marBottom w:val="0"/>
          <w:divBdr>
            <w:top w:val="none" w:sz="0" w:space="0" w:color="auto"/>
            <w:left w:val="none" w:sz="0" w:space="0" w:color="auto"/>
            <w:bottom w:val="none" w:sz="0" w:space="0" w:color="auto"/>
            <w:right w:val="none" w:sz="0" w:space="0" w:color="auto"/>
          </w:divBdr>
        </w:div>
        <w:div w:id="783503361">
          <w:marLeft w:val="360"/>
          <w:marRight w:val="0"/>
          <w:marTop w:val="200"/>
          <w:marBottom w:val="0"/>
          <w:divBdr>
            <w:top w:val="none" w:sz="0" w:space="0" w:color="auto"/>
            <w:left w:val="none" w:sz="0" w:space="0" w:color="auto"/>
            <w:bottom w:val="none" w:sz="0" w:space="0" w:color="auto"/>
            <w:right w:val="none" w:sz="0" w:space="0" w:color="auto"/>
          </w:divBdr>
        </w:div>
        <w:div w:id="987126633">
          <w:marLeft w:val="360"/>
          <w:marRight w:val="0"/>
          <w:marTop w:val="200"/>
          <w:marBottom w:val="0"/>
          <w:divBdr>
            <w:top w:val="none" w:sz="0" w:space="0" w:color="auto"/>
            <w:left w:val="none" w:sz="0" w:space="0" w:color="auto"/>
            <w:bottom w:val="none" w:sz="0" w:space="0" w:color="auto"/>
            <w:right w:val="none" w:sz="0" w:space="0" w:color="auto"/>
          </w:divBdr>
        </w:div>
      </w:divsChild>
    </w:div>
    <w:div w:id="8140468">
      <w:bodyDiv w:val="1"/>
      <w:marLeft w:val="0"/>
      <w:marRight w:val="0"/>
      <w:marTop w:val="0"/>
      <w:marBottom w:val="0"/>
      <w:divBdr>
        <w:top w:val="none" w:sz="0" w:space="0" w:color="auto"/>
        <w:left w:val="none" w:sz="0" w:space="0" w:color="auto"/>
        <w:bottom w:val="none" w:sz="0" w:space="0" w:color="auto"/>
        <w:right w:val="none" w:sz="0" w:space="0" w:color="auto"/>
      </w:divBdr>
    </w:div>
    <w:div w:id="10764336">
      <w:bodyDiv w:val="1"/>
      <w:marLeft w:val="0"/>
      <w:marRight w:val="0"/>
      <w:marTop w:val="0"/>
      <w:marBottom w:val="0"/>
      <w:divBdr>
        <w:top w:val="none" w:sz="0" w:space="0" w:color="auto"/>
        <w:left w:val="none" w:sz="0" w:space="0" w:color="auto"/>
        <w:bottom w:val="none" w:sz="0" w:space="0" w:color="auto"/>
        <w:right w:val="none" w:sz="0" w:space="0" w:color="auto"/>
      </w:divBdr>
    </w:div>
    <w:div w:id="54865042">
      <w:bodyDiv w:val="1"/>
      <w:marLeft w:val="0"/>
      <w:marRight w:val="0"/>
      <w:marTop w:val="0"/>
      <w:marBottom w:val="0"/>
      <w:divBdr>
        <w:top w:val="none" w:sz="0" w:space="0" w:color="auto"/>
        <w:left w:val="none" w:sz="0" w:space="0" w:color="auto"/>
        <w:bottom w:val="none" w:sz="0" w:space="0" w:color="auto"/>
        <w:right w:val="none" w:sz="0" w:space="0" w:color="auto"/>
      </w:divBdr>
    </w:div>
    <w:div w:id="65881925">
      <w:bodyDiv w:val="1"/>
      <w:marLeft w:val="0"/>
      <w:marRight w:val="0"/>
      <w:marTop w:val="0"/>
      <w:marBottom w:val="0"/>
      <w:divBdr>
        <w:top w:val="none" w:sz="0" w:space="0" w:color="auto"/>
        <w:left w:val="none" w:sz="0" w:space="0" w:color="auto"/>
        <w:bottom w:val="none" w:sz="0" w:space="0" w:color="auto"/>
        <w:right w:val="none" w:sz="0" w:space="0" w:color="auto"/>
      </w:divBdr>
    </w:div>
    <w:div w:id="66729864">
      <w:bodyDiv w:val="1"/>
      <w:marLeft w:val="0"/>
      <w:marRight w:val="0"/>
      <w:marTop w:val="0"/>
      <w:marBottom w:val="0"/>
      <w:divBdr>
        <w:top w:val="none" w:sz="0" w:space="0" w:color="auto"/>
        <w:left w:val="none" w:sz="0" w:space="0" w:color="auto"/>
        <w:bottom w:val="none" w:sz="0" w:space="0" w:color="auto"/>
        <w:right w:val="none" w:sz="0" w:space="0" w:color="auto"/>
      </w:divBdr>
    </w:div>
    <w:div w:id="75367933">
      <w:bodyDiv w:val="1"/>
      <w:marLeft w:val="0"/>
      <w:marRight w:val="0"/>
      <w:marTop w:val="0"/>
      <w:marBottom w:val="0"/>
      <w:divBdr>
        <w:top w:val="none" w:sz="0" w:space="0" w:color="auto"/>
        <w:left w:val="none" w:sz="0" w:space="0" w:color="auto"/>
        <w:bottom w:val="none" w:sz="0" w:space="0" w:color="auto"/>
        <w:right w:val="none" w:sz="0" w:space="0" w:color="auto"/>
      </w:divBdr>
    </w:div>
    <w:div w:id="97651239">
      <w:bodyDiv w:val="1"/>
      <w:marLeft w:val="0"/>
      <w:marRight w:val="0"/>
      <w:marTop w:val="0"/>
      <w:marBottom w:val="0"/>
      <w:divBdr>
        <w:top w:val="none" w:sz="0" w:space="0" w:color="auto"/>
        <w:left w:val="none" w:sz="0" w:space="0" w:color="auto"/>
        <w:bottom w:val="none" w:sz="0" w:space="0" w:color="auto"/>
        <w:right w:val="none" w:sz="0" w:space="0" w:color="auto"/>
      </w:divBdr>
    </w:div>
    <w:div w:id="104077534">
      <w:bodyDiv w:val="1"/>
      <w:marLeft w:val="0"/>
      <w:marRight w:val="0"/>
      <w:marTop w:val="0"/>
      <w:marBottom w:val="0"/>
      <w:divBdr>
        <w:top w:val="none" w:sz="0" w:space="0" w:color="auto"/>
        <w:left w:val="none" w:sz="0" w:space="0" w:color="auto"/>
        <w:bottom w:val="none" w:sz="0" w:space="0" w:color="auto"/>
        <w:right w:val="none" w:sz="0" w:space="0" w:color="auto"/>
      </w:divBdr>
    </w:div>
    <w:div w:id="105078644">
      <w:bodyDiv w:val="1"/>
      <w:marLeft w:val="0"/>
      <w:marRight w:val="0"/>
      <w:marTop w:val="0"/>
      <w:marBottom w:val="0"/>
      <w:divBdr>
        <w:top w:val="none" w:sz="0" w:space="0" w:color="auto"/>
        <w:left w:val="none" w:sz="0" w:space="0" w:color="auto"/>
        <w:bottom w:val="none" w:sz="0" w:space="0" w:color="auto"/>
        <w:right w:val="none" w:sz="0" w:space="0" w:color="auto"/>
      </w:divBdr>
    </w:div>
    <w:div w:id="132212633">
      <w:bodyDiv w:val="1"/>
      <w:marLeft w:val="0"/>
      <w:marRight w:val="0"/>
      <w:marTop w:val="0"/>
      <w:marBottom w:val="0"/>
      <w:divBdr>
        <w:top w:val="none" w:sz="0" w:space="0" w:color="auto"/>
        <w:left w:val="none" w:sz="0" w:space="0" w:color="auto"/>
        <w:bottom w:val="none" w:sz="0" w:space="0" w:color="auto"/>
        <w:right w:val="none" w:sz="0" w:space="0" w:color="auto"/>
      </w:divBdr>
    </w:div>
    <w:div w:id="144977189">
      <w:bodyDiv w:val="1"/>
      <w:marLeft w:val="0"/>
      <w:marRight w:val="0"/>
      <w:marTop w:val="0"/>
      <w:marBottom w:val="0"/>
      <w:divBdr>
        <w:top w:val="none" w:sz="0" w:space="0" w:color="auto"/>
        <w:left w:val="none" w:sz="0" w:space="0" w:color="auto"/>
        <w:bottom w:val="none" w:sz="0" w:space="0" w:color="auto"/>
        <w:right w:val="none" w:sz="0" w:space="0" w:color="auto"/>
      </w:divBdr>
    </w:div>
    <w:div w:id="156385367">
      <w:bodyDiv w:val="1"/>
      <w:marLeft w:val="0"/>
      <w:marRight w:val="0"/>
      <w:marTop w:val="0"/>
      <w:marBottom w:val="0"/>
      <w:divBdr>
        <w:top w:val="none" w:sz="0" w:space="0" w:color="auto"/>
        <w:left w:val="none" w:sz="0" w:space="0" w:color="auto"/>
        <w:bottom w:val="none" w:sz="0" w:space="0" w:color="auto"/>
        <w:right w:val="none" w:sz="0" w:space="0" w:color="auto"/>
      </w:divBdr>
    </w:div>
    <w:div w:id="158036286">
      <w:bodyDiv w:val="1"/>
      <w:marLeft w:val="0"/>
      <w:marRight w:val="0"/>
      <w:marTop w:val="0"/>
      <w:marBottom w:val="0"/>
      <w:divBdr>
        <w:top w:val="none" w:sz="0" w:space="0" w:color="auto"/>
        <w:left w:val="none" w:sz="0" w:space="0" w:color="auto"/>
        <w:bottom w:val="none" w:sz="0" w:space="0" w:color="auto"/>
        <w:right w:val="none" w:sz="0" w:space="0" w:color="auto"/>
      </w:divBdr>
    </w:div>
    <w:div w:id="165872005">
      <w:bodyDiv w:val="1"/>
      <w:marLeft w:val="0"/>
      <w:marRight w:val="0"/>
      <w:marTop w:val="0"/>
      <w:marBottom w:val="0"/>
      <w:divBdr>
        <w:top w:val="none" w:sz="0" w:space="0" w:color="auto"/>
        <w:left w:val="none" w:sz="0" w:space="0" w:color="auto"/>
        <w:bottom w:val="none" w:sz="0" w:space="0" w:color="auto"/>
        <w:right w:val="none" w:sz="0" w:space="0" w:color="auto"/>
      </w:divBdr>
      <w:divsChild>
        <w:div w:id="570114465">
          <w:marLeft w:val="360"/>
          <w:marRight w:val="0"/>
          <w:marTop w:val="200"/>
          <w:marBottom w:val="0"/>
          <w:divBdr>
            <w:top w:val="none" w:sz="0" w:space="0" w:color="auto"/>
            <w:left w:val="none" w:sz="0" w:space="0" w:color="auto"/>
            <w:bottom w:val="none" w:sz="0" w:space="0" w:color="auto"/>
            <w:right w:val="none" w:sz="0" w:space="0" w:color="auto"/>
          </w:divBdr>
        </w:div>
        <w:div w:id="1910266459">
          <w:marLeft w:val="360"/>
          <w:marRight w:val="0"/>
          <w:marTop w:val="200"/>
          <w:marBottom w:val="0"/>
          <w:divBdr>
            <w:top w:val="none" w:sz="0" w:space="0" w:color="auto"/>
            <w:left w:val="none" w:sz="0" w:space="0" w:color="auto"/>
            <w:bottom w:val="none" w:sz="0" w:space="0" w:color="auto"/>
            <w:right w:val="none" w:sz="0" w:space="0" w:color="auto"/>
          </w:divBdr>
        </w:div>
        <w:div w:id="178393963">
          <w:marLeft w:val="360"/>
          <w:marRight w:val="0"/>
          <w:marTop w:val="200"/>
          <w:marBottom w:val="0"/>
          <w:divBdr>
            <w:top w:val="none" w:sz="0" w:space="0" w:color="auto"/>
            <w:left w:val="none" w:sz="0" w:space="0" w:color="auto"/>
            <w:bottom w:val="none" w:sz="0" w:space="0" w:color="auto"/>
            <w:right w:val="none" w:sz="0" w:space="0" w:color="auto"/>
          </w:divBdr>
        </w:div>
      </w:divsChild>
    </w:div>
    <w:div w:id="175731695">
      <w:bodyDiv w:val="1"/>
      <w:marLeft w:val="0"/>
      <w:marRight w:val="0"/>
      <w:marTop w:val="0"/>
      <w:marBottom w:val="0"/>
      <w:divBdr>
        <w:top w:val="none" w:sz="0" w:space="0" w:color="auto"/>
        <w:left w:val="none" w:sz="0" w:space="0" w:color="auto"/>
        <w:bottom w:val="none" w:sz="0" w:space="0" w:color="auto"/>
        <w:right w:val="none" w:sz="0" w:space="0" w:color="auto"/>
      </w:divBdr>
      <w:divsChild>
        <w:div w:id="1685135723">
          <w:marLeft w:val="288"/>
          <w:marRight w:val="0"/>
          <w:marTop w:val="360"/>
          <w:marBottom w:val="0"/>
          <w:divBdr>
            <w:top w:val="none" w:sz="0" w:space="0" w:color="auto"/>
            <w:left w:val="none" w:sz="0" w:space="0" w:color="auto"/>
            <w:bottom w:val="none" w:sz="0" w:space="0" w:color="auto"/>
            <w:right w:val="none" w:sz="0" w:space="0" w:color="auto"/>
          </w:divBdr>
        </w:div>
      </w:divsChild>
    </w:div>
    <w:div w:id="180977078">
      <w:bodyDiv w:val="1"/>
      <w:marLeft w:val="0"/>
      <w:marRight w:val="0"/>
      <w:marTop w:val="0"/>
      <w:marBottom w:val="0"/>
      <w:divBdr>
        <w:top w:val="none" w:sz="0" w:space="0" w:color="auto"/>
        <w:left w:val="none" w:sz="0" w:space="0" w:color="auto"/>
        <w:bottom w:val="none" w:sz="0" w:space="0" w:color="auto"/>
        <w:right w:val="none" w:sz="0" w:space="0" w:color="auto"/>
      </w:divBdr>
    </w:div>
    <w:div w:id="184709785">
      <w:bodyDiv w:val="1"/>
      <w:marLeft w:val="0"/>
      <w:marRight w:val="0"/>
      <w:marTop w:val="0"/>
      <w:marBottom w:val="0"/>
      <w:divBdr>
        <w:top w:val="none" w:sz="0" w:space="0" w:color="auto"/>
        <w:left w:val="none" w:sz="0" w:space="0" w:color="auto"/>
        <w:bottom w:val="none" w:sz="0" w:space="0" w:color="auto"/>
        <w:right w:val="none" w:sz="0" w:space="0" w:color="auto"/>
      </w:divBdr>
    </w:div>
    <w:div w:id="211889271">
      <w:bodyDiv w:val="1"/>
      <w:marLeft w:val="0"/>
      <w:marRight w:val="0"/>
      <w:marTop w:val="0"/>
      <w:marBottom w:val="0"/>
      <w:divBdr>
        <w:top w:val="none" w:sz="0" w:space="0" w:color="auto"/>
        <w:left w:val="none" w:sz="0" w:space="0" w:color="auto"/>
        <w:bottom w:val="none" w:sz="0" w:space="0" w:color="auto"/>
        <w:right w:val="none" w:sz="0" w:space="0" w:color="auto"/>
      </w:divBdr>
    </w:div>
    <w:div w:id="212281255">
      <w:bodyDiv w:val="1"/>
      <w:marLeft w:val="0"/>
      <w:marRight w:val="0"/>
      <w:marTop w:val="0"/>
      <w:marBottom w:val="0"/>
      <w:divBdr>
        <w:top w:val="none" w:sz="0" w:space="0" w:color="auto"/>
        <w:left w:val="none" w:sz="0" w:space="0" w:color="auto"/>
        <w:bottom w:val="none" w:sz="0" w:space="0" w:color="auto"/>
        <w:right w:val="none" w:sz="0" w:space="0" w:color="auto"/>
      </w:divBdr>
    </w:div>
    <w:div w:id="212424732">
      <w:bodyDiv w:val="1"/>
      <w:marLeft w:val="0"/>
      <w:marRight w:val="0"/>
      <w:marTop w:val="0"/>
      <w:marBottom w:val="0"/>
      <w:divBdr>
        <w:top w:val="none" w:sz="0" w:space="0" w:color="auto"/>
        <w:left w:val="none" w:sz="0" w:space="0" w:color="auto"/>
        <w:bottom w:val="none" w:sz="0" w:space="0" w:color="auto"/>
        <w:right w:val="none" w:sz="0" w:space="0" w:color="auto"/>
      </w:divBdr>
    </w:div>
    <w:div w:id="213932845">
      <w:bodyDiv w:val="1"/>
      <w:marLeft w:val="0"/>
      <w:marRight w:val="0"/>
      <w:marTop w:val="0"/>
      <w:marBottom w:val="0"/>
      <w:divBdr>
        <w:top w:val="none" w:sz="0" w:space="0" w:color="auto"/>
        <w:left w:val="none" w:sz="0" w:space="0" w:color="auto"/>
        <w:bottom w:val="none" w:sz="0" w:space="0" w:color="auto"/>
        <w:right w:val="none" w:sz="0" w:space="0" w:color="auto"/>
      </w:divBdr>
      <w:divsChild>
        <w:div w:id="417947238">
          <w:marLeft w:val="288"/>
          <w:marRight w:val="0"/>
          <w:marTop w:val="360"/>
          <w:marBottom w:val="0"/>
          <w:divBdr>
            <w:top w:val="none" w:sz="0" w:space="0" w:color="auto"/>
            <w:left w:val="none" w:sz="0" w:space="0" w:color="auto"/>
            <w:bottom w:val="none" w:sz="0" w:space="0" w:color="auto"/>
            <w:right w:val="none" w:sz="0" w:space="0" w:color="auto"/>
          </w:divBdr>
        </w:div>
        <w:div w:id="1857307784">
          <w:marLeft w:val="1080"/>
          <w:marRight w:val="0"/>
          <w:marTop w:val="360"/>
          <w:marBottom w:val="50"/>
          <w:divBdr>
            <w:top w:val="none" w:sz="0" w:space="0" w:color="auto"/>
            <w:left w:val="none" w:sz="0" w:space="0" w:color="auto"/>
            <w:bottom w:val="none" w:sz="0" w:space="0" w:color="auto"/>
            <w:right w:val="none" w:sz="0" w:space="0" w:color="auto"/>
          </w:divBdr>
        </w:div>
        <w:div w:id="116265497">
          <w:marLeft w:val="1080"/>
          <w:marRight w:val="0"/>
          <w:marTop w:val="360"/>
          <w:marBottom w:val="50"/>
          <w:divBdr>
            <w:top w:val="none" w:sz="0" w:space="0" w:color="auto"/>
            <w:left w:val="none" w:sz="0" w:space="0" w:color="auto"/>
            <w:bottom w:val="none" w:sz="0" w:space="0" w:color="auto"/>
            <w:right w:val="none" w:sz="0" w:space="0" w:color="auto"/>
          </w:divBdr>
        </w:div>
        <w:div w:id="1898468414">
          <w:marLeft w:val="288"/>
          <w:marRight w:val="0"/>
          <w:marTop w:val="360"/>
          <w:marBottom w:val="0"/>
          <w:divBdr>
            <w:top w:val="none" w:sz="0" w:space="0" w:color="auto"/>
            <w:left w:val="none" w:sz="0" w:space="0" w:color="auto"/>
            <w:bottom w:val="none" w:sz="0" w:space="0" w:color="auto"/>
            <w:right w:val="none" w:sz="0" w:space="0" w:color="auto"/>
          </w:divBdr>
        </w:div>
        <w:div w:id="1770351847">
          <w:marLeft w:val="288"/>
          <w:marRight w:val="0"/>
          <w:marTop w:val="360"/>
          <w:marBottom w:val="0"/>
          <w:divBdr>
            <w:top w:val="none" w:sz="0" w:space="0" w:color="auto"/>
            <w:left w:val="none" w:sz="0" w:space="0" w:color="auto"/>
            <w:bottom w:val="none" w:sz="0" w:space="0" w:color="auto"/>
            <w:right w:val="none" w:sz="0" w:space="0" w:color="auto"/>
          </w:divBdr>
        </w:div>
        <w:div w:id="201289034">
          <w:marLeft w:val="288"/>
          <w:marRight w:val="0"/>
          <w:marTop w:val="360"/>
          <w:marBottom w:val="0"/>
          <w:divBdr>
            <w:top w:val="none" w:sz="0" w:space="0" w:color="auto"/>
            <w:left w:val="none" w:sz="0" w:space="0" w:color="auto"/>
            <w:bottom w:val="none" w:sz="0" w:space="0" w:color="auto"/>
            <w:right w:val="none" w:sz="0" w:space="0" w:color="auto"/>
          </w:divBdr>
        </w:div>
        <w:div w:id="784738889">
          <w:marLeft w:val="288"/>
          <w:marRight w:val="0"/>
          <w:marTop w:val="360"/>
          <w:marBottom w:val="0"/>
          <w:divBdr>
            <w:top w:val="none" w:sz="0" w:space="0" w:color="auto"/>
            <w:left w:val="none" w:sz="0" w:space="0" w:color="auto"/>
            <w:bottom w:val="none" w:sz="0" w:space="0" w:color="auto"/>
            <w:right w:val="none" w:sz="0" w:space="0" w:color="auto"/>
          </w:divBdr>
        </w:div>
        <w:div w:id="961959719">
          <w:marLeft w:val="288"/>
          <w:marRight w:val="0"/>
          <w:marTop w:val="360"/>
          <w:marBottom w:val="0"/>
          <w:divBdr>
            <w:top w:val="none" w:sz="0" w:space="0" w:color="auto"/>
            <w:left w:val="none" w:sz="0" w:space="0" w:color="auto"/>
            <w:bottom w:val="none" w:sz="0" w:space="0" w:color="auto"/>
            <w:right w:val="none" w:sz="0" w:space="0" w:color="auto"/>
          </w:divBdr>
        </w:div>
      </w:divsChild>
    </w:div>
    <w:div w:id="214389258">
      <w:bodyDiv w:val="1"/>
      <w:marLeft w:val="0"/>
      <w:marRight w:val="0"/>
      <w:marTop w:val="0"/>
      <w:marBottom w:val="0"/>
      <w:divBdr>
        <w:top w:val="none" w:sz="0" w:space="0" w:color="auto"/>
        <w:left w:val="none" w:sz="0" w:space="0" w:color="auto"/>
        <w:bottom w:val="none" w:sz="0" w:space="0" w:color="auto"/>
        <w:right w:val="none" w:sz="0" w:space="0" w:color="auto"/>
      </w:divBdr>
    </w:div>
    <w:div w:id="215168246">
      <w:bodyDiv w:val="1"/>
      <w:marLeft w:val="0"/>
      <w:marRight w:val="0"/>
      <w:marTop w:val="0"/>
      <w:marBottom w:val="0"/>
      <w:divBdr>
        <w:top w:val="none" w:sz="0" w:space="0" w:color="auto"/>
        <w:left w:val="none" w:sz="0" w:space="0" w:color="auto"/>
        <w:bottom w:val="none" w:sz="0" w:space="0" w:color="auto"/>
        <w:right w:val="none" w:sz="0" w:space="0" w:color="auto"/>
      </w:divBdr>
    </w:div>
    <w:div w:id="220482590">
      <w:bodyDiv w:val="1"/>
      <w:marLeft w:val="0"/>
      <w:marRight w:val="0"/>
      <w:marTop w:val="0"/>
      <w:marBottom w:val="0"/>
      <w:divBdr>
        <w:top w:val="none" w:sz="0" w:space="0" w:color="auto"/>
        <w:left w:val="none" w:sz="0" w:space="0" w:color="auto"/>
        <w:bottom w:val="none" w:sz="0" w:space="0" w:color="auto"/>
        <w:right w:val="none" w:sz="0" w:space="0" w:color="auto"/>
      </w:divBdr>
      <w:divsChild>
        <w:div w:id="1975969">
          <w:marLeft w:val="360"/>
          <w:marRight w:val="0"/>
          <w:marTop w:val="200"/>
          <w:marBottom w:val="0"/>
          <w:divBdr>
            <w:top w:val="none" w:sz="0" w:space="0" w:color="auto"/>
            <w:left w:val="none" w:sz="0" w:space="0" w:color="auto"/>
            <w:bottom w:val="none" w:sz="0" w:space="0" w:color="auto"/>
            <w:right w:val="none" w:sz="0" w:space="0" w:color="auto"/>
          </w:divBdr>
        </w:div>
      </w:divsChild>
    </w:div>
    <w:div w:id="223495743">
      <w:bodyDiv w:val="1"/>
      <w:marLeft w:val="0"/>
      <w:marRight w:val="0"/>
      <w:marTop w:val="0"/>
      <w:marBottom w:val="0"/>
      <w:divBdr>
        <w:top w:val="none" w:sz="0" w:space="0" w:color="auto"/>
        <w:left w:val="none" w:sz="0" w:space="0" w:color="auto"/>
        <w:bottom w:val="none" w:sz="0" w:space="0" w:color="auto"/>
        <w:right w:val="none" w:sz="0" w:space="0" w:color="auto"/>
      </w:divBdr>
    </w:div>
    <w:div w:id="231698303">
      <w:bodyDiv w:val="1"/>
      <w:marLeft w:val="0"/>
      <w:marRight w:val="0"/>
      <w:marTop w:val="0"/>
      <w:marBottom w:val="0"/>
      <w:divBdr>
        <w:top w:val="none" w:sz="0" w:space="0" w:color="auto"/>
        <w:left w:val="none" w:sz="0" w:space="0" w:color="auto"/>
        <w:bottom w:val="none" w:sz="0" w:space="0" w:color="auto"/>
        <w:right w:val="none" w:sz="0" w:space="0" w:color="auto"/>
      </w:divBdr>
    </w:div>
    <w:div w:id="236210548">
      <w:bodyDiv w:val="1"/>
      <w:marLeft w:val="0"/>
      <w:marRight w:val="0"/>
      <w:marTop w:val="0"/>
      <w:marBottom w:val="0"/>
      <w:divBdr>
        <w:top w:val="none" w:sz="0" w:space="0" w:color="auto"/>
        <w:left w:val="none" w:sz="0" w:space="0" w:color="auto"/>
        <w:bottom w:val="none" w:sz="0" w:space="0" w:color="auto"/>
        <w:right w:val="none" w:sz="0" w:space="0" w:color="auto"/>
      </w:divBdr>
    </w:div>
    <w:div w:id="253131029">
      <w:bodyDiv w:val="1"/>
      <w:marLeft w:val="0"/>
      <w:marRight w:val="0"/>
      <w:marTop w:val="0"/>
      <w:marBottom w:val="0"/>
      <w:divBdr>
        <w:top w:val="none" w:sz="0" w:space="0" w:color="auto"/>
        <w:left w:val="none" w:sz="0" w:space="0" w:color="auto"/>
        <w:bottom w:val="none" w:sz="0" w:space="0" w:color="auto"/>
        <w:right w:val="none" w:sz="0" w:space="0" w:color="auto"/>
      </w:divBdr>
    </w:div>
    <w:div w:id="294987942">
      <w:bodyDiv w:val="1"/>
      <w:marLeft w:val="0"/>
      <w:marRight w:val="0"/>
      <w:marTop w:val="0"/>
      <w:marBottom w:val="0"/>
      <w:divBdr>
        <w:top w:val="none" w:sz="0" w:space="0" w:color="auto"/>
        <w:left w:val="none" w:sz="0" w:space="0" w:color="auto"/>
        <w:bottom w:val="none" w:sz="0" w:space="0" w:color="auto"/>
        <w:right w:val="none" w:sz="0" w:space="0" w:color="auto"/>
      </w:divBdr>
    </w:div>
    <w:div w:id="304507614">
      <w:bodyDiv w:val="1"/>
      <w:marLeft w:val="0"/>
      <w:marRight w:val="0"/>
      <w:marTop w:val="0"/>
      <w:marBottom w:val="0"/>
      <w:divBdr>
        <w:top w:val="none" w:sz="0" w:space="0" w:color="auto"/>
        <w:left w:val="none" w:sz="0" w:space="0" w:color="auto"/>
        <w:bottom w:val="none" w:sz="0" w:space="0" w:color="auto"/>
        <w:right w:val="none" w:sz="0" w:space="0" w:color="auto"/>
      </w:divBdr>
    </w:div>
    <w:div w:id="313801545">
      <w:bodyDiv w:val="1"/>
      <w:marLeft w:val="0"/>
      <w:marRight w:val="0"/>
      <w:marTop w:val="0"/>
      <w:marBottom w:val="0"/>
      <w:divBdr>
        <w:top w:val="none" w:sz="0" w:space="0" w:color="auto"/>
        <w:left w:val="none" w:sz="0" w:space="0" w:color="auto"/>
        <w:bottom w:val="none" w:sz="0" w:space="0" w:color="auto"/>
        <w:right w:val="none" w:sz="0" w:space="0" w:color="auto"/>
      </w:divBdr>
    </w:div>
    <w:div w:id="331490063">
      <w:bodyDiv w:val="1"/>
      <w:marLeft w:val="0"/>
      <w:marRight w:val="0"/>
      <w:marTop w:val="0"/>
      <w:marBottom w:val="0"/>
      <w:divBdr>
        <w:top w:val="none" w:sz="0" w:space="0" w:color="auto"/>
        <w:left w:val="none" w:sz="0" w:space="0" w:color="auto"/>
        <w:bottom w:val="none" w:sz="0" w:space="0" w:color="auto"/>
        <w:right w:val="none" w:sz="0" w:space="0" w:color="auto"/>
      </w:divBdr>
    </w:div>
    <w:div w:id="334265626">
      <w:bodyDiv w:val="1"/>
      <w:marLeft w:val="0"/>
      <w:marRight w:val="0"/>
      <w:marTop w:val="0"/>
      <w:marBottom w:val="0"/>
      <w:divBdr>
        <w:top w:val="none" w:sz="0" w:space="0" w:color="auto"/>
        <w:left w:val="none" w:sz="0" w:space="0" w:color="auto"/>
        <w:bottom w:val="none" w:sz="0" w:space="0" w:color="auto"/>
        <w:right w:val="none" w:sz="0" w:space="0" w:color="auto"/>
      </w:divBdr>
    </w:div>
    <w:div w:id="343899673">
      <w:bodyDiv w:val="1"/>
      <w:marLeft w:val="0"/>
      <w:marRight w:val="0"/>
      <w:marTop w:val="0"/>
      <w:marBottom w:val="0"/>
      <w:divBdr>
        <w:top w:val="none" w:sz="0" w:space="0" w:color="auto"/>
        <w:left w:val="none" w:sz="0" w:space="0" w:color="auto"/>
        <w:bottom w:val="none" w:sz="0" w:space="0" w:color="auto"/>
        <w:right w:val="none" w:sz="0" w:space="0" w:color="auto"/>
      </w:divBdr>
    </w:div>
    <w:div w:id="358311346">
      <w:bodyDiv w:val="1"/>
      <w:marLeft w:val="0"/>
      <w:marRight w:val="0"/>
      <w:marTop w:val="0"/>
      <w:marBottom w:val="0"/>
      <w:divBdr>
        <w:top w:val="none" w:sz="0" w:space="0" w:color="auto"/>
        <w:left w:val="none" w:sz="0" w:space="0" w:color="auto"/>
        <w:bottom w:val="none" w:sz="0" w:space="0" w:color="auto"/>
        <w:right w:val="none" w:sz="0" w:space="0" w:color="auto"/>
      </w:divBdr>
    </w:div>
    <w:div w:id="372461916">
      <w:bodyDiv w:val="1"/>
      <w:marLeft w:val="0"/>
      <w:marRight w:val="0"/>
      <w:marTop w:val="0"/>
      <w:marBottom w:val="0"/>
      <w:divBdr>
        <w:top w:val="none" w:sz="0" w:space="0" w:color="auto"/>
        <w:left w:val="none" w:sz="0" w:space="0" w:color="auto"/>
        <w:bottom w:val="none" w:sz="0" w:space="0" w:color="auto"/>
        <w:right w:val="none" w:sz="0" w:space="0" w:color="auto"/>
      </w:divBdr>
    </w:div>
    <w:div w:id="376399311">
      <w:bodyDiv w:val="1"/>
      <w:marLeft w:val="0"/>
      <w:marRight w:val="0"/>
      <w:marTop w:val="0"/>
      <w:marBottom w:val="0"/>
      <w:divBdr>
        <w:top w:val="none" w:sz="0" w:space="0" w:color="auto"/>
        <w:left w:val="none" w:sz="0" w:space="0" w:color="auto"/>
        <w:bottom w:val="none" w:sz="0" w:space="0" w:color="auto"/>
        <w:right w:val="none" w:sz="0" w:space="0" w:color="auto"/>
      </w:divBdr>
    </w:div>
    <w:div w:id="383871093">
      <w:bodyDiv w:val="1"/>
      <w:marLeft w:val="0"/>
      <w:marRight w:val="0"/>
      <w:marTop w:val="0"/>
      <w:marBottom w:val="0"/>
      <w:divBdr>
        <w:top w:val="none" w:sz="0" w:space="0" w:color="auto"/>
        <w:left w:val="none" w:sz="0" w:space="0" w:color="auto"/>
        <w:bottom w:val="none" w:sz="0" w:space="0" w:color="auto"/>
        <w:right w:val="none" w:sz="0" w:space="0" w:color="auto"/>
      </w:divBdr>
    </w:div>
    <w:div w:id="386539390">
      <w:bodyDiv w:val="1"/>
      <w:marLeft w:val="0"/>
      <w:marRight w:val="0"/>
      <w:marTop w:val="0"/>
      <w:marBottom w:val="0"/>
      <w:divBdr>
        <w:top w:val="none" w:sz="0" w:space="0" w:color="auto"/>
        <w:left w:val="none" w:sz="0" w:space="0" w:color="auto"/>
        <w:bottom w:val="none" w:sz="0" w:space="0" w:color="auto"/>
        <w:right w:val="none" w:sz="0" w:space="0" w:color="auto"/>
      </w:divBdr>
    </w:div>
    <w:div w:id="408618435">
      <w:bodyDiv w:val="1"/>
      <w:marLeft w:val="0"/>
      <w:marRight w:val="0"/>
      <w:marTop w:val="0"/>
      <w:marBottom w:val="0"/>
      <w:divBdr>
        <w:top w:val="none" w:sz="0" w:space="0" w:color="auto"/>
        <w:left w:val="none" w:sz="0" w:space="0" w:color="auto"/>
        <w:bottom w:val="none" w:sz="0" w:space="0" w:color="auto"/>
        <w:right w:val="none" w:sz="0" w:space="0" w:color="auto"/>
      </w:divBdr>
    </w:div>
    <w:div w:id="411201801">
      <w:bodyDiv w:val="1"/>
      <w:marLeft w:val="0"/>
      <w:marRight w:val="0"/>
      <w:marTop w:val="0"/>
      <w:marBottom w:val="0"/>
      <w:divBdr>
        <w:top w:val="none" w:sz="0" w:space="0" w:color="auto"/>
        <w:left w:val="none" w:sz="0" w:space="0" w:color="auto"/>
        <w:bottom w:val="none" w:sz="0" w:space="0" w:color="auto"/>
        <w:right w:val="none" w:sz="0" w:space="0" w:color="auto"/>
      </w:divBdr>
    </w:div>
    <w:div w:id="411973544">
      <w:bodyDiv w:val="1"/>
      <w:marLeft w:val="0"/>
      <w:marRight w:val="0"/>
      <w:marTop w:val="0"/>
      <w:marBottom w:val="0"/>
      <w:divBdr>
        <w:top w:val="none" w:sz="0" w:space="0" w:color="auto"/>
        <w:left w:val="none" w:sz="0" w:space="0" w:color="auto"/>
        <w:bottom w:val="none" w:sz="0" w:space="0" w:color="auto"/>
        <w:right w:val="none" w:sz="0" w:space="0" w:color="auto"/>
      </w:divBdr>
    </w:div>
    <w:div w:id="420875207">
      <w:bodyDiv w:val="1"/>
      <w:marLeft w:val="0"/>
      <w:marRight w:val="0"/>
      <w:marTop w:val="0"/>
      <w:marBottom w:val="0"/>
      <w:divBdr>
        <w:top w:val="none" w:sz="0" w:space="0" w:color="auto"/>
        <w:left w:val="none" w:sz="0" w:space="0" w:color="auto"/>
        <w:bottom w:val="none" w:sz="0" w:space="0" w:color="auto"/>
        <w:right w:val="none" w:sz="0" w:space="0" w:color="auto"/>
      </w:divBdr>
    </w:div>
    <w:div w:id="421756657">
      <w:bodyDiv w:val="1"/>
      <w:marLeft w:val="0"/>
      <w:marRight w:val="0"/>
      <w:marTop w:val="0"/>
      <w:marBottom w:val="0"/>
      <w:divBdr>
        <w:top w:val="none" w:sz="0" w:space="0" w:color="auto"/>
        <w:left w:val="none" w:sz="0" w:space="0" w:color="auto"/>
        <w:bottom w:val="none" w:sz="0" w:space="0" w:color="auto"/>
        <w:right w:val="none" w:sz="0" w:space="0" w:color="auto"/>
      </w:divBdr>
    </w:div>
    <w:div w:id="426123723">
      <w:bodyDiv w:val="1"/>
      <w:marLeft w:val="0"/>
      <w:marRight w:val="0"/>
      <w:marTop w:val="0"/>
      <w:marBottom w:val="0"/>
      <w:divBdr>
        <w:top w:val="none" w:sz="0" w:space="0" w:color="auto"/>
        <w:left w:val="none" w:sz="0" w:space="0" w:color="auto"/>
        <w:bottom w:val="none" w:sz="0" w:space="0" w:color="auto"/>
        <w:right w:val="none" w:sz="0" w:space="0" w:color="auto"/>
      </w:divBdr>
    </w:div>
    <w:div w:id="430663453">
      <w:bodyDiv w:val="1"/>
      <w:marLeft w:val="0"/>
      <w:marRight w:val="0"/>
      <w:marTop w:val="0"/>
      <w:marBottom w:val="0"/>
      <w:divBdr>
        <w:top w:val="none" w:sz="0" w:space="0" w:color="auto"/>
        <w:left w:val="none" w:sz="0" w:space="0" w:color="auto"/>
        <w:bottom w:val="none" w:sz="0" w:space="0" w:color="auto"/>
        <w:right w:val="none" w:sz="0" w:space="0" w:color="auto"/>
      </w:divBdr>
    </w:div>
    <w:div w:id="443963842">
      <w:bodyDiv w:val="1"/>
      <w:marLeft w:val="0"/>
      <w:marRight w:val="0"/>
      <w:marTop w:val="0"/>
      <w:marBottom w:val="0"/>
      <w:divBdr>
        <w:top w:val="none" w:sz="0" w:space="0" w:color="auto"/>
        <w:left w:val="none" w:sz="0" w:space="0" w:color="auto"/>
        <w:bottom w:val="none" w:sz="0" w:space="0" w:color="auto"/>
        <w:right w:val="none" w:sz="0" w:space="0" w:color="auto"/>
      </w:divBdr>
    </w:div>
    <w:div w:id="448546075">
      <w:bodyDiv w:val="1"/>
      <w:marLeft w:val="0"/>
      <w:marRight w:val="0"/>
      <w:marTop w:val="0"/>
      <w:marBottom w:val="0"/>
      <w:divBdr>
        <w:top w:val="none" w:sz="0" w:space="0" w:color="auto"/>
        <w:left w:val="none" w:sz="0" w:space="0" w:color="auto"/>
        <w:bottom w:val="none" w:sz="0" w:space="0" w:color="auto"/>
        <w:right w:val="none" w:sz="0" w:space="0" w:color="auto"/>
      </w:divBdr>
    </w:div>
    <w:div w:id="467934595">
      <w:bodyDiv w:val="1"/>
      <w:marLeft w:val="0"/>
      <w:marRight w:val="0"/>
      <w:marTop w:val="0"/>
      <w:marBottom w:val="0"/>
      <w:divBdr>
        <w:top w:val="none" w:sz="0" w:space="0" w:color="auto"/>
        <w:left w:val="none" w:sz="0" w:space="0" w:color="auto"/>
        <w:bottom w:val="none" w:sz="0" w:space="0" w:color="auto"/>
        <w:right w:val="none" w:sz="0" w:space="0" w:color="auto"/>
      </w:divBdr>
    </w:div>
    <w:div w:id="507059065">
      <w:bodyDiv w:val="1"/>
      <w:marLeft w:val="0"/>
      <w:marRight w:val="0"/>
      <w:marTop w:val="0"/>
      <w:marBottom w:val="0"/>
      <w:divBdr>
        <w:top w:val="none" w:sz="0" w:space="0" w:color="auto"/>
        <w:left w:val="none" w:sz="0" w:space="0" w:color="auto"/>
        <w:bottom w:val="none" w:sz="0" w:space="0" w:color="auto"/>
        <w:right w:val="none" w:sz="0" w:space="0" w:color="auto"/>
      </w:divBdr>
    </w:div>
    <w:div w:id="512230630">
      <w:bodyDiv w:val="1"/>
      <w:marLeft w:val="0"/>
      <w:marRight w:val="0"/>
      <w:marTop w:val="0"/>
      <w:marBottom w:val="0"/>
      <w:divBdr>
        <w:top w:val="none" w:sz="0" w:space="0" w:color="auto"/>
        <w:left w:val="none" w:sz="0" w:space="0" w:color="auto"/>
        <w:bottom w:val="none" w:sz="0" w:space="0" w:color="auto"/>
        <w:right w:val="none" w:sz="0" w:space="0" w:color="auto"/>
      </w:divBdr>
    </w:div>
    <w:div w:id="513692315">
      <w:bodyDiv w:val="1"/>
      <w:marLeft w:val="0"/>
      <w:marRight w:val="0"/>
      <w:marTop w:val="0"/>
      <w:marBottom w:val="0"/>
      <w:divBdr>
        <w:top w:val="none" w:sz="0" w:space="0" w:color="auto"/>
        <w:left w:val="none" w:sz="0" w:space="0" w:color="auto"/>
        <w:bottom w:val="none" w:sz="0" w:space="0" w:color="auto"/>
        <w:right w:val="none" w:sz="0" w:space="0" w:color="auto"/>
      </w:divBdr>
    </w:div>
    <w:div w:id="529345210">
      <w:bodyDiv w:val="1"/>
      <w:marLeft w:val="0"/>
      <w:marRight w:val="0"/>
      <w:marTop w:val="0"/>
      <w:marBottom w:val="0"/>
      <w:divBdr>
        <w:top w:val="none" w:sz="0" w:space="0" w:color="auto"/>
        <w:left w:val="none" w:sz="0" w:space="0" w:color="auto"/>
        <w:bottom w:val="none" w:sz="0" w:space="0" w:color="auto"/>
        <w:right w:val="none" w:sz="0" w:space="0" w:color="auto"/>
      </w:divBdr>
    </w:div>
    <w:div w:id="530805065">
      <w:bodyDiv w:val="1"/>
      <w:marLeft w:val="0"/>
      <w:marRight w:val="0"/>
      <w:marTop w:val="0"/>
      <w:marBottom w:val="0"/>
      <w:divBdr>
        <w:top w:val="none" w:sz="0" w:space="0" w:color="auto"/>
        <w:left w:val="none" w:sz="0" w:space="0" w:color="auto"/>
        <w:bottom w:val="none" w:sz="0" w:space="0" w:color="auto"/>
        <w:right w:val="none" w:sz="0" w:space="0" w:color="auto"/>
      </w:divBdr>
    </w:div>
    <w:div w:id="534119866">
      <w:bodyDiv w:val="1"/>
      <w:marLeft w:val="0"/>
      <w:marRight w:val="0"/>
      <w:marTop w:val="0"/>
      <w:marBottom w:val="0"/>
      <w:divBdr>
        <w:top w:val="none" w:sz="0" w:space="0" w:color="auto"/>
        <w:left w:val="none" w:sz="0" w:space="0" w:color="auto"/>
        <w:bottom w:val="none" w:sz="0" w:space="0" w:color="auto"/>
        <w:right w:val="none" w:sz="0" w:space="0" w:color="auto"/>
      </w:divBdr>
    </w:div>
    <w:div w:id="541747342">
      <w:bodyDiv w:val="1"/>
      <w:marLeft w:val="0"/>
      <w:marRight w:val="0"/>
      <w:marTop w:val="0"/>
      <w:marBottom w:val="0"/>
      <w:divBdr>
        <w:top w:val="none" w:sz="0" w:space="0" w:color="auto"/>
        <w:left w:val="none" w:sz="0" w:space="0" w:color="auto"/>
        <w:bottom w:val="none" w:sz="0" w:space="0" w:color="auto"/>
        <w:right w:val="none" w:sz="0" w:space="0" w:color="auto"/>
      </w:divBdr>
    </w:div>
    <w:div w:id="547766773">
      <w:bodyDiv w:val="1"/>
      <w:marLeft w:val="0"/>
      <w:marRight w:val="0"/>
      <w:marTop w:val="0"/>
      <w:marBottom w:val="0"/>
      <w:divBdr>
        <w:top w:val="none" w:sz="0" w:space="0" w:color="auto"/>
        <w:left w:val="none" w:sz="0" w:space="0" w:color="auto"/>
        <w:bottom w:val="none" w:sz="0" w:space="0" w:color="auto"/>
        <w:right w:val="none" w:sz="0" w:space="0" w:color="auto"/>
      </w:divBdr>
    </w:div>
    <w:div w:id="558173341">
      <w:bodyDiv w:val="1"/>
      <w:marLeft w:val="0"/>
      <w:marRight w:val="0"/>
      <w:marTop w:val="0"/>
      <w:marBottom w:val="0"/>
      <w:divBdr>
        <w:top w:val="none" w:sz="0" w:space="0" w:color="auto"/>
        <w:left w:val="none" w:sz="0" w:space="0" w:color="auto"/>
        <w:bottom w:val="none" w:sz="0" w:space="0" w:color="auto"/>
        <w:right w:val="none" w:sz="0" w:space="0" w:color="auto"/>
      </w:divBdr>
    </w:div>
    <w:div w:id="566258281">
      <w:bodyDiv w:val="1"/>
      <w:marLeft w:val="0"/>
      <w:marRight w:val="0"/>
      <w:marTop w:val="0"/>
      <w:marBottom w:val="0"/>
      <w:divBdr>
        <w:top w:val="none" w:sz="0" w:space="0" w:color="auto"/>
        <w:left w:val="none" w:sz="0" w:space="0" w:color="auto"/>
        <w:bottom w:val="none" w:sz="0" w:space="0" w:color="auto"/>
        <w:right w:val="none" w:sz="0" w:space="0" w:color="auto"/>
      </w:divBdr>
    </w:div>
    <w:div w:id="569268724">
      <w:bodyDiv w:val="1"/>
      <w:marLeft w:val="0"/>
      <w:marRight w:val="0"/>
      <w:marTop w:val="0"/>
      <w:marBottom w:val="0"/>
      <w:divBdr>
        <w:top w:val="none" w:sz="0" w:space="0" w:color="auto"/>
        <w:left w:val="none" w:sz="0" w:space="0" w:color="auto"/>
        <w:bottom w:val="none" w:sz="0" w:space="0" w:color="auto"/>
        <w:right w:val="none" w:sz="0" w:space="0" w:color="auto"/>
      </w:divBdr>
    </w:div>
    <w:div w:id="596527678">
      <w:bodyDiv w:val="1"/>
      <w:marLeft w:val="0"/>
      <w:marRight w:val="0"/>
      <w:marTop w:val="0"/>
      <w:marBottom w:val="0"/>
      <w:divBdr>
        <w:top w:val="none" w:sz="0" w:space="0" w:color="auto"/>
        <w:left w:val="none" w:sz="0" w:space="0" w:color="auto"/>
        <w:bottom w:val="none" w:sz="0" w:space="0" w:color="auto"/>
        <w:right w:val="none" w:sz="0" w:space="0" w:color="auto"/>
      </w:divBdr>
    </w:div>
    <w:div w:id="615522263">
      <w:bodyDiv w:val="1"/>
      <w:marLeft w:val="0"/>
      <w:marRight w:val="0"/>
      <w:marTop w:val="0"/>
      <w:marBottom w:val="0"/>
      <w:divBdr>
        <w:top w:val="none" w:sz="0" w:space="0" w:color="auto"/>
        <w:left w:val="none" w:sz="0" w:space="0" w:color="auto"/>
        <w:bottom w:val="none" w:sz="0" w:space="0" w:color="auto"/>
        <w:right w:val="none" w:sz="0" w:space="0" w:color="auto"/>
      </w:divBdr>
    </w:div>
    <w:div w:id="620036621">
      <w:bodyDiv w:val="1"/>
      <w:marLeft w:val="0"/>
      <w:marRight w:val="0"/>
      <w:marTop w:val="0"/>
      <w:marBottom w:val="0"/>
      <w:divBdr>
        <w:top w:val="none" w:sz="0" w:space="0" w:color="auto"/>
        <w:left w:val="none" w:sz="0" w:space="0" w:color="auto"/>
        <w:bottom w:val="none" w:sz="0" w:space="0" w:color="auto"/>
        <w:right w:val="none" w:sz="0" w:space="0" w:color="auto"/>
      </w:divBdr>
    </w:div>
    <w:div w:id="624774902">
      <w:bodyDiv w:val="1"/>
      <w:marLeft w:val="0"/>
      <w:marRight w:val="0"/>
      <w:marTop w:val="0"/>
      <w:marBottom w:val="0"/>
      <w:divBdr>
        <w:top w:val="none" w:sz="0" w:space="0" w:color="auto"/>
        <w:left w:val="none" w:sz="0" w:space="0" w:color="auto"/>
        <w:bottom w:val="none" w:sz="0" w:space="0" w:color="auto"/>
        <w:right w:val="none" w:sz="0" w:space="0" w:color="auto"/>
      </w:divBdr>
    </w:div>
    <w:div w:id="630671323">
      <w:bodyDiv w:val="1"/>
      <w:marLeft w:val="0"/>
      <w:marRight w:val="0"/>
      <w:marTop w:val="0"/>
      <w:marBottom w:val="0"/>
      <w:divBdr>
        <w:top w:val="none" w:sz="0" w:space="0" w:color="auto"/>
        <w:left w:val="none" w:sz="0" w:space="0" w:color="auto"/>
        <w:bottom w:val="none" w:sz="0" w:space="0" w:color="auto"/>
        <w:right w:val="none" w:sz="0" w:space="0" w:color="auto"/>
      </w:divBdr>
    </w:div>
    <w:div w:id="664868437">
      <w:bodyDiv w:val="1"/>
      <w:marLeft w:val="0"/>
      <w:marRight w:val="0"/>
      <w:marTop w:val="0"/>
      <w:marBottom w:val="0"/>
      <w:divBdr>
        <w:top w:val="none" w:sz="0" w:space="0" w:color="auto"/>
        <w:left w:val="none" w:sz="0" w:space="0" w:color="auto"/>
        <w:bottom w:val="none" w:sz="0" w:space="0" w:color="auto"/>
        <w:right w:val="none" w:sz="0" w:space="0" w:color="auto"/>
      </w:divBdr>
    </w:div>
    <w:div w:id="704403528">
      <w:bodyDiv w:val="1"/>
      <w:marLeft w:val="0"/>
      <w:marRight w:val="0"/>
      <w:marTop w:val="0"/>
      <w:marBottom w:val="0"/>
      <w:divBdr>
        <w:top w:val="none" w:sz="0" w:space="0" w:color="auto"/>
        <w:left w:val="none" w:sz="0" w:space="0" w:color="auto"/>
        <w:bottom w:val="none" w:sz="0" w:space="0" w:color="auto"/>
        <w:right w:val="none" w:sz="0" w:space="0" w:color="auto"/>
      </w:divBdr>
    </w:div>
    <w:div w:id="739715590">
      <w:bodyDiv w:val="1"/>
      <w:marLeft w:val="0"/>
      <w:marRight w:val="0"/>
      <w:marTop w:val="0"/>
      <w:marBottom w:val="0"/>
      <w:divBdr>
        <w:top w:val="none" w:sz="0" w:space="0" w:color="auto"/>
        <w:left w:val="none" w:sz="0" w:space="0" w:color="auto"/>
        <w:bottom w:val="none" w:sz="0" w:space="0" w:color="auto"/>
        <w:right w:val="none" w:sz="0" w:space="0" w:color="auto"/>
      </w:divBdr>
    </w:div>
    <w:div w:id="746734854">
      <w:bodyDiv w:val="1"/>
      <w:marLeft w:val="0"/>
      <w:marRight w:val="0"/>
      <w:marTop w:val="0"/>
      <w:marBottom w:val="0"/>
      <w:divBdr>
        <w:top w:val="none" w:sz="0" w:space="0" w:color="auto"/>
        <w:left w:val="none" w:sz="0" w:space="0" w:color="auto"/>
        <w:bottom w:val="none" w:sz="0" w:space="0" w:color="auto"/>
        <w:right w:val="none" w:sz="0" w:space="0" w:color="auto"/>
      </w:divBdr>
      <w:divsChild>
        <w:div w:id="1120420196">
          <w:marLeft w:val="360"/>
          <w:marRight w:val="0"/>
          <w:marTop w:val="200"/>
          <w:marBottom w:val="0"/>
          <w:divBdr>
            <w:top w:val="none" w:sz="0" w:space="0" w:color="auto"/>
            <w:left w:val="none" w:sz="0" w:space="0" w:color="auto"/>
            <w:bottom w:val="none" w:sz="0" w:space="0" w:color="auto"/>
            <w:right w:val="none" w:sz="0" w:space="0" w:color="auto"/>
          </w:divBdr>
        </w:div>
      </w:divsChild>
    </w:div>
    <w:div w:id="759524415">
      <w:bodyDiv w:val="1"/>
      <w:marLeft w:val="0"/>
      <w:marRight w:val="0"/>
      <w:marTop w:val="0"/>
      <w:marBottom w:val="0"/>
      <w:divBdr>
        <w:top w:val="none" w:sz="0" w:space="0" w:color="auto"/>
        <w:left w:val="none" w:sz="0" w:space="0" w:color="auto"/>
        <w:bottom w:val="none" w:sz="0" w:space="0" w:color="auto"/>
        <w:right w:val="none" w:sz="0" w:space="0" w:color="auto"/>
      </w:divBdr>
    </w:div>
    <w:div w:id="779027833">
      <w:bodyDiv w:val="1"/>
      <w:marLeft w:val="0"/>
      <w:marRight w:val="0"/>
      <w:marTop w:val="0"/>
      <w:marBottom w:val="0"/>
      <w:divBdr>
        <w:top w:val="none" w:sz="0" w:space="0" w:color="auto"/>
        <w:left w:val="none" w:sz="0" w:space="0" w:color="auto"/>
        <w:bottom w:val="none" w:sz="0" w:space="0" w:color="auto"/>
        <w:right w:val="none" w:sz="0" w:space="0" w:color="auto"/>
      </w:divBdr>
    </w:div>
    <w:div w:id="783886223">
      <w:bodyDiv w:val="1"/>
      <w:marLeft w:val="0"/>
      <w:marRight w:val="0"/>
      <w:marTop w:val="0"/>
      <w:marBottom w:val="0"/>
      <w:divBdr>
        <w:top w:val="none" w:sz="0" w:space="0" w:color="auto"/>
        <w:left w:val="none" w:sz="0" w:space="0" w:color="auto"/>
        <w:bottom w:val="none" w:sz="0" w:space="0" w:color="auto"/>
        <w:right w:val="none" w:sz="0" w:space="0" w:color="auto"/>
      </w:divBdr>
    </w:div>
    <w:div w:id="801191573">
      <w:bodyDiv w:val="1"/>
      <w:marLeft w:val="0"/>
      <w:marRight w:val="0"/>
      <w:marTop w:val="0"/>
      <w:marBottom w:val="0"/>
      <w:divBdr>
        <w:top w:val="none" w:sz="0" w:space="0" w:color="auto"/>
        <w:left w:val="none" w:sz="0" w:space="0" w:color="auto"/>
        <w:bottom w:val="none" w:sz="0" w:space="0" w:color="auto"/>
        <w:right w:val="none" w:sz="0" w:space="0" w:color="auto"/>
      </w:divBdr>
    </w:div>
    <w:div w:id="806968104">
      <w:bodyDiv w:val="1"/>
      <w:marLeft w:val="0"/>
      <w:marRight w:val="0"/>
      <w:marTop w:val="0"/>
      <w:marBottom w:val="0"/>
      <w:divBdr>
        <w:top w:val="none" w:sz="0" w:space="0" w:color="auto"/>
        <w:left w:val="none" w:sz="0" w:space="0" w:color="auto"/>
        <w:bottom w:val="none" w:sz="0" w:space="0" w:color="auto"/>
        <w:right w:val="none" w:sz="0" w:space="0" w:color="auto"/>
      </w:divBdr>
    </w:div>
    <w:div w:id="816918479">
      <w:bodyDiv w:val="1"/>
      <w:marLeft w:val="0"/>
      <w:marRight w:val="0"/>
      <w:marTop w:val="0"/>
      <w:marBottom w:val="0"/>
      <w:divBdr>
        <w:top w:val="none" w:sz="0" w:space="0" w:color="auto"/>
        <w:left w:val="none" w:sz="0" w:space="0" w:color="auto"/>
        <w:bottom w:val="none" w:sz="0" w:space="0" w:color="auto"/>
        <w:right w:val="none" w:sz="0" w:space="0" w:color="auto"/>
      </w:divBdr>
    </w:div>
    <w:div w:id="817648807">
      <w:bodyDiv w:val="1"/>
      <w:marLeft w:val="0"/>
      <w:marRight w:val="0"/>
      <w:marTop w:val="0"/>
      <w:marBottom w:val="0"/>
      <w:divBdr>
        <w:top w:val="none" w:sz="0" w:space="0" w:color="auto"/>
        <w:left w:val="none" w:sz="0" w:space="0" w:color="auto"/>
        <w:bottom w:val="none" w:sz="0" w:space="0" w:color="auto"/>
        <w:right w:val="none" w:sz="0" w:space="0" w:color="auto"/>
      </w:divBdr>
    </w:div>
    <w:div w:id="822359253">
      <w:bodyDiv w:val="1"/>
      <w:marLeft w:val="0"/>
      <w:marRight w:val="0"/>
      <w:marTop w:val="0"/>
      <w:marBottom w:val="0"/>
      <w:divBdr>
        <w:top w:val="none" w:sz="0" w:space="0" w:color="auto"/>
        <w:left w:val="none" w:sz="0" w:space="0" w:color="auto"/>
        <w:bottom w:val="none" w:sz="0" w:space="0" w:color="auto"/>
        <w:right w:val="none" w:sz="0" w:space="0" w:color="auto"/>
      </w:divBdr>
    </w:div>
    <w:div w:id="832257858">
      <w:bodyDiv w:val="1"/>
      <w:marLeft w:val="0"/>
      <w:marRight w:val="0"/>
      <w:marTop w:val="0"/>
      <w:marBottom w:val="0"/>
      <w:divBdr>
        <w:top w:val="none" w:sz="0" w:space="0" w:color="auto"/>
        <w:left w:val="none" w:sz="0" w:space="0" w:color="auto"/>
        <w:bottom w:val="none" w:sz="0" w:space="0" w:color="auto"/>
        <w:right w:val="none" w:sz="0" w:space="0" w:color="auto"/>
      </w:divBdr>
    </w:div>
    <w:div w:id="832260493">
      <w:bodyDiv w:val="1"/>
      <w:marLeft w:val="0"/>
      <w:marRight w:val="0"/>
      <w:marTop w:val="0"/>
      <w:marBottom w:val="0"/>
      <w:divBdr>
        <w:top w:val="none" w:sz="0" w:space="0" w:color="auto"/>
        <w:left w:val="none" w:sz="0" w:space="0" w:color="auto"/>
        <w:bottom w:val="none" w:sz="0" w:space="0" w:color="auto"/>
        <w:right w:val="none" w:sz="0" w:space="0" w:color="auto"/>
      </w:divBdr>
    </w:div>
    <w:div w:id="860356969">
      <w:bodyDiv w:val="1"/>
      <w:marLeft w:val="0"/>
      <w:marRight w:val="0"/>
      <w:marTop w:val="0"/>
      <w:marBottom w:val="0"/>
      <w:divBdr>
        <w:top w:val="none" w:sz="0" w:space="0" w:color="auto"/>
        <w:left w:val="none" w:sz="0" w:space="0" w:color="auto"/>
        <w:bottom w:val="none" w:sz="0" w:space="0" w:color="auto"/>
        <w:right w:val="none" w:sz="0" w:space="0" w:color="auto"/>
      </w:divBdr>
    </w:div>
    <w:div w:id="881332576">
      <w:bodyDiv w:val="1"/>
      <w:marLeft w:val="0"/>
      <w:marRight w:val="0"/>
      <w:marTop w:val="0"/>
      <w:marBottom w:val="0"/>
      <w:divBdr>
        <w:top w:val="none" w:sz="0" w:space="0" w:color="auto"/>
        <w:left w:val="none" w:sz="0" w:space="0" w:color="auto"/>
        <w:bottom w:val="none" w:sz="0" w:space="0" w:color="auto"/>
        <w:right w:val="none" w:sz="0" w:space="0" w:color="auto"/>
      </w:divBdr>
    </w:div>
    <w:div w:id="912815054">
      <w:bodyDiv w:val="1"/>
      <w:marLeft w:val="0"/>
      <w:marRight w:val="0"/>
      <w:marTop w:val="0"/>
      <w:marBottom w:val="0"/>
      <w:divBdr>
        <w:top w:val="none" w:sz="0" w:space="0" w:color="auto"/>
        <w:left w:val="none" w:sz="0" w:space="0" w:color="auto"/>
        <w:bottom w:val="none" w:sz="0" w:space="0" w:color="auto"/>
        <w:right w:val="none" w:sz="0" w:space="0" w:color="auto"/>
      </w:divBdr>
    </w:div>
    <w:div w:id="943684580">
      <w:bodyDiv w:val="1"/>
      <w:marLeft w:val="0"/>
      <w:marRight w:val="0"/>
      <w:marTop w:val="0"/>
      <w:marBottom w:val="0"/>
      <w:divBdr>
        <w:top w:val="none" w:sz="0" w:space="0" w:color="auto"/>
        <w:left w:val="none" w:sz="0" w:space="0" w:color="auto"/>
        <w:bottom w:val="none" w:sz="0" w:space="0" w:color="auto"/>
        <w:right w:val="none" w:sz="0" w:space="0" w:color="auto"/>
      </w:divBdr>
    </w:div>
    <w:div w:id="944657113">
      <w:bodyDiv w:val="1"/>
      <w:marLeft w:val="0"/>
      <w:marRight w:val="0"/>
      <w:marTop w:val="0"/>
      <w:marBottom w:val="0"/>
      <w:divBdr>
        <w:top w:val="none" w:sz="0" w:space="0" w:color="auto"/>
        <w:left w:val="none" w:sz="0" w:space="0" w:color="auto"/>
        <w:bottom w:val="none" w:sz="0" w:space="0" w:color="auto"/>
        <w:right w:val="none" w:sz="0" w:space="0" w:color="auto"/>
      </w:divBdr>
      <w:divsChild>
        <w:div w:id="174616939">
          <w:marLeft w:val="360"/>
          <w:marRight w:val="0"/>
          <w:marTop w:val="200"/>
          <w:marBottom w:val="0"/>
          <w:divBdr>
            <w:top w:val="none" w:sz="0" w:space="0" w:color="auto"/>
            <w:left w:val="none" w:sz="0" w:space="0" w:color="auto"/>
            <w:bottom w:val="none" w:sz="0" w:space="0" w:color="auto"/>
            <w:right w:val="none" w:sz="0" w:space="0" w:color="auto"/>
          </w:divBdr>
        </w:div>
      </w:divsChild>
    </w:div>
    <w:div w:id="952442645">
      <w:bodyDiv w:val="1"/>
      <w:marLeft w:val="0"/>
      <w:marRight w:val="0"/>
      <w:marTop w:val="0"/>
      <w:marBottom w:val="0"/>
      <w:divBdr>
        <w:top w:val="none" w:sz="0" w:space="0" w:color="auto"/>
        <w:left w:val="none" w:sz="0" w:space="0" w:color="auto"/>
        <w:bottom w:val="none" w:sz="0" w:space="0" w:color="auto"/>
        <w:right w:val="none" w:sz="0" w:space="0" w:color="auto"/>
      </w:divBdr>
    </w:div>
    <w:div w:id="966008203">
      <w:bodyDiv w:val="1"/>
      <w:marLeft w:val="0"/>
      <w:marRight w:val="0"/>
      <w:marTop w:val="0"/>
      <w:marBottom w:val="0"/>
      <w:divBdr>
        <w:top w:val="none" w:sz="0" w:space="0" w:color="auto"/>
        <w:left w:val="none" w:sz="0" w:space="0" w:color="auto"/>
        <w:bottom w:val="none" w:sz="0" w:space="0" w:color="auto"/>
        <w:right w:val="none" w:sz="0" w:space="0" w:color="auto"/>
      </w:divBdr>
    </w:div>
    <w:div w:id="968975400">
      <w:bodyDiv w:val="1"/>
      <w:marLeft w:val="0"/>
      <w:marRight w:val="0"/>
      <w:marTop w:val="0"/>
      <w:marBottom w:val="0"/>
      <w:divBdr>
        <w:top w:val="none" w:sz="0" w:space="0" w:color="auto"/>
        <w:left w:val="none" w:sz="0" w:space="0" w:color="auto"/>
        <w:bottom w:val="none" w:sz="0" w:space="0" w:color="auto"/>
        <w:right w:val="none" w:sz="0" w:space="0" w:color="auto"/>
      </w:divBdr>
      <w:divsChild>
        <w:div w:id="1350522814">
          <w:marLeft w:val="0"/>
          <w:marRight w:val="150"/>
          <w:marTop w:val="0"/>
          <w:marBottom w:val="0"/>
          <w:divBdr>
            <w:top w:val="single" w:sz="2" w:space="0" w:color="000000"/>
            <w:left w:val="single" w:sz="2" w:space="0" w:color="000000"/>
            <w:bottom w:val="single" w:sz="2" w:space="0" w:color="000000"/>
            <w:right w:val="single" w:sz="2" w:space="0" w:color="000000"/>
          </w:divBdr>
          <w:divsChild>
            <w:div w:id="419184993">
              <w:marLeft w:val="0"/>
              <w:marRight w:val="0"/>
              <w:marTop w:val="0"/>
              <w:marBottom w:val="0"/>
              <w:divBdr>
                <w:top w:val="single" w:sz="2" w:space="0" w:color="000000"/>
                <w:left w:val="single" w:sz="2" w:space="0" w:color="000000"/>
                <w:bottom w:val="single" w:sz="2" w:space="0" w:color="000000"/>
                <w:right w:val="single" w:sz="2" w:space="0" w:color="000000"/>
              </w:divBdr>
              <w:divsChild>
                <w:div w:id="1983074791">
                  <w:marLeft w:val="0"/>
                  <w:marRight w:val="0"/>
                  <w:marTop w:val="0"/>
                  <w:marBottom w:val="0"/>
                  <w:divBdr>
                    <w:top w:val="single" w:sz="2" w:space="0" w:color="000000"/>
                    <w:left w:val="single" w:sz="2" w:space="0" w:color="000000"/>
                    <w:bottom w:val="single" w:sz="2" w:space="0" w:color="000000"/>
                    <w:right w:val="single" w:sz="2" w:space="0" w:color="000000"/>
                  </w:divBdr>
                  <w:divsChild>
                    <w:div w:id="914239938">
                      <w:marLeft w:val="0"/>
                      <w:marRight w:val="0"/>
                      <w:marTop w:val="0"/>
                      <w:marBottom w:val="0"/>
                      <w:divBdr>
                        <w:top w:val="single" w:sz="2" w:space="0" w:color="000000"/>
                        <w:left w:val="single" w:sz="2" w:space="0" w:color="000000"/>
                        <w:bottom w:val="single" w:sz="2" w:space="0" w:color="000000"/>
                        <w:right w:val="single" w:sz="2" w:space="0" w:color="000000"/>
                      </w:divBdr>
                      <w:divsChild>
                        <w:div w:id="929580508">
                          <w:marLeft w:val="0"/>
                          <w:marRight w:val="0"/>
                          <w:marTop w:val="0"/>
                          <w:marBottom w:val="0"/>
                          <w:divBdr>
                            <w:top w:val="none" w:sz="0" w:space="0" w:color="auto"/>
                            <w:left w:val="none" w:sz="0" w:space="0" w:color="auto"/>
                            <w:bottom w:val="none" w:sz="0" w:space="0" w:color="auto"/>
                            <w:right w:val="none" w:sz="0" w:space="0" w:color="auto"/>
                          </w:divBdr>
                          <w:divsChild>
                            <w:div w:id="201949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058825838">
          <w:marLeft w:val="0"/>
          <w:marRight w:val="0"/>
          <w:marTop w:val="0"/>
          <w:marBottom w:val="0"/>
          <w:divBdr>
            <w:top w:val="single" w:sz="2" w:space="0" w:color="000000"/>
            <w:left w:val="single" w:sz="2" w:space="0" w:color="000000"/>
            <w:bottom w:val="single" w:sz="2" w:space="8" w:color="000000"/>
            <w:right w:val="single" w:sz="2" w:space="0" w:color="000000"/>
          </w:divBdr>
          <w:divsChild>
            <w:div w:id="2075395400">
              <w:marLeft w:val="0"/>
              <w:marRight w:val="0"/>
              <w:marTop w:val="0"/>
              <w:marBottom w:val="0"/>
              <w:divBdr>
                <w:top w:val="single" w:sz="2" w:space="0" w:color="000000"/>
                <w:left w:val="single" w:sz="2" w:space="0" w:color="000000"/>
                <w:bottom w:val="single" w:sz="2" w:space="0" w:color="000000"/>
                <w:right w:val="single" w:sz="2" w:space="0" w:color="000000"/>
              </w:divBdr>
              <w:divsChild>
                <w:div w:id="201989819">
                  <w:marLeft w:val="0"/>
                  <w:marRight w:val="0"/>
                  <w:marTop w:val="0"/>
                  <w:marBottom w:val="30"/>
                  <w:divBdr>
                    <w:top w:val="single" w:sz="2" w:space="0" w:color="000000"/>
                    <w:left w:val="single" w:sz="2" w:space="0" w:color="000000"/>
                    <w:bottom w:val="single" w:sz="2" w:space="0" w:color="000000"/>
                    <w:right w:val="single" w:sz="2" w:space="0" w:color="000000"/>
                  </w:divBdr>
                  <w:divsChild>
                    <w:div w:id="1779834749">
                      <w:marLeft w:val="0"/>
                      <w:marRight w:val="0"/>
                      <w:marTop w:val="0"/>
                      <w:marBottom w:val="0"/>
                      <w:divBdr>
                        <w:top w:val="single" w:sz="2" w:space="0" w:color="000000"/>
                        <w:left w:val="single" w:sz="2" w:space="0" w:color="000000"/>
                        <w:bottom w:val="single" w:sz="2" w:space="0" w:color="000000"/>
                        <w:right w:val="single" w:sz="2" w:space="0" w:color="000000"/>
                      </w:divBdr>
                      <w:divsChild>
                        <w:div w:id="70584360">
                          <w:marLeft w:val="0"/>
                          <w:marRight w:val="0"/>
                          <w:marTop w:val="0"/>
                          <w:marBottom w:val="0"/>
                          <w:divBdr>
                            <w:top w:val="single" w:sz="2" w:space="0" w:color="000000"/>
                            <w:left w:val="single" w:sz="2" w:space="0" w:color="000000"/>
                            <w:bottom w:val="single" w:sz="2" w:space="0" w:color="000000"/>
                            <w:right w:val="single" w:sz="2" w:space="0" w:color="000000"/>
                          </w:divBdr>
                          <w:divsChild>
                            <w:div w:id="1392079576">
                              <w:marLeft w:val="0"/>
                              <w:marRight w:val="0"/>
                              <w:marTop w:val="0"/>
                              <w:marBottom w:val="0"/>
                              <w:divBdr>
                                <w:top w:val="single" w:sz="2" w:space="0" w:color="000000"/>
                                <w:left w:val="single" w:sz="2" w:space="0" w:color="000000"/>
                                <w:bottom w:val="single" w:sz="2" w:space="0" w:color="000000"/>
                                <w:right w:val="single" w:sz="2" w:space="0" w:color="000000"/>
                              </w:divBdr>
                              <w:divsChild>
                                <w:div w:id="1962956154">
                                  <w:marLeft w:val="0"/>
                                  <w:marRight w:val="0"/>
                                  <w:marTop w:val="0"/>
                                  <w:marBottom w:val="0"/>
                                  <w:divBdr>
                                    <w:top w:val="single" w:sz="2" w:space="0" w:color="000000"/>
                                    <w:left w:val="single" w:sz="2" w:space="0" w:color="000000"/>
                                    <w:bottom w:val="single" w:sz="2" w:space="0" w:color="000000"/>
                                    <w:right w:val="single" w:sz="2" w:space="0" w:color="000000"/>
                                  </w:divBdr>
                                  <w:divsChild>
                                    <w:div w:id="1719091966">
                                      <w:marLeft w:val="0"/>
                                      <w:marRight w:val="0"/>
                                      <w:marTop w:val="0"/>
                                      <w:marBottom w:val="0"/>
                                      <w:divBdr>
                                        <w:top w:val="single" w:sz="2" w:space="0" w:color="000000"/>
                                        <w:left w:val="single" w:sz="2" w:space="0" w:color="000000"/>
                                        <w:bottom w:val="single" w:sz="2" w:space="0" w:color="000000"/>
                                        <w:right w:val="single" w:sz="2" w:space="0" w:color="000000"/>
                                      </w:divBdr>
                                      <w:divsChild>
                                        <w:div w:id="204455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9860268">
                                      <w:marLeft w:val="75"/>
                                      <w:marRight w:val="0"/>
                                      <w:marTop w:val="0"/>
                                      <w:marBottom w:val="0"/>
                                      <w:divBdr>
                                        <w:top w:val="single" w:sz="2" w:space="0" w:color="000000"/>
                                        <w:left w:val="single" w:sz="2" w:space="0" w:color="000000"/>
                                        <w:bottom w:val="single" w:sz="2" w:space="0" w:color="000000"/>
                                        <w:right w:val="single" w:sz="2" w:space="0" w:color="000000"/>
                                      </w:divBdr>
                                      <w:divsChild>
                                        <w:div w:id="854464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22902919">
                              <w:marLeft w:val="0"/>
                              <w:marRight w:val="0"/>
                              <w:marTop w:val="0"/>
                              <w:marBottom w:val="0"/>
                              <w:divBdr>
                                <w:top w:val="single" w:sz="2" w:space="0" w:color="000000"/>
                                <w:left w:val="single" w:sz="2" w:space="4" w:color="000000"/>
                                <w:bottom w:val="single" w:sz="2" w:space="0" w:color="000000"/>
                                <w:right w:val="single" w:sz="2" w:space="4" w:color="000000"/>
                              </w:divBdr>
                            </w:div>
                          </w:divsChild>
                        </w:div>
                      </w:divsChild>
                    </w:div>
                  </w:divsChild>
                </w:div>
              </w:divsChild>
            </w:div>
            <w:div w:id="596210244">
              <w:marLeft w:val="0"/>
              <w:marRight w:val="0"/>
              <w:marTop w:val="0"/>
              <w:marBottom w:val="0"/>
              <w:divBdr>
                <w:top w:val="single" w:sz="2" w:space="0" w:color="000000"/>
                <w:left w:val="single" w:sz="2" w:space="0" w:color="000000"/>
                <w:bottom w:val="single" w:sz="2" w:space="0" w:color="000000"/>
                <w:right w:val="single" w:sz="2" w:space="0" w:color="000000"/>
              </w:divBdr>
              <w:divsChild>
                <w:div w:id="1702171599">
                  <w:marLeft w:val="0"/>
                  <w:marRight w:val="0"/>
                  <w:marTop w:val="0"/>
                  <w:marBottom w:val="0"/>
                  <w:divBdr>
                    <w:top w:val="single" w:sz="2" w:space="0" w:color="000000"/>
                    <w:left w:val="single" w:sz="2" w:space="0" w:color="000000"/>
                    <w:bottom w:val="single" w:sz="2" w:space="0" w:color="000000"/>
                    <w:right w:val="single" w:sz="2" w:space="0" w:color="000000"/>
                  </w:divBdr>
                  <w:divsChild>
                    <w:div w:id="555556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2033238">
                  <w:marLeft w:val="0"/>
                  <w:marRight w:val="0"/>
                  <w:marTop w:val="0"/>
                  <w:marBottom w:val="0"/>
                  <w:divBdr>
                    <w:top w:val="single" w:sz="2" w:space="0" w:color="000000"/>
                    <w:left w:val="single" w:sz="2" w:space="0" w:color="000000"/>
                    <w:bottom w:val="single" w:sz="2" w:space="0" w:color="000000"/>
                    <w:right w:val="single" w:sz="2" w:space="0" w:color="000000"/>
                  </w:divBdr>
                  <w:divsChild>
                    <w:div w:id="1143278826">
                      <w:marLeft w:val="0"/>
                      <w:marRight w:val="0"/>
                      <w:marTop w:val="0"/>
                      <w:marBottom w:val="0"/>
                      <w:divBdr>
                        <w:top w:val="single" w:sz="2" w:space="0" w:color="000000"/>
                        <w:left w:val="single" w:sz="2" w:space="0" w:color="000000"/>
                        <w:bottom w:val="single" w:sz="2" w:space="0" w:color="000000"/>
                        <w:right w:val="single" w:sz="2" w:space="0" w:color="000000"/>
                      </w:divBdr>
                      <w:divsChild>
                        <w:div w:id="1894271443">
                          <w:marLeft w:val="0"/>
                          <w:marRight w:val="0"/>
                          <w:marTop w:val="150"/>
                          <w:marBottom w:val="0"/>
                          <w:divBdr>
                            <w:top w:val="single" w:sz="2" w:space="0" w:color="000000"/>
                            <w:left w:val="single" w:sz="2" w:space="0" w:color="000000"/>
                            <w:bottom w:val="single" w:sz="2" w:space="0" w:color="000000"/>
                            <w:right w:val="single" w:sz="2" w:space="0" w:color="000000"/>
                          </w:divBdr>
                          <w:divsChild>
                            <w:div w:id="1464040857">
                              <w:marLeft w:val="0"/>
                              <w:marRight w:val="0"/>
                              <w:marTop w:val="0"/>
                              <w:marBottom w:val="0"/>
                              <w:divBdr>
                                <w:top w:val="single" w:sz="2" w:space="0" w:color="000000"/>
                                <w:left w:val="single" w:sz="2" w:space="0" w:color="000000"/>
                                <w:bottom w:val="single" w:sz="2" w:space="0" w:color="000000"/>
                                <w:right w:val="single" w:sz="2" w:space="0" w:color="000000"/>
                              </w:divBdr>
                              <w:divsChild>
                                <w:div w:id="1662074022">
                                  <w:marLeft w:val="0"/>
                                  <w:marRight w:val="0"/>
                                  <w:marTop w:val="0"/>
                                  <w:marBottom w:val="0"/>
                                  <w:divBdr>
                                    <w:top w:val="single" w:sz="2" w:space="0" w:color="000000"/>
                                    <w:left w:val="single" w:sz="2" w:space="0" w:color="000000"/>
                                    <w:bottom w:val="single" w:sz="2" w:space="0" w:color="000000"/>
                                    <w:right w:val="single" w:sz="2" w:space="0" w:color="000000"/>
                                  </w:divBdr>
                                  <w:divsChild>
                                    <w:div w:id="1497575823">
                                      <w:marLeft w:val="0"/>
                                      <w:marRight w:val="0"/>
                                      <w:marTop w:val="0"/>
                                      <w:marBottom w:val="0"/>
                                      <w:divBdr>
                                        <w:top w:val="single" w:sz="2" w:space="0" w:color="000000"/>
                                        <w:left w:val="single" w:sz="2" w:space="0" w:color="000000"/>
                                        <w:bottom w:val="single" w:sz="2" w:space="0" w:color="000000"/>
                                        <w:right w:val="single" w:sz="2" w:space="0" w:color="000000"/>
                                      </w:divBdr>
                                      <w:divsChild>
                                        <w:div w:id="172844713">
                                          <w:marLeft w:val="0"/>
                                          <w:marRight w:val="0"/>
                                          <w:marTop w:val="0"/>
                                          <w:marBottom w:val="0"/>
                                          <w:divBdr>
                                            <w:top w:val="single" w:sz="2" w:space="0" w:color="000000"/>
                                            <w:left w:val="single" w:sz="2" w:space="0" w:color="000000"/>
                                            <w:bottom w:val="single" w:sz="2" w:space="0" w:color="000000"/>
                                            <w:right w:val="single" w:sz="2" w:space="0" w:color="000000"/>
                                          </w:divBdr>
                                          <w:divsChild>
                                            <w:div w:id="145826655">
                                              <w:marLeft w:val="0"/>
                                              <w:marRight w:val="0"/>
                                              <w:marTop w:val="0"/>
                                              <w:marBottom w:val="0"/>
                                              <w:divBdr>
                                                <w:top w:val="single" w:sz="2" w:space="0" w:color="000000"/>
                                                <w:left w:val="single" w:sz="2" w:space="0" w:color="000000"/>
                                                <w:bottom w:val="single" w:sz="2" w:space="0" w:color="000000"/>
                                                <w:right w:val="single" w:sz="2" w:space="0" w:color="000000"/>
                                              </w:divBdr>
                                              <w:divsChild>
                                                <w:div w:id="1208638256">
                                                  <w:marLeft w:val="0"/>
                                                  <w:marRight w:val="0"/>
                                                  <w:marTop w:val="0"/>
                                                  <w:marBottom w:val="0"/>
                                                  <w:divBdr>
                                                    <w:top w:val="single" w:sz="2" w:space="0" w:color="000000"/>
                                                    <w:left w:val="single" w:sz="2" w:space="8" w:color="000000"/>
                                                    <w:bottom w:val="single" w:sz="2" w:space="0" w:color="000000"/>
                                                    <w:right w:val="single" w:sz="2" w:space="8" w:color="000000"/>
                                                  </w:divBdr>
                                                  <w:divsChild>
                                                    <w:div w:id="19284640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4856711">
                                                  <w:marLeft w:val="0"/>
                                                  <w:marRight w:val="0"/>
                                                  <w:marTop w:val="0"/>
                                                  <w:marBottom w:val="0"/>
                                                  <w:divBdr>
                                                    <w:top w:val="single" w:sz="2" w:space="0" w:color="000000"/>
                                                    <w:left w:val="single" w:sz="2" w:space="8" w:color="000000"/>
                                                    <w:bottom w:val="single" w:sz="2" w:space="0" w:color="000000"/>
                                                    <w:right w:val="single" w:sz="2" w:space="0" w:color="000000"/>
                                                  </w:divBdr>
                                                  <w:divsChild>
                                                    <w:div w:id="19040207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02988206">
                                          <w:marLeft w:val="0"/>
                                          <w:marRight w:val="0"/>
                                          <w:marTop w:val="75"/>
                                          <w:marBottom w:val="0"/>
                                          <w:divBdr>
                                            <w:top w:val="single" w:sz="2" w:space="0" w:color="000000"/>
                                            <w:left w:val="single" w:sz="2" w:space="0" w:color="000000"/>
                                            <w:bottom w:val="single" w:sz="2" w:space="0" w:color="000000"/>
                                            <w:right w:val="single" w:sz="2" w:space="0" w:color="000000"/>
                                          </w:divBdr>
                                          <w:divsChild>
                                            <w:div w:id="1491291521">
                                              <w:marLeft w:val="0"/>
                                              <w:marRight w:val="0"/>
                                              <w:marTop w:val="0"/>
                                              <w:marBottom w:val="0"/>
                                              <w:divBdr>
                                                <w:top w:val="single" w:sz="2" w:space="0" w:color="000000"/>
                                                <w:left w:val="single" w:sz="2" w:space="0" w:color="000000"/>
                                                <w:bottom w:val="single" w:sz="2" w:space="0" w:color="000000"/>
                                                <w:right w:val="single" w:sz="2" w:space="0" w:color="000000"/>
                                              </w:divBdr>
                                              <w:divsChild>
                                                <w:div w:id="354237189">
                                                  <w:marLeft w:val="0"/>
                                                  <w:marRight w:val="0"/>
                                                  <w:marTop w:val="0"/>
                                                  <w:marBottom w:val="0"/>
                                                  <w:divBdr>
                                                    <w:top w:val="single" w:sz="2" w:space="0" w:color="000000"/>
                                                    <w:left w:val="single" w:sz="2" w:space="8" w:color="000000"/>
                                                    <w:bottom w:val="single" w:sz="2" w:space="0" w:color="000000"/>
                                                    <w:right w:val="single" w:sz="2" w:space="8" w:color="000000"/>
                                                  </w:divBdr>
                                                  <w:divsChild>
                                                    <w:div w:id="1014647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2356615">
                                                  <w:marLeft w:val="0"/>
                                                  <w:marRight w:val="0"/>
                                                  <w:marTop w:val="0"/>
                                                  <w:marBottom w:val="0"/>
                                                  <w:divBdr>
                                                    <w:top w:val="single" w:sz="2" w:space="0" w:color="000000"/>
                                                    <w:left w:val="single" w:sz="2" w:space="8" w:color="000000"/>
                                                    <w:bottom w:val="single" w:sz="2" w:space="0" w:color="000000"/>
                                                    <w:right w:val="single" w:sz="2" w:space="0" w:color="000000"/>
                                                  </w:divBdr>
                                                  <w:divsChild>
                                                    <w:div w:id="11109319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64566048">
                                          <w:marLeft w:val="0"/>
                                          <w:marRight w:val="0"/>
                                          <w:marTop w:val="75"/>
                                          <w:marBottom w:val="0"/>
                                          <w:divBdr>
                                            <w:top w:val="single" w:sz="2" w:space="0" w:color="000000"/>
                                            <w:left w:val="single" w:sz="2" w:space="0" w:color="000000"/>
                                            <w:bottom w:val="single" w:sz="2" w:space="0" w:color="000000"/>
                                            <w:right w:val="single" w:sz="2" w:space="0" w:color="000000"/>
                                          </w:divBdr>
                                          <w:divsChild>
                                            <w:div w:id="1746099576">
                                              <w:marLeft w:val="0"/>
                                              <w:marRight w:val="0"/>
                                              <w:marTop w:val="0"/>
                                              <w:marBottom w:val="0"/>
                                              <w:divBdr>
                                                <w:top w:val="single" w:sz="2" w:space="0" w:color="000000"/>
                                                <w:left w:val="single" w:sz="2" w:space="0" w:color="000000"/>
                                                <w:bottom w:val="single" w:sz="2" w:space="0" w:color="000000"/>
                                                <w:right w:val="single" w:sz="2" w:space="0" w:color="000000"/>
                                              </w:divBdr>
                                              <w:divsChild>
                                                <w:div w:id="2134010985">
                                                  <w:marLeft w:val="0"/>
                                                  <w:marRight w:val="0"/>
                                                  <w:marTop w:val="0"/>
                                                  <w:marBottom w:val="0"/>
                                                  <w:divBdr>
                                                    <w:top w:val="single" w:sz="2" w:space="0" w:color="000000"/>
                                                    <w:left w:val="single" w:sz="2" w:space="8" w:color="000000"/>
                                                    <w:bottom w:val="single" w:sz="2" w:space="0" w:color="000000"/>
                                                    <w:right w:val="single" w:sz="2" w:space="8" w:color="000000"/>
                                                  </w:divBdr>
                                                  <w:divsChild>
                                                    <w:div w:id="1329213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777583">
                                                  <w:marLeft w:val="0"/>
                                                  <w:marRight w:val="0"/>
                                                  <w:marTop w:val="0"/>
                                                  <w:marBottom w:val="0"/>
                                                  <w:divBdr>
                                                    <w:top w:val="single" w:sz="2" w:space="0" w:color="000000"/>
                                                    <w:left w:val="single" w:sz="2" w:space="8" w:color="000000"/>
                                                    <w:bottom w:val="single" w:sz="2" w:space="0" w:color="000000"/>
                                                    <w:right w:val="single" w:sz="2" w:space="0" w:color="000000"/>
                                                  </w:divBdr>
                                                  <w:divsChild>
                                                    <w:div w:id="479616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0835978">
                                          <w:marLeft w:val="0"/>
                                          <w:marRight w:val="0"/>
                                          <w:marTop w:val="150"/>
                                          <w:marBottom w:val="0"/>
                                          <w:divBdr>
                                            <w:top w:val="single" w:sz="2" w:space="0" w:color="000000"/>
                                            <w:left w:val="single" w:sz="2" w:space="0" w:color="000000"/>
                                            <w:bottom w:val="single" w:sz="2" w:space="0" w:color="000000"/>
                                            <w:right w:val="single" w:sz="2" w:space="0" w:color="000000"/>
                                          </w:divBdr>
                                          <w:divsChild>
                                            <w:div w:id="4275831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998969751">
      <w:bodyDiv w:val="1"/>
      <w:marLeft w:val="0"/>
      <w:marRight w:val="0"/>
      <w:marTop w:val="0"/>
      <w:marBottom w:val="0"/>
      <w:divBdr>
        <w:top w:val="none" w:sz="0" w:space="0" w:color="auto"/>
        <w:left w:val="none" w:sz="0" w:space="0" w:color="auto"/>
        <w:bottom w:val="none" w:sz="0" w:space="0" w:color="auto"/>
        <w:right w:val="none" w:sz="0" w:space="0" w:color="auto"/>
      </w:divBdr>
    </w:div>
    <w:div w:id="1002588299">
      <w:bodyDiv w:val="1"/>
      <w:marLeft w:val="0"/>
      <w:marRight w:val="0"/>
      <w:marTop w:val="0"/>
      <w:marBottom w:val="0"/>
      <w:divBdr>
        <w:top w:val="none" w:sz="0" w:space="0" w:color="auto"/>
        <w:left w:val="none" w:sz="0" w:space="0" w:color="auto"/>
        <w:bottom w:val="none" w:sz="0" w:space="0" w:color="auto"/>
        <w:right w:val="none" w:sz="0" w:space="0" w:color="auto"/>
      </w:divBdr>
    </w:div>
    <w:div w:id="1005596062">
      <w:bodyDiv w:val="1"/>
      <w:marLeft w:val="0"/>
      <w:marRight w:val="0"/>
      <w:marTop w:val="0"/>
      <w:marBottom w:val="0"/>
      <w:divBdr>
        <w:top w:val="none" w:sz="0" w:space="0" w:color="auto"/>
        <w:left w:val="none" w:sz="0" w:space="0" w:color="auto"/>
        <w:bottom w:val="none" w:sz="0" w:space="0" w:color="auto"/>
        <w:right w:val="none" w:sz="0" w:space="0" w:color="auto"/>
      </w:divBdr>
    </w:div>
    <w:div w:id="1007630827">
      <w:bodyDiv w:val="1"/>
      <w:marLeft w:val="0"/>
      <w:marRight w:val="0"/>
      <w:marTop w:val="0"/>
      <w:marBottom w:val="0"/>
      <w:divBdr>
        <w:top w:val="none" w:sz="0" w:space="0" w:color="auto"/>
        <w:left w:val="none" w:sz="0" w:space="0" w:color="auto"/>
        <w:bottom w:val="none" w:sz="0" w:space="0" w:color="auto"/>
        <w:right w:val="none" w:sz="0" w:space="0" w:color="auto"/>
      </w:divBdr>
    </w:div>
    <w:div w:id="1011301086">
      <w:bodyDiv w:val="1"/>
      <w:marLeft w:val="0"/>
      <w:marRight w:val="0"/>
      <w:marTop w:val="0"/>
      <w:marBottom w:val="0"/>
      <w:divBdr>
        <w:top w:val="none" w:sz="0" w:space="0" w:color="auto"/>
        <w:left w:val="none" w:sz="0" w:space="0" w:color="auto"/>
        <w:bottom w:val="none" w:sz="0" w:space="0" w:color="auto"/>
        <w:right w:val="none" w:sz="0" w:space="0" w:color="auto"/>
      </w:divBdr>
    </w:div>
    <w:div w:id="1014117436">
      <w:bodyDiv w:val="1"/>
      <w:marLeft w:val="0"/>
      <w:marRight w:val="0"/>
      <w:marTop w:val="0"/>
      <w:marBottom w:val="0"/>
      <w:divBdr>
        <w:top w:val="none" w:sz="0" w:space="0" w:color="auto"/>
        <w:left w:val="none" w:sz="0" w:space="0" w:color="auto"/>
        <w:bottom w:val="none" w:sz="0" w:space="0" w:color="auto"/>
        <w:right w:val="none" w:sz="0" w:space="0" w:color="auto"/>
      </w:divBdr>
    </w:div>
    <w:div w:id="1020621603">
      <w:bodyDiv w:val="1"/>
      <w:marLeft w:val="0"/>
      <w:marRight w:val="0"/>
      <w:marTop w:val="0"/>
      <w:marBottom w:val="0"/>
      <w:divBdr>
        <w:top w:val="none" w:sz="0" w:space="0" w:color="auto"/>
        <w:left w:val="none" w:sz="0" w:space="0" w:color="auto"/>
        <w:bottom w:val="none" w:sz="0" w:space="0" w:color="auto"/>
        <w:right w:val="none" w:sz="0" w:space="0" w:color="auto"/>
      </w:divBdr>
    </w:div>
    <w:div w:id="1034380407">
      <w:bodyDiv w:val="1"/>
      <w:marLeft w:val="0"/>
      <w:marRight w:val="0"/>
      <w:marTop w:val="0"/>
      <w:marBottom w:val="0"/>
      <w:divBdr>
        <w:top w:val="none" w:sz="0" w:space="0" w:color="auto"/>
        <w:left w:val="none" w:sz="0" w:space="0" w:color="auto"/>
        <w:bottom w:val="none" w:sz="0" w:space="0" w:color="auto"/>
        <w:right w:val="none" w:sz="0" w:space="0" w:color="auto"/>
      </w:divBdr>
    </w:div>
    <w:div w:id="1048455468">
      <w:bodyDiv w:val="1"/>
      <w:marLeft w:val="0"/>
      <w:marRight w:val="0"/>
      <w:marTop w:val="0"/>
      <w:marBottom w:val="0"/>
      <w:divBdr>
        <w:top w:val="none" w:sz="0" w:space="0" w:color="auto"/>
        <w:left w:val="none" w:sz="0" w:space="0" w:color="auto"/>
        <w:bottom w:val="none" w:sz="0" w:space="0" w:color="auto"/>
        <w:right w:val="none" w:sz="0" w:space="0" w:color="auto"/>
      </w:divBdr>
    </w:div>
    <w:div w:id="1063288314">
      <w:bodyDiv w:val="1"/>
      <w:marLeft w:val="0"/>
      <w:marRight w:val="0"/>
      <w:marTop w:val="0"/>
      <w:marBottom w:val="0"/>
      <w:divBdr>
        <w:top w:val="none" w:sz="0" w:space="0" w:color="auto"/>
        <w:left w:val="none" w:sz="0" w:space="0" w:color="auto"/>
        <w:bottom w:val="none" w:sz="0" w:space="0" w:color="auto"/>
        <w:right w:val="none" w:sz="0" w:space="0" w:color="auto"/>
      </w:divBdr>
    </w:div>
    <w:div w:id="1065756110">
      <w:bodyDiv w:val="1"/>
      <w:marLeft w:val="0"/>
      <w:marRight w:val="0"/>
      <w:marTop w:val="0"/>
      <w:marBottom w:val="0"/>
      <w:divBdr>
        <w:top w:val="none" w:sz="0" w:space="0" w:color="auto"/>
        <w:left w:val="none" w:sz="0" w:space="0" w:color="auto"/>
        <w:bottom w:val="none" w:sz="0" w:space="0" w:color="auto"/>
        <w:right w:val="none" w:sz="0" w:space="0" w:color="auto"/>
      </w:divBdr>
    </w:div>
    <w:div w:id="1066416294">
      <w:bodyDiv w:val="1"/>
      <w:marLeft w:val="0"/>
      <w:marRight w:val="0"/>
      <w:marTop w:val="0"/>
      <w:marBottom w:val="0"/>
      <w:divBdr>
        <w:top w:val="none" w:sz="0" w:space="0" w:color="auto"/>
        <w:left w:val="none" w:sz="0" w:space="0" w:color="auto"/>
        <w:bottom w:val="none" w:sz="0" w:space="0" w:color="auto"/>
        <w:right w:val="none" w:sz="0" w:space="0" w:color="auto"/>
      </w:divBdr>
    </w:div>
    <w:div w:id="1074622778">
      <w:bodyDiv w:val="1"/>
      <w:marLeft w:val="0"/>
      <w:marRight w:val="0"/>
      <w:marTop w:val="0"/>
      <w:marBottom w:val="0"/>
      <w:divBdr>
        <w:top w:val="none" w:sz="0" w:space="0" w:color="auto"/>
        <w:left w:val="none" w:sz="0" w:space="0" w:color="auto"/>
        <w:bottom w:val="none" w:sz="0" w:space="0" w:color="auto"/>
        <w:right w:val="none" w:sz="0" w:space="0" w:color="auto"/>
      </w:divBdr>
    </w:div>
    <w:div w:id="1090395961">
      <w:bodyDiv w:val="1"/>
      <w:marLeft w:val="0"/>
      <w:marRight w:val="0"/>
      <w:marTop w:val="0"/>
      <w:marBottom w:val="0"/>
      <w:divBdr>
        <w:top w:val="none" w:sz="0" w:space="0" w:color="auto"/>
        <w:left w:val="none" w:sz="0" w:space="0" w:color="auto"/>
        <w:bottom w:val="none" w:sz="0" w:space="0" w:color="auto"/>
        <w:right w:val="none" w:sz="0" w:space="0" w:color="auto"/>
      </w:divBdr>
    </w:div>
    <w:div w:id="1093933032">
      <w:bodyDiv w:val="1"/>
      <w:marLeft w:val="0"/>
      <w:marRight w:val="0"/>
      <w:marTop w:val="0"/>
      <w:marBottom w:val="0"/>
      <w:divBdr>
        <w:top w:val="none" w:sz="0" w:space="0" w:color="auto"/>
        <w:left w:val="none" w:sz="0" w:space="0" w:color="auto"/>
        <w:bottom w:val="none" w:sz="0" w:space="0" w:color="auto"/>
        <w:right w:val="none" w:sz="0" w:space="0" w:color="auto"/>
      </w:divBdr>
    </w:div>
    <w:div w:id="1094859030">
      <w:bodyDiv w:val="1"/>
      <w:marLeft w:val="0"/>
      <w:marRight w:val="0"/>
      <w:marTop w:val="0"/>
      <w:marBottom w:val="0"/>
      <w:divBdr>
        <w:top w:val="none" w:sz="0" w:space="0" w:color="auto"/>
        <w:left w:val="none" w:sz="0" w:space="0" w:color="auto"/>
        <w:bottom w:val="none" w:sz="0" w:space="0" w:color="auto"/>
        <w:right w:val="none" w:sz="0" w:space="0" w:color="auto"/>
      </w:divBdr>
    </w:div>
    <w:div w:id="1135484086">
      <w:bodyDiv w:val="1"/>
      <w:marLeft w:val="0"/>
      <w:marRight w:val="0"/>
      <w:marTop w:val="0"/>
      <w:marBottom w:val="0"/>
      <w:divBdr>
        <w:top w:val="none" w:sz="0" w:space="0" w:color="auto"/>
        <w:left w:val="none" w:sz="0" w:space="0" w:color="auto"/>
        <w:bottom w:val="none" w:sz="0" w:space="0" w:color="auto"/>
        <w:right w:val="none" w:sz="0" w:space="0" w:color="auto"/>
      </w:divBdr>
    </w:div>
    <w:div w:id="1142767651">
      <w:bodyDiv w:val="1"/>
      <w:marLeft w:val="0"/>
      <w:marRight w:val="0"/>
      <w:marTop w:val="0"/>
      <w:marBottom w:val="0"/>
      <w:divBdr>
        <w:top w:val="none" w:sz="0" w:space="0" w:color="auto"/>
        <w:left w:val="none" w:sz="0" w:space="0" w:color="auto"/>
        <w:bottom w:val="none" w:sz="0" w:space="0" w:color="auto"/>
        <w:right w:val="none" w:sz="0" w:space="0" w:color="auto"/>
      </w:divBdr>
    </w:div>
    <w:div w:id="1149251152">
      <w:bodyDiv w:val="1"/>
      <w:marLeft w:val="0"/>
      <w:marRight w:val="0"/>
      <w:marTop w:val="0"/>
      <w:marBottom w:val="0"/>
      <w:divBdr>
        <w:top w:val="none" w:sz="0" w:space="0" w:color="auto"/>
        <w:left w:val="none" w:sz="0" w:space="0" w:color="auto"/>
        <w:bottom w:val="none" w:sz="0" w:space="0" w:color="auto"/>
        <w:right w:val="none" w:sz="0" w:space="0" w:color="auto"/>
      </w:divBdr>
    </w:div>
    <w:div w:id="1154027908">
      <w:bodyDiv w:val="1"/>
      <w:marLeft w:val="0"/>
      <w:marRight w:val="0"/>
      <w:marTop w:val="0"/>
      <w:marBottom w:val="0"/>
      <w:divBdr>
        <w:top w:val="none" w:sz="0" w:space="0" w:color="auto"/>
        <w:left w:val="none" w:sz="0" w:space="0" w:color="auto"/>
        <w:bottom w:val="none" w:sz="0" w:space="0" w:color="auto"/>
        <w:right w:val="none" w:sz="0" w:space="0" w:color="auto"/>
      </w:divBdr>
    </w:div>
    <w:div w:id="1166476524">
      <w:bodyDiv w:val="1"/>
      <w:marLeft w:val="0"/>
      <w:marRight w:val="0"/>
      <w:marTop w:val="0"/>
      <w:marBottom w:val="0"/>
      <w:divBdr>
        <w:top w:val="none" w:sz="0" w:space="0" w:color="auto"/>
        <w:left w:val="none" w:sz="0" w:space="0" w:color="auto"/>
        <w:bottom w:val="none" w:sz="0" w:space="0" w:color="auto"/>
        <w:right w:val="none" w:sz="0" w:space="0" w:color="auto"/>
      </w:divBdr>
    </w:div>
    <w:div w:id="1174028343">
      <w:bodyDiv w:val="1"/>
      <w:marLeft w:val="0"/>
      <w:marRight w:val="0"/>
      <w:marTop w:val="0"/>
      <w:marBottom w:val="0"/>
      <w:divBdr>
        <w:top w:val="none" w:sz="0" w:space="0" w:color="auto"/>
        <w:left w:val="none" w:sz="0" w:space="0" w:color="auto"/>
        <w:bottom w:val="none" w:sz="0" w:space="0" w:color="auto"/>
        <w:right w:val="none" w:sz="0" w:space="0" w:color="auto"/>
      </w:divBdr>
    </w:div>
    <w:div w:id="1178081212">
      <w:bodyDiv w:val="1"/>
      <w:marLeft w:val="0"/>
      <w:marRight w:val="0"/>
      <w:marTop w:val="0"/>
      <w:marBottom w:val="0"/>
      <w:divBdr>
        <w:top w:val="none" w:sz="0" w:space="0" w:color="auto"/>
        <w:left w:val="none" w:sz="0" w:space="0" w:color="auto"/>
        <w:bottom w:val="none" w:sz="0" w:space="0" w:color="auto"/>
        <w:right w:val="none" w:sz="0" w:space="0" w:color="auto"/>
      </w:divBdr>
      <w:divsChild>
        <w:div w:id="810363461">
          <w:marLeft w:val="360"/>
          <w:marRight w:val="0"/>
          <w:marTop w:val="200"/>
          <w:marBottom w:val="0"/>
          <w:divBdr>
            <w:top w:val="none" w:sz="0" w:space="0" w:color="auto"/>
            <w:left w:val="none" w:sz="0" w:space="0" w:color="auto"/>
            <w:bottom w:val="none" w:sz="0" w:space="0" w:color="auto"/>
            <w:right w:val="none" w:sz="0" w:space="0" w:color="auto"/>
          </w:divBdr>
        </w:div>
        <w:div w:id="597561776">
          <w:marLeft w:val="360"/>
          <w:marRight w:val="0"/>
          <w:marTop w:val="200"/>
          <w:marBottom w:val="0"/>
          <w:divBdr>
            <w:top w:val="none" w:sz="0" w:space="0" w:color="auto"/>
            <w:left w:val="none" w:sz="0" w:space="0" w:color="auto"/>
            <w:bottom w:val="none" w:sz="0" w:space="0" w:color="auto"/>
            <w:right w:val="none" w:sz="0" w:space="0" w:color="auto"/>
          </w:divBdr>
        </w:div>
        <w:div w:id="1840803065">
          <w:marLeft w:val="360"/>
          <w:marRight w:val="0"/>
          <w:marTop w:val="200"/>
          <w:marBottom w:val="0"/>
          <w:divBdr>
            <w:top w:val="none" w:sz="0" w:space="0" w:color="auto"/>
            <w:left w:val="none" w:sz="0" w:space="0" w:color="auto"/>
            <w:bottom w:val="none" w:sz="0" w:space="0" w:color="auto"/>
            <w:right w:val="none" w:sz="0" w:space="0" w:color="auto"/>
          </w:divBdr>
        </w:div>
      </w:divsChild>
    </w:div>
    <w:div w:id="1184320010">
      <w:bodyDiv w:val="1"/>
      <w:marLeft w:val="0"/>
      <w:marRight w:val="0"/>
      <w:marTop w:val="0"/>
      <w:marBottom w:val="0"/>
      <w:divBdr>
        <w:top w:val="none" w:sz="0" w:space="0" w:color="auto"/>
        <w:left w:val="none" w:sz="0" w:space="0" w:color="auto"/>
        <w:bottom w:val="none" w:sz="0" w:space="0" w:color="auto"/>
        <w:right w:val="none" w:sz="0" w:space="0" w:color="auto"/>
      </w:divBdr>
    </w:div>
    <w:div w:id="1200315711">
      <w:bodyDiv w:val="1"/>
      <w:marLeft w:val="0"/>
      <w:marRight w:val="0"/>
      <w:marTop w:val="0"/>
      <w:marBottom w:val="0"/>
      <w:divBdr>
        <w:top w:val="none" w:sz="0" w:space="0" w:color="auto"/>
        <w:left w:val="none" w:sz="0" w:space="0" w:color="auto"/>
        <w:bottom w:val="none" w:sz="0" w:space="0" w:color="auto"/>
        <w:right w:val="none" w:sz="0" w:space="0" w:color="auto"/>
      </w:divBdr>
    </w:div>
    <w:div w:id="1200707317">
      <w:bodyDiv w:val="1"/>
      <w:marLeft w:val="0"/>
      <w:marRight w:val="0"/>
      <w:marTop w:val="0"/>
      <w:marBottom w:val="0"/>
      <w:divBdr>
        <w:top w:val="none" w:sz="0" w:space="0" w:color="auto"/>
        <w:left w:val="none" w:sz="0" w:space="0" w:color="auto"/>
        <w:bottom w:val="none" w:sz="0" w:space="0" w:color="auto"/>
        <w:right w:val="none" w:sz="0" w:space="0" w:color="auto"/>
      </w:divBdr>
    </w:div>
    <w:div w:id="1208109095">
      <w:bodyDiv w:val="1"/>
      <w:marLeft w:val="0"/>
      <w:marRight w:val="0"/>
      <w:marTop w:val="0"/>
      <w:marBottom w:val="0"/>
      <w:divBdr>
        <w:top w:val="none" w:sz="0" w:space="0" w:color="auto"/>
        <w:left w:val="none" w:sz="0" w:space="0" w:color="auto"/>
        <w:bottom w:val="none" w:sz="0" w:space="0" w:color="auto"/>
        <w:right w:val="none" w:sz="0" w:space="0" w:color="auto"/>
      </w:divBdr>
    </w:div>
    <w:div w:id="1209335892">
      <w:bodyDiv w:val="1"/>
      <w:marLeft w:val="0"/>
      <w:marRight w:val="0"/>
      <w:marTop w:val="0"/>
      <w:marBottom w:val="0"/>
      <w:divBdr>
        <w:top w:val="none" w:sz="0" w:space="0" w:color="auto"/>
        <w:left w:val="none" w:sz="0" w:space="0" w:color="auto"/>
        <w:bottom w:val="none" w:sz="0" w:space="0" w:color="auto"/>
        <w:right w:val="none" w:sz="0" w:space="0" w:color="auto"/>
      </w:divBdr>
    </w:div>
    <w:div w:id="1215972820">
      <w:bodyDiv w:val="1"/>
      <w:marLeft w:val="0"/>
      <w:marRight w:val="0"/>
      <w:marTop w:val="0"/>
      <w:marBottom w:val="0"/>
      <w:divBdr>
        <w:top w:val="none" w:sz="0" w:space="0" w:color="auto"/>
        <w:left w:val="none" w:sz="0" w:space="0" w:color="auto"/>
        <w:bottom w:val="none" w:sz="0" w:space="0" w:color="auto"/>
        <w:right w:val="none" w:sz="0" w:space="0" w:color="auto"/>
      </w:divBdr>
    </w:div>
    <w:div w:id="1233589226">
      <w:bodyDiv w:val="1"/>
      <w:marLeft w:val="0"/>
      <w:marRight w:val="0"/>
      <w:marTop w:val="0"/>
      <w:marBottom w:val="0"/>
      <w:divBdr>
        <w:top w:val="none" w:sz="0" w:space="0" w:color="auto"/>
        <w:left w:val="none" w:sz="0" w:space="0" w:color="auto"/>
        <w:bottom w:val="none" w:sz="0" w:space="0" w:color="auto"/>
        <w:right w:val="none" w:sz="0" w:space="0" w:color="auto"/>
      </w:divBdr>
    </w:div>
    <w:div w:id="1234389943">
      <w:bodyDiv w:val="1"/>
      <w:marLeft w:val="0"/>
      <w:marRight w:val="0"/>
      <w:marTop w:val="0"/>
      <w:marBottom w:val="0"/>
      <w:divBdr>
        <w:top w:val="none" w:sz="0" w:space="0" w:color="auto"/>
        <w:left w:val="none" w:sz="0" w:space="0" w:color="auto"/>
        <w:bottom w:val="none" w:sz="0" w:space="0" w:color="auto"/>
        <w:right w:val="none" w:sz="0" w:space="0" w:color="auto"/>
      </w:divBdr>
      <w:divsChild>
        <w:div w:id="991954521">
          <w:marLeft w:val="360"/>
          <w:marRight w:val="0"/>
          <w:marTop w:val="200"/>
          <w:marBottom w:val="0"/>
          <w:divBdr>
            <w:top w:val="none" w:sz="0" w:space="0" w:color="auto"/>
            <w:left w:val="none" w:sz="0" w:space="0" w:color="auto"/>
            <w:bottom w:val="none" w:sz="0" w:space="0" w:color="auto"/>
            <w:right w:val="none" w:sz="0" w:space="0" w:color="auto"/>
          </w:divBdr>
        </w:div>
        <w:div w:id="2089380503">
          <w:marLeft w:val="360"/>
          <w:marRight w:val="0"/>
          <w:marTop w:val="200"/>
          <w:marBottom w:val="0"/>
          <w:divBdr>
            <w:top w:val="none" w:sz="0" w:space="0" w:color="auto"/>
            <w:left w:val="none" w:sz="0" w:space="0" w:color="auto"/>
            <w:bottom w:val="none" w:sz="0" w:space="0" w:color="auto"/>
            <w:right w:val="none" w:sz="0" w:space="0" w:color="auto"/>
          </w:divBdr>
        </w:div>
        <w:div w:id="16002883">
          <w:marLeft w:val="360"/>
          <w:marRight w:val="0"/>
          <w:marTop w:val="200"/>
          <w:marBottom w:val="0"/>
          <w:divBdr>
            <w:top w:val="none" w:sz="0" w:space="0" w:color="auto"/>
            <w:left w:val="none" w:sz="0" w:space="0" w:color="auto"/>
            <w:bottom w:val="none" w:sz="0" w:space="0" w:color="auto"/>
            <w:right w:val="none" w:sz="0" w:space="0" w:color="auto"/>
          </w:divBdr>
        </w:div>
        <w:div w:id="1818842063">
          <w:marLeft w:val="360"/>
          <w:marRight w:val="0"/>
          <w:marTop w:val="200"/>
          <w:marBottom w:val="0"/>
          <w:divBdr>
            <w:top w:val="none" w:sz="0" w:space="0" w:color="auto"/>
            <w:left w:val="none" w:sz="0" w:space="0" w:color="auto"/>
            <w:bottom w:val="none" w:sz="0" w:space="0" w:color="auto"/>
            <w:right w:val="none" w:sz="0" w:space="0" w:color="auto"/>
          </w:divBdr>
        </w:div>
      </w:divsChild>
    </w:div>
    <w:div w:id="1246841300">
      <w:bodyDiv w:val="1"/>
      <w:marLeft w:val="0"/>
      <w:marRight w:val="0"/>
      <w:marTop w:val="0"/>
      <w:marBottom w:val="0"/>
      <w:divBdr>
        <w:top w:val="none" w:sz="0" w:space="0" w:color="auto"/>
        <w:left w:val="none" w:sz="0" w:space="0" w:color="auto"/>
        <w:bottom w:val="none" w:sz="0" w:space="0" w:color="auto"/>
        <w:right w:val="none" w:sz="0" w:space="0" w:color="auto"/>
      </w:divBdr>
    </w:div>
    <w:div w:id="1251349081">
      <w:bodyDiv w:val="1"/>
      <w:marLeft w:val="0"/>
      <w:marRight w:val="0"/>
      <w:marTop w:val="0"/>
      <w:marBottom w:val="0"/>
      <w:divBdr>
        <w:top w:val="none" w:sz="0" w:space="0" w:color="auto"/>
        <w:left w:val="none" w:sz="0" w:space="0" w:color="auto"/>
        <w:bottom w:val="none" w:sz="0" w:space="0" w:color="auto"/>
        <w:right w:val="none" w:sz="0" w:space="0" w:color="auto"/>
      </w:divBdr>
    </w:div>
    <w:div w:id="1253078867">
      <w:bodyDiv w:val="1"/>
      <w:marLeft w:val="0"/>
      <w:marRight w:val="0"/>
      <w:marTop w:val="0"/>
      <w:marBottom w:val="0"/>
      <w:divBdr>
        <w:top w:val="none" w:sz="0" w:space="0" w:color="auto"/>
        <w:left w:val="none" w:sz="0" w:space="0" w:color="auto"/>
        <w:bottom w:val="none" w:sz="0" w:space="0" w:color="auto"/>
        <w:right w:val="none" w:sz="0" w:space="0" w:color="auto"/>
      </w:divBdr>
    </w:div>
    <w:div w:id="1268585387">
      <w:bodyDiv w:val="1"/>
      <w:marLeft w:val="0"/>
      <w:marRight w:val="0"/>
      <w:marTop w:val="0"/>
      <w:marBottom w:val="0"/>
      <w:divBdr>
        <w:top w:val="none" w:sz="0" w:space="0" w:color="auto"/>
        <w:left w:val="none" w:sz="0" w:space="0" w:color="auto"/>
        <w:bottom w:val="none" w:sz="0" w:space="0" w:color="auto"/>
        <w:right w:val="none" w:sz="0" w:space="0" w:color="auto"/>
      </w:divBdr>
    </w:div>
    <w:div w:id="1283875638">
      <w:bodyDiv w:val="1"/>
      <w:marLeft w:val="0"/>
      <w:marRight w:val="0"/>
      <w:marTop w:val="0"/>
      <w:marBottom w:val="0"/>
      <w:divBdr>
        <w:top w:val="none" w:sz="0" w:space="0" w:color="auto"/>
        <w:left w:val="none" w:sz="0" w:space="0" w:color="auto"/>
        <w:bottom w:val="none" w:sz="0" w:space="0" w:color="auto"/>
        <w:right w:val="none" w:sz="0" w:space="0" w:color="auto"/>
      </w:divBdr>
    </w:div>
    <w:div w:id="1285237181">
      <w:bodyDiv w:val="1"/>
      <w:marLeft w:val="0"/>
      <w:marRight w:val="0"/>
      <w:marTop w:val="0"/>
      <w:marBottom w:val="0"/>
      <w:divBdr>
        <w:top w:val="none" w:sz="0" w:space="0" w:color="auto"/>
        <w:left w:val="none" w:sz="0" w:space="0" w:color="auto"/>
        <w:bottom w:val="none" w:sz="0" w:space="0" w:color="auto"/>
        <w:right w:val="none" w:sz="0" w:space="0" w:color="auto"/>
      </w:divBdr>
    </w:div>
    <w:div w:id="1324624702">
      <w:bodyDiv w:val="1"/>
      <w:marLeft w:val="0"/>
      <w:marRight w:val="0"/>
      <w:marTop w:val="0"/>
      <w:marBottom w:val="0"/>
      <w:divBdr>
        <w:top w:val="none" w:sz="0" w:space="0" w:color="auto"/>
        <w:left w:val="none" w:sz="0" w:space="0" w:color="auto"/>
        <w:bottom w:val="none" w:sz="0" w:space="0" w:color="auto"/>
        <w:right w:val="none" w:sz="0" w:space="0" w:color="auto"/>
      </w:divBdr>
    </w:div>
    <w:div w:id="1366446254">
      <w:bodyDiv w:val="1"/>
      <w:marLeft w:val="0"/>
      <w:marRight w:val="0"/>
      <w:marTop w:val="0"/>
      <w:marBottom w:val="0"/>
      <w:divBdr>
        <w:top w:val="none" w:sz="0" w:space="0" w:color="auto"/>
        <w:left w:val="none" w:sz="0" w:space="0" w:color="auto"/>
        <w:bottom w:val="none" w:sz="0" w:space="0" w:color="auto"/>
        <w:right w:val="none" w:sz="0" w:space="0" w:color="auto"/>
      </w:divBdr>
    </w:div>
    <w:div w:id="1368138656">
      <w:bodyDiv w:val="1"/>
      <w:marLeft w:val="0"/>
      <w:marRight w:val="0"/>
      <w:marTop w:val="0"/>
      <w:marBottom w:val="0"/>
      <w:divBdr>
        <w:top w:val="none" w:sz="0" w:space="0" w:color="auto"/>
        <w:left w:val="none" w:sz="0" w:space="0" w:color="auto"/>
        <w:bottom w:val="none" w:sz="0" w:space="0" w:color="auto"/>
        <w:right w:val="none" w:sz="0" w:space="0" w:color="auto"/>
      </w:divBdr>
    </w:div>
    <w:div w:id="1373380894">
      <w:bodyDiv w:val="1"/>
      <w:marLeft w:val="0"/>
      <w:marRight w:val="0"/>
      <w:marTop w:val="0"/>
      <w:marBottom w:val="0"/>
      <w:divBdr>
        <w:top w:val="none" w:sz="0" w:space="0" w:color="auto"/>
        <w:left w:val="none" w:sz="0" w:space="0" w:color="auto"/>
        <w:bottom w:val="none" w:sz="0" w:space="0" w:color="auto"/>
        <w:right w:val="none" w:sz="0" w:space="0" w:color="auto"/>
      </w:divBdr>
    </w:div>
    <w:div w:id="1399672845">
      <w:bodyDiv w:val="1"/>
      <w:marLeft w:val="0"/>
      <w:marRight w:val="0"/>
      <w:marTop w:val="0"/>
      <w:marBottom w:val="0"/>
      <w:divBdr>
        <w:top w:val="none" w:sz="0" w:space="0" w:color="auto"/>
        <w:left w:val="none" w:sz="0" w:space="0" w:color="auto"/>
        <w:bottom w:val="none" w:sz="0" w:space="0" w:color="auto"/>
        <w:right w:val="none" w:sz="0" w:space="0" w:color="auto"/>
      </w:divBdr>
    </w:div>
    <w:div w:id="1402143847">
      <w:bodyDiv w:val="1"/>
      <w:marLeft w:val="0"/>
      <w:marRight w:val="0"/>
      <w:marTop w:val="0"/>
      <w:marBottom w:val="0"/>
      <w:divBdr>
        <w:top w:val="none" w:sz="0" w:space="0" w:color="auto"/>
        <w:left w:val="none" w:sz="0" w:space="0" w:color="auto"/>
        <w:bottom w:val="none" w:sz="0" w:space="0" w:color="auto"/>
        <w:right w:val="none" w:sz="0" w:space="0" w:color="auto"/>
      </w:divBdr>
    </w:div>
    <w:div w:id="1411075325">
      <w:bodyDiv w:val="1"/>
      <w:marLeft w:val="0"/>
      <w:marRight w:val="0"/>
      <w:marTop w:val="0"/>
      <w:marBottom w:val="0"/>
      <w:divBdr>
        <w:top w:val="none" w:sz="0" w:space="0" w:color="auto"/>
        <w:left w:val="none" w:sz="0" w:space="0" w:color="auto"/>
        <w:bottom w:val="none" w:sz="0" w:space="0" w:color="auto"/>
        <w:right w:val="none" w:sz="0" w:space="0" w:color="auto"/>
      </w:divBdr>
    </w:div>
    <w:div w:id="1421179395">
      <w:bodyDiv w:val="1"/>
      <w:marLeft w:val="0"/>
      <w:marRight w:val="0"/>
      <w:marTop w:val="0"/>
      <w:marBottom w:val="0"/>
      <w:divBdr>
        <w:top w:val="none" w:sz="0" w:space="0" w:color="auto"/>
        <w:left w:val="none" w:sz="0" w:space="0" w:color="auto"/>
        <w:bottom w:val="none" w:sz="0" w:space="0" w:color="auto"/>
        <w:right w:val="none" w:sz="0" w:space="0" w:color="auto"/>
      </w:divBdr>
    </w:div>
    <w:div w:id="1424909206">
      <w:bodyDiv w:val="1"/>
      <w:marLeft w:val="0"/>
      <w:marRight w:val="0"/>
      <w:marTop w:val="0"/>
      <w:marBottom w:val="0"/>
      <w:divBdr>
        <w:top w:val="none" w:sz="0" w:space="0" w:color="auto"/>
        <w:left w:val="none" w:sz="0" w:space="0" w:color="auto"/>
        <w:bottom w:val="none" w:sz="0" w:space="0" w:color="auto"/>
        <w:right w:val="none" w:sz="0" w:space="0" w:color="auto"/>
      </w:divBdr>
    </w:div>
    <w:div w:id="1436707664">
      <w:bodyDiv w:val="1"/>
      <w:marLeft w:val="0"/>
      <w:marRight w:val="0"/>
      <w:marTop w:val="0"/>
      <w:marBottom w:val="0"/>
      <w:divBdr>
        <w:top w:val="none" w:sz="0" w:space="0" w:color="auto"/>
        <w:left w:val="none" w:sz="0" w:space="0" w:color="auto"/>
        <w:bottom w:val="none" w:sz="0" w:space="0" w:color="auto"/>
        <w:right w:val="none" w:sz="0" w:space="0" w:color="auto"/>
      </w:divBdr>
    </w:div>
    <w:div w:id="1441560953">
      <w:bodyDiv w:val="1"/>
      <w:marLeft w:val="0"/>
      <w:marRight w:val="0"/>
      <w:marTop w:val="0"/>
      <w:marBottom w:val="0"/>
      <w:divBdr>
        <w:top w:val="none" w:sz="0" w:space="0" w:color="auto"/>
        <w:left w:val="none" w:sz="0" w:space="0" w:color="auto"/>
        <w:bottom w:val="none" w:sz="0" w:space="0" w:color="auto"/>
        <w:right w:val="none" w:sz="0" w:space="0" w:color="auto"/>
      </w:divBdr>
    </w:div>
    <w:div w:id="1453863550">
      <w:bodyDiv w:val="1"/>
      <w:marLeft w:val="0"/>
      <w:marRight w:val="0"/>
      <w:marTop w:val="0"/>
      <w:marBottom w:val="0"/>
      <w:divBdr>
        <w:top w:val="none" w:sz="0" w:space="0" w:color="auto"/>
        <w:left w:val="none" w:sz="0" w:space="0" w:color="auto"/>
        <w:bottom w:val="none" w:sz="0" w:space="0" w:color="auto"/>
        <w:right w:val="none" w:sz="0" w:space="0" w:color="auto"/>
      </w:divBdr>
    </w:div>
    <w:div w:id="1460342913">
      <w:bodyDiv w:val="1"/>
      <w:marLeft w:val="0"/>
      <w:marRight w:val="0"/>
      <w:marTop w:val="0"/>
      <w:marBottom w:val="0"/>
      <w:divBdr>
        <w:top w:val="none" w:sz="0" w:space="0" w:color="auto"/>
        <w:left w:val="none" w:sz="0" w:space="0" w:color="auto"/>
        <w:bottom w:val="none" w:sz="0" w:space="0" w:color="auto"/>
        <w:right w:val="none" w:sz="0" w:space="0" w:color="auto"/>
      </w:divBdr>
    </w:div>
    <w:div w:id="1483740881">
      <w:bodyDiv w:val="1"/>
      <w:marLeft w:val="0"/>
      <w:marRight w:val="0"/>
      <w:marTop w:val="0"/>
      <w:marBottom w:val="0"/>
      <w:divBdr>
        <w:top w:val="none" w:sz="0" w:space="0" w:color="auto"/>
        <w:left w:val="none" w:sz="0" w:space="0" w:color="auto"/>
        <w:bottom w:val="none" w:sz="0" w:space="0" w:color="auto"/>
        <w:right w:val="none" w:sz="0" w:space="0" w:color="auto"/>
      </w:divBdr>
    </w:div>
    <w:div w:id="1513955578">
      <w:bodyDiv w:val="1"/>
      <w:marLeft w:val="0"/>
      <w:marRight w:val="0"/>
      <w:marTop w:val="0"/>
      <w:marBottom w:val="0"/>
      <w:divBdr>
        <w:top w:val="none" w:sz="0" w:space="0" w:color="auto"/>
        <w:left w:val="none" w:sz="0" w:space="0" w:color="auto"/>
        <w:bottom w:val="none" w:sz="0" w:space="0" w:color="auto"/>
        <w:right w:val="none" w:sz="0" w:space="0" w:color="auto"/>
      </w:divBdr>
    </w:div>
    <w:div w:id="1530332780">
      <w:bodyDiv w:val="1"/>
      <w:marLeft w:val="0"/>
      <w:marRight w:val="0"/>
      <w:marTop w:val="0"/>
      <w:marBottom w:val="0"/>
      <w:divBdr>
        <w:top w:val="none" w:sz="0" w:space="0" w:color="auto"/>
        <w:left w:val="none" w:sz="0" w:space="0" w:color="auto"/>
        <w:bottom w:val="none" w:sz="0" w:space="0" w:color="auto"/>
        <w:right w:val="none" w:sz="0" w:space="0" w:color="auto"/>
      </w:divBdr>
    </w:div>
    <w:div w:id="1534071791">
      <w:bodyDiv w:val="1"/>
      <w:marLeft w:val="0"/>
      <w:marRight w:val="0"/>
      <w:marTop w:val="0"/>
      <w:marBottom w:val="0"/>
      <w:divBdr>
        <w:top w:val="none" w:sz="0" w:space="0" w:color="auto"/>
        <w:left w:val="none" w:sz="0" w:space="0" w:color="auto"/>
        <w:bottom w:val="none" w:sz="0" w:space="0" w:color="auto"/>
        <w:right w:val="none" w:sz="0" w:space="0" w:color="auto"/>
      </w:divBdr>
    </w:div>
    <w:div w:id="1535385158">
      <w:bodyDiv w:val="1"/>
      <w:marLeft w:val="0"/>
      <w:marRight w:val="0"/>
      <w:marTop w:val="0"/>
      <w:marBottom w:val="0"/>
      <w:divBdr>
        <w:top w:val="none" w:sz="0" w:space="0" w:color="auto"/>
        <w:left w:val="none" w:sz="0" w:space="0" w:color="auto"/>
        <w:bottom w:val="none" w:sz="0" w:space="0" w:color="auto"/>
        <w:right w:val="none" w:sz="0" w:space="0" w:color="auto"/>
      </w:divBdr>
    </w:div>
    <w:div w:id="1536308343">
      <w:bodyDiv w:val="1"/>
      <w:marLeft w:val="0"/>
      <w:marRight w:val="0"/>
      <w:marTop w:val="0"/>
      <w:marBottom w:val="0"/>
      <w:divBdr>
        <w:top w:val="none" w:sz="0" w:space="0" w:color="auto"/>
        <w:left w:val="none" w:sz="0" w:space="0" w:color="auto"/>
        <w:bottom w:val="none" w:sz="0" w:space="0" w:color="auto"/>
        <w:right w:val="none" w:sz="0" w:space="0" w:color="auto"/>
      </w:divBdr>
    </w:div>
    <w:div w:id="1568108159">
      <w:bodyDiv w:val="1"/>
      <w:marLeft w:val="0"/>
      <w:marRight w:val="0"/>
      <w:marTop w:val="0"/>
      <w:marBottom w:val="0"/>
      <w:divBdr>
        <w:top w:val="none" w:sz="0" w:space="0" w:color="auto"/>
        <w:left w:val="none" w:sz="0" w:space="0" w:color="auto"/>
        <w:bottom w:val="none" w:sz="0" w:space="0" w:color="auto"/>
        <w:right w:val="none" w:sz="0" w:space="0" w:color="auto"/>
      </w:divBdr>
    </w:div>
    <w:div w:id="1585534784">
      <w:bodyDiv w:val="1"/>
      <w:marLeft w:val="0"/>
      <w:marRight w:val="0"/>
      <w:marTop w:val="0"/>
      <w:marBottom w:val="0"/>
      <w:divBdr>
        <w:top w:val="none" w:sz="0" w:space="0" w:color="auto"/>
        <w:left w:val="none" w:sz="0" w:space="0" w:color="auto"/>
        <w:bottom w:val="none" w:sz="0" w:space="0" w:color="auto"/>
        <w:right w:val="none" w:sz="0" w:space="0" w:color="auto"/>
      </w:divBdr>
    </w:div>
    <w:div w:id="1586260126">
      <w:bodyDiv w:val="1"/>
      <w:marLeft w:val="0"/>
      <w:marRight w:val="0"/>
      <w:marTop w:val="0"/>
      <w:marBottom w:val="0"/>
      <w:divBdr>
        <w:top w:val="none" w:sz="0" w:space="0" w:color="auto"/>
        <w:left w:val="none" w:sz="0" w:space="0" w:color="auto"/>
        <w:bottom w:val="none" w:sz="0" w:space="0" w:color="auto"/>
        <w:right w:val="none" w:sz="0" w:space="0" w:color="auto"/>
      </w:divBdr>
    </w:div>
    <w:div w:id="1591236043">
      <w:bodyDiv w:val="1"/>
      <w:marLeft w:val="0"/>
      <w:marRight w:val="0"/>
      <w:marTop w:val="0"/>
      <w:marBottom w:val="0"/>
      <w:divBdr>
        <w:top w:val="none" w:sz="0" w:space="0" w:color="auto"/>
        <w:left w:val="none" w:sz="0" w:space="0" w:color="auto"/>
        <w:bottom w:val="none" w:sz="0" w:space="0" w:color="auto"/>
        <w:right w:val="none" w:sz="0" w:space="0" w:color="auto"/>
      </w:divBdr>
    </w:div>
    <w:div w:id="1608003995">
      <w:bodyDiv w:val="1"/>
      <w:marLeft w:val="0"/>
      <w:marRight w:val="0"/>
      <w:marTop w:val="0"/>
      <w:marBottom w:val="0"/>
      <w:divBdr>
        <w:top w:val="none" w:sz="0" w:space="0" w:color="auto"/>
        <w:left w:val="none" w:sz="0" w:space="0" w:color="auto"/>
        <w:bottom w:val="none" w:sz="0" w:space="0" w:color="auto"/>
        <w:right w:val="none" w:sz="0" w:space="0" w:color="auto"/>
      </w:divBdr>
    </w:div>
    <w:div w:id="1610316242">
      <w:bodyDiv w:val="1"/>
      <w:marLeft w:val="0"/>
      <w:marRight w:val="0"/>
      <w:marTop w:val="0"/>
      <w:marBottom w:val="0"/>
      <w:divBdr>
        <w:top w:val="none" w:sz="0" w:space="0" w:color="auto"/>
        <w:left w:val="none" w:sz="0" w:space="0" w:color="auto"/>
        <w:bottom w:val="none" w:sz="0" w:space="0" w:color="auto"/>
        <w:right w:val="none" w:sz="0" w:space="0" w:color="auto"/>
      </w:divBdr>
    </w:div>
    <w:div w:id="1625690487">
      <w:bodyDiv w:val="1"/>
      <w:marLeft w:val="0"/>
      <w:marRight w:val="0"/>
      <w:marTop w:val="0"/>
      <w:marBottom w:val="0"/>
      <w:divBdr>
        <w:top w:val="none" w:sz="0" w:space="0" w:color="auto"/>
        <w:left w:val="none" w:sz="0" w:space="0" w:color="auto"/>
        <w:bottom w:val="none" w:sz="0" w:space="0" w:color="auto"/>
        <w:right w:val="none" w:sz="0" w:space="0" w:color="auto"/>
      </w:divBdr>
    </w:div>
    <w:div w:id="1635672542">
      <w:bodyDiv w:val="1"/>
      <w:marLeft w:val="0"/>
      <w:marRight w:val="0"/>
      <w:marTop w:val="0"/>
      <w:marBottom w:val="0"/>
      <w:divBdr>
        <w:top w:val="none" w:sz="0" w:space="0" w:color="auto"/>
        <w:left w:val="none" w:sz="0" w:space="0" w:color="auto"/>
        <w:bottom w:val="none" w:sz="0" w:space="0" w:color="auto"/>
        <w:right w:val="none" w:sz="0" w:space="0" w:color="auto"/>
      </w:divBdr>
    </w:div>
    <w:div w:id="1652515071">
      <w:bodyDiv w:val="1"/>
      <w:marLeft w:val="0"/>
      <w:marRight w:val="0"/>
      <w:marTop w:val="0"/>
      <w:marBottom w:val="0"/>
      <w:divBdr>
        <w:top w:val="none" w:sz="0" w:space="0" w:color="auto"/>
        <w:left w:val="none" w:sz="0" w:space="0" w:color="auto"/>
        <w:bottom w:val="none" w:sz="0" w:space="0" w:color="auto"/>
        <w:right w:val="none" w:sz="0" w:space="0" w:color="auto"/>
      </w:divBdr>
    </w:div>
    <w:div w:id="1672639719">
      <w:bodyDiv w:val="1"/>
      <w:marLeft w:val="0"/>
      <w:marRight w:val="0"/>
      <w:marTop w:val="0"/>
      <w:marBottom w:val="0"/>
      <w:divBdr>
        <w:top w:val="none" w:sz="0" w:space="0" w:color="auto"/>
        <w:left w:val="none" w:sz="0" w:space="0" w:color="auto"/>
        <w:bottom w:val="none" w:sz="0" w:space="0" w:color="auto"/>
        <w:right w:val="none" w:sz="0" w:space="0" w:color="auto"/>
      </w:divBdr>
    </w:div>
    <w:div w:id="1685783644">
      <w:bodyDiv w:val="1"/>
      <w:marLeft w:val="0"/>
      <w:marRight w:val="0"/>
      <w:marTop w:val="0"/>
      <w:marBottom w:val="0"/>
      <w:divBdr>
        <w:top w:val="none" w:sz="0" w:space="0" w:color="auto"/>
        <w:left w:val="none" w:sz="0" w:space="0" w:color="auto"/>
        <w:bottom w:val="none" w:sz="0" w:space="0" w:color="auto"/>
        <w:right w:val="none" w:sz="0" w:space="0" w:color="auto"/>
      </w:divBdr>
    </w:div>
    <w:div w:id="1718161714">
      <w:bodyDiv w:val="1"/>
      <w:marLeft w:val="0"/>
      <w:marRight w:val="0"/>
      <w:marTop w:val="0"/>
      <w:marBottom w:val="0"/>
      <w:divBdr>
        <w:top w:val="none" w:sz="0" w:space="0" w:color="auto"/>
        <w:left w:val="none" w:sz="0" w:space="0" w:color="auto"/>
        <w:bottom w:val="none" w:sz="0" w:space="0" w:color="auto"/>
        <w:right w:val="none" w:sz="0" w:space="0" w:color="auto"/>
      </w:divBdr>
      <w:divsChild>
        <w:div w:id="2128498270">
          <w:marLeft w:val="547"/>
          <w:marRight w:val="0"/>
          <w:marTop w:val="200"/>
          <w:marBottom w:val="0"/>
          <w:divBdr>
            <w:top w:val="none" w:sz="0" w:space="0" w:color="auto"/>
            <w:left w:val="none" w:sz="0" w:space="0" w:color="auto"/>
            <w:bottom w:val="none" w:sz="0" w:space="0" w:color="auto"/>
            <w:right w:val="none" w:sz="0" w:space="0" w:color="auto"/>
          </w:divBdr>
        </w:div>
        <w:div w:id="1115370626">
          <w:marLeft w:val="547"/>
          <w:marRight w:val="0"/>
          <w:marTop w:val="200"/>
          <w:marBottom w:val="0"/>
          <w:divBdr>
            <w:top w:val="none" w:sz="0" w:space="0" w:color="auto"/>
            <w:left w:val="none" w:sz="0" w:space="0" w:color="auto"/>
            <w:bottom w:val="none" w:sz="0" w:space="0" w:color="auto"/>
            <w:right w:val="none" w:sz="0" w:space="0" w:color="auto"/>
          </w:divBdr>
        </w:div>
        <w:div w:id="412707738">
          <w:marLeft w:val="547"/>
          <w:marRight w:val="0"/>
          <w:marTop w:val="200"/>
          <w:marBottom w:val="0"/>
          <w:divBdr>
            <w:top w:val="none" w:sz="0" w:space="0" w:color="auto"/>
            <w:left w:val="none" w:sz="0" w:space="0" w:color="auto"/>
            <w:bottom w:val="none" w:sz="0" w:space="0" w:color="auto"/>
            <w:right w:val="none" w:sz="0" w:space="0" w:color="auto"/>
          </w:divBdr>
        </w:div>
        <w:div w:id="1107702886">
          <w:marLeft w:val="547"/>
          <w:marRight w:val="0"/>
          <w:marTop w:val="200"/>
          <w:marBottom w:val="0"/>
          <w:divBdr>
            <w:top w:val="none" w:sz="0" w:space="0" w:color="auto"/>
            <w:left w:val="none" w:sz="0" w:space="0" w:color="auto"/>
            <w:bottom w:val="none" w:sz="0" w:space="0" w:color="auto"/>
            <w:right w:val="none" w:sz="0" w:space="0" w:color="auto"/>
          </w:divBdr>
        </w:div>
        <w:div w:id="2005350507">
          <w:marLeft w:val="547"/>
          <w:marRight w:val="0"/>
          <w:marTop w:val="200"/>
          <w:marBottom w:val="0"/>
          <w:divBdr>
            <w:top w:val="none" w:sz="0" w:space="0" w:color="auto"/>
            <w:left w:val="none" w:sz="0" w:space="0" w:color="auto"/>
            <w:bottom w:val="none" w:sz="0" w:space="0" w:color="auto"/>
            <w:right w:val="none" w:sz="0" w:space="0" w:color="auto"/>
          </w:divBdr>
        </w:div>
        <w:div w:id="1819225086">
          <w:marLeft w:val="547"/>
          <w:marRight w:val="0"/>
          <w:marTop w:val="200"/>
          <w:marBottom w:val="0"/>
          <w:divBdr>
            <w:top w:val="none" w:sz="0" w:space="0" w:color="auto"/>
            <w:left w:val="none" w:sz="0" w:space="0" w:color="auto"/>
            <w:bottom w:val="none" w:sz="0" w:space="0" w:color="auto"/>
            <w:right w:val="none" w:sz="0" w:space="0" w:color="auto"/>
          </w:divBdr>
        </w:div>
        <w:div w:id="314721304">
          <w:marLeft w:val="547"/>
          <w:marRight w:val="0"/>
          <w:marTop w:val="200"/>
          <w:marBottom w:val="0"/>
          <w:divBdr>
            <w:top w:val="none" w:sz="0" w:space="0" w:color="auto"/>
            <w:left w:val="none" w:sz="0" w:space="0" w:color="auto"/>
            <w:bottom w:val="none" w:sz="0" w:space="0" w:color="auto"/>
            <w:right w:val="none" w:sz="0" w:space="0" w:color="auto"/>
          </w:divBdr>
        </w:div>
      </w:divsChild>
    </w:div>
    <w:div w:id="1737510226">
      <w:bodyDiv w:val="1"/>
      <w:marLeft w:val="0"/>
      <w:marRight w:val="0"/>
      <w:marTop w:val="0"/>
      <w:marBottom w:val="0"/>
      <w:divBdr>
        <w:top w:val="none" w:sz="0" w:space="0" w:color="auto"/>
        <w:left w:val="none" w:sz="0" w:space="0" w:color="auto"/>
        <w:bottom w:val="none" w:sz="0" w:space="0" w:color="auto"/>
        <w:right w:val="none" w:sz="0" w:space="0" w:color="auto"/>
      </w:divBdr>
    </w:div>
    <w:div w:id="1750931508">
      <w:bodyDiv w:val="1"/>
      <w:marLeft w:val="0"/>
      <w:marRight w:val="0"/>
      <w:marTop w:val="0"/>
      <w:marBottom w:val="0"/>
      <w:divBdr>
        <w:top w:val="none" w:sz="0" w:space="0" w:color="auto"/>
        <w:left w:val="none" w:sz="0" w:space="0" w:color="auto"/>
        <w:bottom w:val="none" w:sz="0" w:space="0" w:color="auto"/>
        <w:right w:val="none" w:sz="0" w:space="0" w:color="auto"/>
      </w:divBdr>
      <w:divsChild>
        <w:div w:id="409543285">
          <w:marLeft w:val="547"/>
          <w:marRight w:val="0"/>
          <w:marTop w:val="0"/>
          <w:marBottom w:val="0"/>
          <w:divBdr>
            <w:top w:val="none" w:sz="0" w:space="0" w:color="auto"/>
            <w:left w:val="none" w:sz="0" w:space="0" w:color="auto"/>
            <w:bottom w:val="none" w:sz="0" w:space="0" w:color="auto"/>
            <w:right w:val="none" w:sz="0" w:space="0" w:color="auto"/>
          </w:divBdr>
        </w:div>
      </w:divsChild>
    </w:div>
    <w:div w:id="1759474541">
      <w:bodyDiv w:val="1"/>
      <w:marLeft w:val="0"/>
      <w:marRight w:val="0"/>
      <w:marTop w:val="0"/>
      <w:marBottom w:val="0"/>
      <w:divBdr>
        <w:top w:val="none" w:sz="0" w:space="0" w:color="auto"/>
        <w:left w:val="none" w:sz="0" w:space="0" w:color="auto"/>
        <w:bottom w:val="none" w:sz="0" w:space="0" w:color="auto"/>
        <w:right w:val="none" w:sz="0" w:space="0" w:color="auto"/>
      </w:divBdr>
    </w:div>
    <w:div w:id="1781409061">
      <w:bodyDiv w:val="1"/>
      <w:marLeft w:val="0"/>
      <w:marRight w:val="0"/>
      <w:marTop w:val="0"/>
      <w:marBottom w:val="0"/>
      <w:divBdr>
        <w:top w:val="none" w:sz="0" w:space="0" w:color="auto"/>
        <w:left w:val="none" w:sz="0" w:space="0" w:color="auto"/>
        <w:bottom w:val="none" w:sz="0" w:space="0" w:color="auto"/>
        <w:right w:val="none" w:sz="0" w:space="0" w:color="auto"/>
      </w:divBdr>
    </w:div>
    <w:div w:id="1786845925">
      <w:bodyDiv w:val="1"/>
      <w:marLeft w:val="0"/>
      <w:marRight w:val="0"/>
      <w:marTop w:val="0"/>
      <w:marBottom w:val="0"/>
      <w:divBdr>
        <w:top w:val="none" w:sz="0" w:space="0" w:color="auto"/>
        <w:left w:val="none" w:sz="0" w:space="0" w:color="auto"/>
        <w:bottom w:val="none" w:sz="0" w:space="0" w:color="auto"/>
        <w:right w:val="none" w:sz="0" w:space="0" w:color="auto"/>
      </w:divBdr>
    </w:div>
    <w:div w:id="1808274903">
      <w:bodyDiv w:val="1"/>
      <w:marLeft w:val="0"/>
      <w:marRight w:val="0"/>
      <w:marTop w:val="0"/>
      <w:marBottom w:val="0"/>
      <w:divBdr>
        <w:top w:val="none" w:sz="0" w:space="0" w:color="auto"/>
        <w:left w:val="none" w:sz="0" w:space="0" w:color="auto"/>
        <w:bottom w:val="none" w:sz="0" w:space="0" w:color="auto"/>
        <w:right w:val="none" w:sz="0" w:space="0" w:color="auto"/>
      </w:divBdr>
    </w:div>
    <w:div w:id="1818692839">
      <w:bodyDiv w:val="1"/>
      <w:marLeft w:val="0"/>
      <w:marRight w:val="0"/>
      <w:marTop w:val="0"/>
      <w:marBottom w:val="0"/>
      <w:divBdr>
        <w:top w:val="none" w:sz="0" w:space="0" w:color="auto"/>
        <w:left w:val="none" w:sz="0" w:space="0" w:color="auto"/>
        <w:bottom w:val="none" w:sz="0" w:space="0" w:color="auto"/>
        <w:right w:val="none" w:sz="0" w:space="0" w:color="auto"/>
      </w:divBdr>
    </w:div>
    <w:div w:id="1829785376">
      <w:bodyDiv w:val="1"/>
      <w:marLeft w:val="0"/>
      <w:marRight w:val="0"/>
      <w:marTop w:val="0"/>
      <w:marBottom w:val="0"/>
      <w:divBdr>
        <w:top w:val="none" w:sz="0" w:space="0" w:color="auto"/>
        <w:left w:val="none" w:sz="0" w:space="0" w:color="auto"/>
        <w:bottom w:val="none" w:sz="0" w:space="0" w:color="auto"/>
        <w:right w:val="none" w:sz="0" w:space="0" w:color="auto"/>
      </w:divBdr>
    </w:div>
    <w:div w:id="1879589351">
      <w:bodyDiv w:val="1"/>
      <w:marLeft w:val="0"/>
      <w:marRight w:val="0"/>
      <w:marTop w:val="0"/>
      <w:marBottom w:val="0"/>
      <w:divBdr>
        <w:top w:val="none" w:sz="0" w:space="0" w:color="auto"/>
        <w:left w:val="none" w:sz="0" w:space="0" w:color="auto"/>
        <w:bottom w:val="none" w:sz="0" w:space="0" w:color="auto"/>
        <w:right w:val="none" w:sz="0" w:space="0" w:color="auto"/>
      </w:divBdr>
    </w:div>
    <w:div w:id="1884058316">
      <w:bodyDiv w:val="1"/>
      <w:marLeft w:val="0"/>
      <w:marRight w:val="0"/>
      <w:marTop w:val="0"/>
      <w:marBottom w:val="0"/>
      <w:divBdr>
        <w:top w:val="none" w:sz="0" w:space="0" w:color="auto"/>
        <w:left w:val="none" w:sz="0" w:space="0" w:color="auto"/>
        <w:bottom w:val="none" w:sz="0" w:space="0" w:color="auto"/>
        <w:right w:val="none" w:sz="0" w:space="0" w:color="auto"/>
      </w:divBdr>
    </w:div>
    <w:div w:id="1889797145">
      <w:bodyDiv w:val="1"/>
      <w:marLeft w:val="0"/>
      <w:marRight w:val="0"/>
      <w:marTop w:val="0"/>
      <w:marBottom w:val="0"/>
      <w:divBdr>
        <w:top w:val="none" w:sz="0" w:space="0" w:color="auto"/>
        <w:left w:val="none" w:sz="0" w:space="0" w:color="auto"/>
        <w:bottom w:val="none" w:sz="0" w:space="0" w:color="auto"/>
        <w:right w:val="none" w:sz="0" w:space="0" w:color="auto"/>
      </w:divBdr>
    </w:div>
    <w:div w:id="1900895321">
      <w:bodyDiv w:val="1"/>
      <w:marLeft w:val="0"/>
      <w:marRight w:val="0"/>
      <w:marTop w:val="0"/>
      <w:marBottom w:val="0"/>
      <w:divBdr>
        <w:top w:val="none" w:sz="0" w:space="0" w:color="auto"/>
        <w:left w:val="none" w:sz="0" w:space="0" w:color="auto"/>
        <w:bottom w:val="none" w:sz="0" w:space="0" w:color="auto"/>
        <w:right w:val="none" w:sz="0" w:space="0" w:color="auto"/>
      </w:divBdr>
    </w:div>
    <w:div w:id="1920940718">
      <w:bodyDiv w:val="1"/>
      <w:marLeft w:val="0"/>
      <w:marRight w:val="0"/>
      <w:marTop w:val="0"/>
      <w:marBottom w:val="0"/>
      <w:divBdr>
        <w:top w:val="none" w:sz="0" w:space="0" w:color="auto"/>
        <w:left w:val="none" w:sz="0" w:space="0" w:color="auto"/>
        <w:bottom w:val="none" w:sz="0" w:space="0" w:color="auto"/>
        <w:right w:val="none" w:sz="0" w:space="0" w:color="auto"/>
      </w:divBdr>
    </w:div>
    <w:div w:id="1938127327">
      <w:bodyDiv w:val="1"/>
      <w:marLeft w:val="0"/>
      <w:marRight w:val="0"/>
      <w:marTop w:val="0"/>
      <w:marBottom w:val="0"/>
      <w:divBdr>
        <w:top w:val="none" w:sz="0" w:space="0" w:color="auto"/>
        <w:left w:val="none" w:sz="0" w:space="0" w:color="auto"/>
        <w:bottom w:val="none" w:sz="0" w:space="0" w:color="auto"/>
        <w:right w:val="none" w:sz="0" w:space="0" w:color="auto"/>
      </w:divBdr>
    </w:div>
    <w:div w:id="1944532815">
      <w:bodyDiv w:val="1"/>
      <w:marLeft w:val="0"/>
      <w:marRight w:val="0"/>
      <w:marTop w:val="0"/>
      <w:marBottom w:val="0"/>
      <w:divBdr>
        <w:top w:val="none" w:sz="0" w:space="0" w:color="auto"/>
        <w:left w:val="none" w:sz="0" w:space="0" w:color="auto"/>
        <w:bottom w:val="none" w:sz="0" w:space="0" w:color="auto"/>
        <w:right w:val="none" w:sz="0" w:space="0" w:color="auto"/>
      </w:divBdr>
    </w:div>
    <w:div w:id="1964920720">
      <w:bodyDiv w:val="1"/>
      <w:marLeft w:val="0"/>
      <w:marRight w:val="0"/>
      <w:marTop w:val="0"/>
      <w:marBottom w:val="0"/>
      <w:divBdr>
        <w:top w:val="none" w:sz="0" w:space="0" w:color="auto"/>
        <w:left w:val="none" w:sz="0" w:space="0" w:color="auto"/>
        <w:bottom w:val="none" w:sz="0" w:space="0" w:color="auto"/>
        <w:right w:val="none" w:sz="0" w:space="0" w:color="auto"/>
      </w:divBdr>
    </w:div>
    <w:div w:id="1981573451">
      <w:bodyDiv w:val="1"/>
      <w:marLeft w:val="0"/>
      <w:marRight w:val="0"/>
      <w:marTop w:val="0"/>
      <w:marBottom w:val="0"/>
      <w:divBdr>
        <w:top w:val="none" w:sz="0" w:space="0" w:color="auto"/>
        <w:left w:val="none" w:sz="0" w:space="0" w:color="auto"/>
        <w:bottom w:val="none" w:sz="0" w:space="0" w:color="auto"/>
        <w:right w:val="none" w:sz="0" w:space="0" w:color="auto"/>
      </w:divBdr>
    </w:div>
    <w:div w:id="1988048669">
      <w:bodyDiv w:val="1"/>
      <w:marLeft w:val="0"/>
      <w:marRight w:val="0"/>
      <w:marTop w:val="0"/>
      <w:marBottom w:val="0"/>
      <w:divBdr>
        <w:top w:val="none" w:sz="0" w:space="0" w:color="auto"/>
        <w:left w:val="none" w:sz="0" w:space="0" w:color="auto"/>
        <w:bottom w:val="none" w:sz="0" w:space="0" w:color="auto"/>
        <w:right w:val="none" w:sz="0" w:space="0" w:color="auto"/>
      </w:divBdr>
    </w:div>
    <w:div w:id="2002464024">
      <w:bodyDiv w:val="1"/>
      <w:marLeft w:val="0"/>
      <w:marRight w:val="0"/>
      <w:marTop w:val="0"/>
      <w:marBottom w:val="0"/>
      <w:divBdr>
        <w:top w:val="none" w:sz="0" w:space="0" w:color="auto"/>
        <w:left w:val="none" w:sz="0" w:space="0" w:color="auto"/>
        <w:bottom w:val="none" w:sz="0" w:space="0" w:color="auto"/>
        <w:right w:val="none" w:sz="0" w:space="0" w:color="auto"/>
      </w:divBdr>
    </w:div>
    <w:div w:id="2006467231">
      <w:bodyDiv w:val="1"/>
      <w:marLeft w:val="0"/>
      <w:marRight w:val="0"/>
      <w:marTop w:val="0"/>
      <w:marBottom w:val="0"/>
      <w:divBdr>
        <w:top w:val="none" w:sz="0" w:space="0" w:color="auto"/>
        <w:left w:val="none" w:sz="0" w:space="0" w:color="auto"/>
        <w:bottom w:val="none" w:sz="0" w:space="0" w:color="auto"/>
        <w:right w:val="none" w:sz="0" w:space="0" w:color="auto"/>
      </w:divBdr>
    </w:div>
    <w:div w:id="2016418330">
      <w:bodyDiv w:val="1"/>
      <w:marLeft w:val="0"/>
      <w:marRight w:val="0"/>
      <w:marTop w:val="0"/>
      <w:marBottom w:val="0"/>
      <w:divBdr>
        <w:top w:val="none" w:sz="0" w:space="0" w:color="auto"/>
        <w:left w:val="none" w:sz="0" w:space="0" w:color="auto"/>
        <w:bottom w:val="none" w:sz="0" w:space="0" w:color="auto"/>
        <w:right w:val="none" w:sz="0" w:space="0" w:color="auto"/>
      </w:divBdr>
    </w:div>
    <w:div w:id="2032954125">
      <w:bodyDiv w:val="1"/>
      <w:marLeft w:val="0"/>
      <w:marRight w:val="0"/>
      <w:marTop w:val="0"/>
      <w:marBottom w:val="0"/>
      <w:divBdr>
        <w:top w:val="none" w:sz="0" w:space="0" w:color="auto"/>
        <w:left w:val="none" w:sz="0" w:space="0" w:color="auto"/>
        <w:bottom w:val="none" w:sz="0" w:space="0" w:color="auto"/>
        <w:right w:val="none" w:sz="0" w:space="0" w:color="auto"/>
      </w:divBdr>
    </w:div>
    <w:div w:id="2046520279">
      <w:bodyDiv w:val="1"/>
      <w:marLeft w:val="0"/>
      <w:marRight w:val="0"/>
      <w:marTop w:val="0"/>
      <w:marBottom w:val="0"/>
      <w:divBdr>
        <w:top w:val="none" w:sz="0" w:space="0" w:color="auto"/>
        <w:left w:val="none" w:sz="0" w:space="0" w:color="auto"/>
        <w:bottom w:val="none" w:sz="0" w:space="0" w:color="auto"/>
        <w:right w:val="none" w:sz="0" w:space="0" w:color="auto"/>
      </w:divBdr>
    </w:div>
    <w:div w:id="2051300818">
      <w:bodyDiv w:val="1"/>
      <w:marLeft w:val="0"/>
      <w:marRight w:val="0"/>
      <w:marTop w:val="0"/>
      <w:marBottom w:val="0"/>
      <w:divBdr>
        <w:top w:val="none" w:sz="0" w:space="0" w:color="auto"/>
        <w:left w:val="none" w:sz="0" w:space="0" w:color="auto"/>
        <w:bottom w:val="none" w:sz="0" w:space="0" w:color="auto"/>
        <w:right w:val="none" w:sz="0" w:space="0" w:color="auto"/>
      </w:divBdr>
    </w:div>
    <w:div w:id="2071464247">
      <w:bodyDiv w:val="1"/>
      <w:marLeft w:val="0"/>
      <w:marRight w:val="0"/>
      <w:marTop w:val="0"/>
      <w:marBottom w:val="0"/>
      <w:divBdr>
        <w:top w:val="none" w:sz="0" w:space="0" w:color="auto"/>
        <w:left w:val="none" w:sz="0" w:space="0" w:color="auto"/>
        <w:bottom w:val="none" w:sz="0" w:space="0" w:color="auto"/>
        <w:right w:val="none" w:sz="0" w:space="0" w:color="auto"/>
      </w:divBdr>
    </w:div>
    <w:div w:id="2076471330">
      <w:bodyDiv w:val="1"/>
      <w:marLeft w:val="0"/>
      <w:marRight w:val="0"/>
      <w:marTop w:val="0"/>
      <w:marBottom w:val="0"/>
      <w:divBdr>
        <w:top w:val="none" w:sz="0" w:space="0" w:color="auto"/>
        <w:left w:val="none" w:sz="0" w:space="0" w:color="auto"/>
        <w:bottom w:val="none" w:sz="0" w:space="0" w:color="auto"/>
        <w:right w:val="none" w:sz="0" w:space="0" w:color="auto"/>
      </w:divBdr>
    </w:div>
    <w:div w:id="2077163629">
      <w:bodyDiv w:val="1"/>
      <w:marLeft w:val="0"/>
      <w:marRight w:val="0"/>
      <w:marTop w:val="0"/>
      <w:marBottom w:val="0"/>
      <w:divBdr>
        <w:top w:val="none" w:sz="0" w:space="0" w:color="auto"/>
        <w:left w:val="none" w:sz="0" w:space="0" w:color="auto"/>
        <w:bottom w:val="none" w:sz="0" w:space="0" w:color="auto"/>
        <w:right w:val="none" w:sz="0" w:space="0" w:color="auto"/>
      </w:divBdr>
    </w:div>
    <w:div w:id="2083524829">
      <w:bodyDiv w:val="1"/>
      <w:marLeft w:val="0"/>
      <w:marRight w:val="0"/>
      <w:marTop w:val="0"/>
      <w:marBottom w:val="0"/>
      <w:divBdr>
        <w:top w:val="none" w:sz="0" w:space="0" w:color="auto"/>
        <w:left w:val="none" w:sz="0" w:space="0" w:color="auto"/>
        <w:bottom w:val="none" w:sz="0" w:space="0" w:color="auto"/>
        <w:right w:val="none" w:sz="0" w:space="0" w:color="auto"/>
      </w:divBdr>
    </w:div>
    <w:div w:id="2087460467">
      <w:bodyDiv w:val="1"/>
      <w:marLeft w:val="0"/>
      <w:marRight w:val="0"/>
      <w:marTop w:val="0"/>
      <w:marBottom w:val="0"/>
      <w:divBdr>
        <w:top w:val="none" w:sz="0" w:space="0" w:color="auto"/>
        <w:left w:val="none" w:sz="0" w:space="0" w:color="auto"/>
        <w:bottom w:val="none" w:sz="0" w:space="0" w:color="auto"/>
        <w:right w:val="none" w:sz="0" w:space="0" w:color="auto"/>
      </w:divBdr>
    </w:div>
    <w:div w:id="2089568533">
      <w:bodyDiv w:val="1"/>
      <w:marLeft w:val="0"/>
      <w:marRight w:val="0"/>
      <w:marTop w:val="0"/>
      <w:marBottom w:val="0"/>
      <w:divBdr>
        <w:top w:val="none" w:sz="0" w:space="0" w:color="auto"/>
        <w:left w:val="none" w:sz="0" w:space="0" w:color="auto"/>
        <w:bottom w:val="none" w:sz="0" w:space="0" w:color="auto"/>
        <w:right w:val="none" w:sz="0" w:space="0" w:color="auto"/>
      </w:divBdr>
    </w:div>
    <w:div w:id="2106001260">
      <w:bodyDiv w:val="1"/>
      <w:marLeft w:val="0"/>
      <w:marRight w:val="0"/>
      <w:marTop w:val="0"/>
      <w:marBottom w:val="0"/>
      <w:divBdr>
        <w:top w:val="none" w:sz="0" w:space="0" w:color="auto"/>
        <w:left w:val="none" w:sz="0" w:space="0" w:color="auto"/>
        <w:bottom w:val="none" w:sz="0" w:space="0" w:color="auto"/>
        <w:right w:val="none" w:sz="0" w:space="0" w:color="auto"/>
      </w:divBdr>
    </w:div>
    <w:div w:id="2121292041">
      <w:bodyDiv w:val="1"/>
      <w:marLeft w:val="0"/>
      <w:marRight w:val="0"/>
      <w:marTop w:val="0"/>
      <w:marBottom w:val="0"/>
      <w:divBdr>
        <w:top w:val="none" w:sz="0" w:space="0" w:color="auto"/>
        <w:left w:val="none" w:sz="0" w:space="0" w:color="auto"/>
        <w:bottom w:val="none" w:sz="0" w:space="0" w:color="auto"/>
        <w:right w:val="none" w:sz="0" w:space="0" w:color="auto"/>
      </w:divBdr>
    </w:div>
    <w:div w:id="2123260324">
      <w:bodyDiv w:val="1"/>
      <w:marLeft w:val="0"/>
      <w:marRight w:val="0"/>
      <w:marTop w:val="0"/>
      <w:marBottom w:val="0"/>
      <w:divBdr>
        <w:top w:val="none" w:sz="0" w:space="0" w:color="auto"/>
        <w:left w:val="none" w:sz="0" w:space="0" w:color="auto"/>
        <w:bottom w:val="none" w:sz="0" w:space="0" w:color="auto"/>
        <w:right w:val="none" w:sz="0" w:space="0" w:color="auto"/>
      </w:divBdr>
    </w:div>
    <w:div w:id="2132819564">
      <w:bodyDiv w:val="1"/>
      <w:marLeft w:val="0"/>
      <w:marRight w:val="0"/>
      <w:marTop w:val="0"/>
      <w:marBottom w:val="0"/>
      <w:divBdr>
        <w:top w:val="none" w:sz="0" w:space="0" w:color="auto"/>
        <w:left w:val="none" w:sz="0" w:space="0" w:color="auto"/>
        <w:bottom w:val="none" w:sz="0" w:space="0" w:color="auto"/>
        <w:right w:val="none" w:sz="0" w:space="0" w:color="auto"/>
      </w:divBdr>
    </w:div>
    <w:div w:id="2135901973">
      <w:bodyDiv w:val="1"/>
      <w:marLeft w:val="0"/>
      <w:marRight w:val="0"/>
      <w:marTop w:val="0"/>
      <w:marBottom w:val="0"/>
      <w:divBdr>
        <w:top w:val="none" w:sz="0" w:space="0" w:color="auto"/>
        <w:left w:val="none" w:sz="0" w:space="0" w:color="auto"/>
        <w:bottom w:val="none" w:sz="0" w:space="0" w:color="auto"/>
        <w:right w:val="none" w:sz="0" w:space="0" w:color="auto"/>
      </w:divBdr>
    </w:div>
    <w:div w:id="214650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www.cbamonitor.cz/kategorie/cba-hypomonito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bamonitor.cz/kategorie/ceny-nemovitosti" TargetMode="External"/><Relationship Id="rId17" Type="http://schemas.openxmlformats.org/officeDocument/2006/relationships/hyperlink" Target="http://www.cbaonline.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Vlastní 1">
      <a:majorFont>
        <a:latin typeface="Calibri Light"/>
        <a:ea typeface=""/>
        <a:cs typeface=""/>
      </a:majorFont>
      <a:minorFont>
        <a:latin typeface="Calibri Ligh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C0CBE5B95D55468F8CF7D6D1C8CB6B" ma:contentTypeVersion="10" ma:contentTypeDescription="Create a new document." ma:contentTypeScope="" ma:versionID="03de8c559e19055c2732f6aae148e160">
  <xsd:schema xmlns:xsd="http://www.w3.org/2001/XMLSchema" xmlns:xs="http://www.w3.org/2001/XMLSchema" xmlns:p="http://schemas.microsoft.com/office/2006/metadata/properties" xmlns:ns3="b09ec118-0c61-46db-bb00-952e09940a1f" targetNamespace="http://schemas.microsoft.com/office/2006/metadata/properties" ma:root="true" ma:fieldsID="a58f24d30c88e6ff28d70a1926b856b7" ns3:_="">
    <xsd:import namespace="b09ec118-0c61-46db-bb00-952e09940a1f"/>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ec118-0c61-46db-bb00-952e09940a1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09ec118-0c61-46db-bb00-952e09940a1f" xsi:nil="true"/>
  </documentManagement>
</p:properties>
</file>

<file path=customXml/itemProps1.xml><?xml version="1.0" encoding="utf-8"?>
<ds:datastoreItem xmlns:ds="http://schemas.openxmlformats.org/officeDocument/2006/customXml" ds:itemID="{90F695EA-D77D-4F66-A87E-5245D7A921CD}">
  <ds:schemaRefs>
    <ds:schemaRef ds:uri="http://schemas.microsoft.com/sharepoint/v3/contenttype/forms"/>
  </ds:schemaRefs>
</ds:datastoreItem>
</file>

<file path=customXml/itemProps2.xml><?xml version="1.0" encoding="utf-8"?>
<ds:datastoreItem xmlns:ds="http://schemas.openxmlformats.org/officeDocument/2006/customXml" ds:itemID="{C5464796-18D1-44D3-AEB3-40E112819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ec118-0c61-46db-bb00-952e09940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9F6F5-D843-4129-900A-FD170C2ABB09}">
  <ds:schemaRefs>
    <ds:schemaRef ds:uri="http://schemas.openxmlformats.org/officeDocument/2006/bibliography"/>
  </ds:schemaRefs>
</ds:datastoreItem>
</file>

<file path=customXml/itemProps4.xml><?xml version="1.0" encoding="utf-8"?>
<ds:datastoreItem xmlns:ds="http://schemas.openxmlformats.org/officeDocument/2006/customXml" ds:itemID="{6DB935B7-8C88-4CAE-A0AA-13A352B0843E}">
  <ds:schemaRefs>
    <ds:schemaRef ds:uri="http://schemas.microsoft.com/office/2006/metadata/properties"/>
    <ds:schemaRef ds:uri="http://schemas.microsoft.com/office/infopath/2007/PartnerControls"/>
    <ds:schemaRef ds:uri="b09ec118-0c61-46db-bb00-952e09940a1f"/>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8</Pages>
  <Words>1949</Words>
  <Characters>11500</Characters>
  <Application>Microsoft Office Word</Application>
  <DocSecurity>0</DocSecurity>
  <Lines>95</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vlachova</dc:creator>
  <cp:lastModifiedBy>Možná, Radana (ČBA)</cp:lastModifiedBy>
  <cp:revision>16</cp:revision>
  <cp:lastPrinted>2024-08-12T11:42:00Z</cp:lastPrinted>
  <dcterms:created xsi:type="dcterms:W3CDTF">2025-04-11T13:23:00Z</dcterms:created>
  <dcterms:modified xsi:type="dcterms:W3CDTF">2025-05-15T18:46:00Z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0x0101004DC0CBE5B95D55468F8CF7D6D1C8CB6B</vt:lpwstr>
  </property>
</Properties>
</file>