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5735" w14:textId="36481FAF" w:rsidR="00DF154D" w:rsidRDefault="003D3759" w:rsidP="003D3759">
      <w:pPr>
        <w:rPr>
          <w:rFonts w:ascii="Calibri" w:hAnsi="Calibri" w:cs="Calibri"/>
          <w:b/>
          <w:color w:val="13576B"/>
          <w:sz w:val="32"/>
          <w:szCs w:val="32"/>
        </w:rPr>
      </w:pPr>
      <w:bookmarkStart w:id="0" w:name="_Hlk111121205"/>
      <w:bookmarkStart w:id="1" w:name="_Hlk116472656"/>
      <w:r w:rsidRPr="00616069">
        <w:rPr>
          <w:rFonts w:ascii="Calibri" w:hAnsi="Calibri" w:cs="Calibri"/>
          <w:b/>
          <w:color w:val="13576B"/>
          <w:sz w:val="32"/>
          <w:szCs w:val="32"/>
        </w:rPr>
        <w:t xml:space="preserve">ČBA </w:t>
      </w:r>
      <w:proofErr w:type="spellStart"/>
      <w:r w:rsidRPr="00616069">
        <w:rPr>
          <w:rFonts w:ascii="Calibri" w:hAnsi="Calibri" w:cs="Calibri"/>
          <w:b/>
          <w:color w:val="13576B"/>
          <w:sz w:val="32"/>
          <w:szCs w:val="32"/>
        </w:rPr>
        <w:t>Hypomonitor</w:t>
      </w:r>
      <w:proofErr w:type="spellEnd"/>
      <w:r w:rsidRPr="00616069">
        <w:rPr>
          <w:rFonts w:ascii="Calibri" w:hAnsi="Calibri" w:cs="Calibri"/>
          <w:b/>
          <w:color w:val="13576B"/>
          <w:sz w:val="32"/>
          <w:szCs w:val="32"/>
        </w:rPr>
        <w:t xml:space="preserve">: </w:t>
      </w:r>
      <w:r w:rsidR="007F690B" w:rsidRPr="00287580">
        <w:rPr>
          <w:rFonts w:ascii="Calibri" w:hAnsi="Calibri" w:cs="Calibri"/>
          <w:b/>
          <w:color w:val="13576B"/>
          <w:sz w:val="32"/>
          <w:szCs w:val="32"/>
        </w:rPr>
        <w:t>Únorové</w:t>
      </w:r>
      <w:r w:rsidR="00641532" w:rsidRPr="00287580">
        <w:rPr>
          <w:rFonts w:ascii="Calibri" w:hAnsi="Calibri" w:cs="Calibri"/>
          <w:b/>
          <w:color w:val="13576B"/>
          <w:sz w:val="32"/>
          <w:szCs w:val="32"/>
        </w:rPr>
        <w:t xml:space="preserve"> hypotéky </w:t>
      </w:r>
      <w:r w:rsidR="007F690B" w:rsidRPr="00287580">
        <w:rPr>
          <w:rFonts w:ascii="Calibri" w:hAnsi="Calibri" w:cs="Calibri"/>
          <w:b/>
          <w:color w:val="13576B"/>
          <w:sz w:val="32"/>
          <w:szCs w:val="32"/>
        </w:rPr>
        <w:t>pokračovaly svižně i díky nižší sazbě</w:t>
      </w:r>
      <w:r w:rsidR="00641532" w:rsidRPr="007F690B">
        <w:rPr>
          <w:rFonts w:ascii="Calibri" w:hAnsi="Calibri" w:cs="Calibri"/>
          <w:b/>
          <w:color w:val="FF0000"/>
          <w:sz w:val="32"/>
          <w:szCs w:val="32"/>
        </w:rPr>
        <w:t xml:space="preserve"> </w:t>
      </w:r>
    </w:p>
    <w:p w14:paraId="4F3263AD" w14:textId="01B286C0" w:rsidR="00574588" w:rsidRPr="00DF154D" w:rsidRDefault="007F690B" w:rsidP="003D3759">
      <w:pPr>
        <w:rPr>
          <w:rFonts w:ascii="Calibri" w:hAnsi="Calibri" w:cs="Calibri"/>
          <w:b/>
          <w:color w:val="13576B"/>
          <w:sz w:val="24"/>
          <w:szCs w:val="24"/>
          <w:highlight w:val="yellow"/>
        </w:rPr>
      </w:pPr>
      <w:r>
        <w:rPr>
          <w:rFonts w:ascii="Calibri" w:hAnsi="Calibri" w:cs="Calibri"/>
          <w:b/>
          <w:color w:val="13576B"/>
          <w:sz w:val="24"/>
          <w:szCs w:val="24"/>
        </w:rPr>
        <w:t>Únor stále</w:t>
      </w:r>
      <w:r w:rsidR="00641532">
        <w:rPr>
          <w:rFonts w:ascii="Calibri" w:hAnsi="Calibri" w:cs="Calibri"/>
          <w:b/>
          <w:color w:val="13576B"/>
          <w:sz w:val="24"/>
          <w:szCs w:val="24"/>
        </w:rPr>
        <w:t xml:space="preserve"> naznačuje pokračující silné objemy nových hypoték </w:t>
      </w:r>
      <w:r>
        <w:rPr>
          <w:rFonts w:ascii="Calibri" w:hAnsi="Calibri" w:cs="Calibri"/>
          <w:b/>
          <w:color w:val="13576B"/>
          <w:sz w:val="24"/>
          <w:szCs w:val="24"/>
        </w:rPr>
        <w:t>i díky dalšímu poklesu</w:t>
      </w:r>
      <w:r w:rsidR="00641532">
        <w:rPr>
          <w:rFonts w:ascii="Calibri" w:hAnsi="Calibri" w:cs="Calibri"/>
          <w:b/>
          <w:color w:val="13576B"/>
          <w:sz w:val="24"/>
          <w:szCs w:val="24"/>
        </w:rPr>
        <w:t xml:space="preserve"> </w:t>
      </w:r>
      <w:r w:rsidR="000070E2" w:rsidRPr="00DF154D">
        <w:rPr>
          <w:rFonts w:ascii="Calibri" w:hAnsi="Calibri" w:cs="Calibri"/>
          <w:b/>
          <w:color w:val="13576B"/>
          <w:sz w:val="24"/>
          <w:szCs w:val="24"/>
        </w:rPr>
        <w:t>průměrn</w:t>
      </w:r>
      <w:r w:rsidR="005D05FD">
        <w:rPr>
          <w:rFonts w:ascii="Calibri" w:hAnsi="Calibri" w:cs="Calibri"/>
          <w:b/>
          <w:color w:val="13576B"/>
          <w:sz w:val="24"/>
          <w:szCs w:val="24"/>
        </w:rPr>
        <w:t>é</w:t>
      </w:r>
      <w:r w:rsidR="000070E2" w:rsidRPr="00DF154D">
        <w:rPr>
          <w:rFonts w:ascii="Calibri" w:hAnsi="Calibri" w:cs="Calibri"/>
          <w:b/>
          <w:color w:val="13576B"/>
          <w:sz w:val="24"/>
          <w:szCs w:val="24"/>
        </w:rPr>
        <w:t xml:space="preserve"> sazb</w:t>
      </w:r>
      <w:r w:rsidR="00465526" w:rsidRPr="00DF154D">
        <w:rPr>
          <w:rFonts w:ascii="Calibri" w:hAnsi="Calibri" w:cs="Calibri"/>
          <w:b/>
          <w:color w:val="13576B"/>
          <w:sz w:val="24"/>
          <w:szCs w:val="24"/>
        </w:rPr>
        <w:t>y</w:t>
      </w:r>
      <w:r w:rsidR="00530245" w:rsidRPr="00DF154D">
        <w:rPr>
          <w:rFonts w:ascii="Calibri" w:hAnsi="Calibri" w:cs="Calibri"/>
          <w:b/>
          <w:color w:val="13576B"/>
          <w:sz w:val="24"/>
          <w:szCs w:val="24"/>
        </w:rPr>
        <w:t xml:space="preserve"> na </w:t>
      </w:r>
      <w:r w:rsidR="00574588" w:rsidRPr="00DF154D">
        <w:rPr>
          <w:rFonts w:ascii="Calibri" w:hAnsi="Calibri" w:cs="Calibri"/>
          <w:b/>
          <w:color w:val="13576B"/>
          <w:sz w:val="24"/>
          <w:szCs w:val="24"/>
        </w:rPr>
        <w:t>4,</w:t>
      </w:r>
      <w:r w:rsidR="00641532">
        <w:rPr>
          <w:rFonts w:ascii="Calibri" w:hAnsi="Calibri" w:cs="Calibri"/>
          <w:b/>
          <w:color w:val="13576B"/>
          <w:sz w:val="24"/>
          <w:szCs w:val="24"/>
        </w:rPr>
        <w:t>7</w:t>
      </w:r>
      <w:r>
        <w:rPr>
          <w:rFonts w:ascii="Calibri" w:hAnsi="Calibri" w:cs="Calibri"/>
          <w:b/>
          <w:color w:val="13576B"/>
          <w:sz w:val="24"/>
          <w:szCs w:val="24"/>
        </w:rPr>
        <w:t>2</w:t>
      </w:r>
      <w:r w:rsidR="00C878A2">
        <w:rPr>
          <w:rFonts w:ascii="Calibri" w:hAnsi="Calibri" w:cs="Calibri"/>
          <w:b/>
          <w:color w:val="13576B"/>
          <w:sz w:val="24"/>
          <w:szCs w:val="24"/>
        </w:rPr>
        <w:t xml:space="preserve"> </w:t>
      </w:r>
      <w:r w:rsidR="00574588" w:rsidRPr="00DF154D">
        <w:rPr>
          <w:rFonts w:ascii="Calibri" w:hAnsi="Calibri" w:cs="Calibri"/>
          <w:b/>
          <w:color w:val="13576B"/>
          <w:sz w:val="24"/>
          <w:szCs w:val="24"/>
        </w:rPr>
        <w:t>%</w:t>
      </w:r>
      <w:r w:rsidR="007E0A18" w:rsidRPr="00DF154D">
        <w:rPr>
          <w:rFonts w:ascii="Calibri" w:hAnsi="Calibri" w:cs="Calibri"/>
          <w:b/>
          <w:color w:val="13576B"/>
          <w:sz w:val="24"/>
          <w:szCs w:val="24"/>
        </w:rPr>
        <w:t>.</w:t>
      </w:r>
    </w:p>
    <w:bookmarkEnd w:id="0"/>
    <w:p w14:paraId="5E7258BB" w14:textId="77777777" w:rsidR="0001227F" w:rsidRPr="002138C0" w:rsidRDefault="0001227F" w:rsidP="0001227F">
      <w:pPr>
        <w:rPr>
          <w:rFonts w:ascii="Calibri" w:hAnsi="Calibri" w:cs="Calibri"/>
          <w:b/>
          <w:bCs/>
          <w:highlight w:val="yellow"/>
        </w:rPr>
      </w:pPr>
    </w:p>
    <w:p w14:paraId="773ED148" w14:textId="0A1B1AFE" w:rsidR="00735CDE" w:rsidRPr="00735CDE" w:rsidRDefault="00C878A2" w:rsidP="00735CDE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 w:rsidRPr="00C878A2">
        <w:rPr>
          <w:rFonts w:ascii="Calibri" w:hAnsi="Calibri" w:cs="Calibri"/>
          <w:b/>
          <w:color w:val="13576B"/>
          <w:sz w:val="22"/>
          <w:szCs w:val="22"/>
        </w:rPr>
        <w:t xml:space="preserve">Praha, </w:t>
      </w:r>
      <w:r w:rsidR="007F690B">
        <w:rPr>
          <w:rFonts w:ascii="Calibri" w:hAnsi="Calibri" w:cs="Calibri"/>
          <w:b/>
          <w:color w:val="13576B"/>
          <w:sz w:val="22"/>
          <w:szCs w:val="22"/>
        </w:rPr>
        <w:t>14</w:t>
      </w:r>
      <w:r w:rsidRPr="00C878A2">
        <w:rPr>
          <w:rFonts w:ascii="Calibri" w:hAnsi="Calibri" w:cs="Calibri"/>
          <w:b/>
          <w:color w:val="13576B"/>
          <w:sz w:val="22"/>
          <w:szCs w:val="22"/>
        </w:rPr>
        <w:t xml:space="preserve">. </w:t>
      </w:r>
      <w:r w:rsidR="007F690B">
        <w:rPr>
          <w:rFonts w:ascii="Calibri" w:hAnsi="Calibri" w:cs="Calibri"/>
          <w:b/>
          <w:color w:val="13576B"/>
          <w:sz w:val="22"/>
          <w:szCs w:val="22"/>
        </w:rPr>
        <w:t>března</w:t>
      </w:r>
      <w:r w:rsidRPr="00C878A2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proofErr w:type="gramStart"/>
      <w:r w:rsidRPr="00C878A2">
        <w:rPr>
          <w:rFonts w:ascii="Calibri" w:hAnsi="Calibri" w:cs="Calibri"/>
          <w:b/>
          <w:color w:val="13576B"/>
          <w:sz w:val="22"/>
          <w:szCs w:val="22"/>
        </w:rPr>
        <w:t>2025 –</w:t>
      </w:r>
      <w:r w:rsidR="00735CDE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735CDE" w:rsidRPr="00735CDE">
        <w:rPr>
          <w:rFonts w:ascii="Calibri" w:hAnsi="Calibri" w:cs="Calibri"/>
          <w:b/>
          <w:bCs/>
          <w:color w:val="13576B"/>
          <w:sz w:val="22"/>
          <w:szCs w:val="22"/>
        </w:rPr>
        <w:t>V</w:t>
      </w:r>
      <w:proofErr w:type="gramEnd"/>
      <w:r w:rsidR="00735CDE" w:rsidRPr="00735CDE">
        <w:rPr>
          <w:rFonts w:ascii="Calibri" w:hAnsi="Calibri" w:cs="Calibri"/>
          <w:b/>
          <w:bCs/>
          <w:color w:val="13576B"/>
          <w:sz w:val="22"/>
          <w:szCs w:val="22"/>
        </w:rPr>
        <w:t xml:space="preserve"> únoru 2025 poskytly banky a stavební spořitelny nové hypotéky za 21,1 miliardy Kč. Oproti lednu aktivita objemově zesílila o 13 %, což částečně odpovídá sezónnímu vlivu </w:t>
      </w:r>
      <w:r w:rsidR="00735CDE">
        <w:rPr>
          <w:rFonts w:ascii="Calibri" w:hAnsi="Calibri" w:cs="Calibri"/>
          <w:b/>
          <w:bCs/>
          <w:color w:val="13576B"/>
          <w:sz w:val="22"/>
          <w:szCs w:val="22"/>
        </w:rPr>
        <w:t>oživení po slabším novoročním startu</w:t>
      </w:r>
      <w:r w:rsidR="00735CDE" w:rsidRPr="00735CDE">
        <w:rPr>
          <w:rFonts w:ascii="Calibri" w:hAnsi="Calibri" w:cs="Calibri"/>
          <w:b/>
          <w:bCs/>
          <w:color w:val="13576B"/>
          <w:sz w:val="22"/>
          <w:szCs w:val="22"/>
        </w:rPr>
        <w:t xml:space="preserve">. Průměrná realizovaná sazba hypoték dále klesla na 4,72 % z lednových 4,78 %. Její meziroční pokles o </w:t>
      </w:r>
      <w:proofErr w:type="gramStart"/>
      <w:r w:rsidR="00735CDE" w:rsidRPr="00735CDE">
        <w:rPr>
          <w:rFonts w:ascii="Calibri" w:hAnsi="Calibri" w:cs="Calibri"/>
          <w:b/>
          <w:bCs/>
          <w:color w:val="13576B"/>
          <w:sz w:val="22"/>
          <w:szCs w:val="22"/>
        </w:rPr>
        <w:t>0,64%</w:t>
      </w:r>
      <w:proofErr w:type="gramEnd"/>
      <w:r w:rsidR="00735CDE" w:rsidRPr="00735CDE">
        <w:rPr>
          <w:rFonts w:ascii="Calibri" w:hAnsi="Calibri" w:cs="Calibri"/>
          <w:b/>
          <w:bCs/>
          <w:color w:val="13576B"/>
          <w:sz w:val="22"/>
          <w:szCs w:val="22"/>
        </w:rPr>
        <w:t xml:space="preserve"> bodu snižuje měsíční splátky přibližně o 1,7 % čistého příjmu žadatele o hypotéku, tedy přibližně o 1,5 tis. Kč. </w:t>
      </w:r>
      <w:r w:rsidR="00735CDE">
        <w:rPr>
          <w:rFonts w:ascii="Calibri" w:hAnsi="Calibri" w:cs="Calibri"/>
          <w:b/>
          <w:bCs/>
          <w:color w:val="13576B"/>
          <w:sz w:val="22"/>
          <w:szCs w:val="22"/>
        </w:rPr>
        <w:t>Naopak p</w:t>
      </w:r>
      <w:r w:rsidR="00735CDE" w:rsidRPr="00735CDE">
        <w:rPr>
          <w:rFonts w:ascii="Calibri" w:hAnsi="Calibri" w:cs="Calibri"/>
          <w:b/>
          <w:bCs/>
          <w:color w:val="13576B"/>
          <w:sz w:val="22"/>
          <w:szCs w:val="22"/>
        </w:rPr>
        <w:t xml:space="preserve">růměrná velikost skutečně nově poskytnuté hypotéky v únoru mírně stoupla na 4 miliónu korun, což meziročně zvedlo měsíční splátku o přibližně 3,9 % tohoto příjmu, tedy o 3,4 tis. Kč. Pokud hypotéky udrží dynamiku z posledních tří měsíců, pak objem nových hypoték v roce 2025 může dosáhnout úrovně 278 miliard Kč, o </w:t>
      </w:r>
      <w:r w:rsidR="00735CDE">
        <w:rPr>
          <w:rFonts w:ascii="Calibri" w:hAnsi="Calibri" w:cs="Calibri"/>
          <w:b/>
          <w:bCs/>
          <w:color w:val="13576B"/>
          <w:sz w:val="22"/>
          <w:szCs w:val="22"/>
        </w:rPr>
        <w:t xml:space="preserve">přibližně pětinu </w:t>
      </w:r>
      <w:r w:rsidR="00735CDE" w:rsidRPr="00735CDE">
        <w:rPr>
          <w:rFonts w:ascii="Calibri" w:hAnsi="Calibri" w:cs="Calibri"/>
          <w:b/>
          <w:bCs/>
          <w:color w:val="13576B"/>
          <w:sz w:val="22"/>
          <w:szCs w:val="22"/>
        </w:rPr>
        <w:t>výše než před rokem. Uvedené informace plynou z údajů ČBA Hypomonitoru, který zachycuje data všech tuzemských bank a stavebních spořitelen poskytujících hypoteční úvěry.</w:t>
      </w:r>
    </w:p>
    <w:p w14:paraId="35C46D8C" w14:textId="7D18004E" w:rsidR="00C878A2" w:rsidRDefault="00C878A2" w:rsidP="0001227F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44AD2489" w14:textId="6F0F4BB7" w:rsidR="002A5D11" w:rsidRPr="007F690B" w:rsidRDefault="00287580" w:rsidP="002A5D11">
      <w:pPr>
        <w:rPr>
          <w:rFonts w:ascii="Calibri" w:hAnsi="Calibri" w:cs="Calibri"/>
          <w:b/>
          <w:color w:val="FF0000"/>
          <w:sz w:val="24"/>
          <w:szCs w:val="24"/>
        </w:rPr>
      </w:pPr>
      <w:r w:rsidRPr="00287580">
        <w:rPr>
          <w:rFonts w:ascii="Calibri" w:hAnsi="Calibri" w:cs="Calibri"/>
          <w:b/>
          <w:color w:val="000000" w:themeColor="text1"/>
          <w:sz w:val="24"/>
          <w:szCs w:val="24"/>
        </w:rPr>
        <w:t xml:space="preserve">Únor si udržel silný </w:t>
      </w:r>
      <w:r w:rsidR="005142AC" w:rsidRPr="00287580">
        <w:rPr>
          <w:rFonts w:ascii="Calibri" w:hAnsi="Calibri" w:cs="Calibri"/>
          <w:b/>
          <w:color w:val="000000" w:themeColor="text1"/>
          <w:sz w:val="24"/>
          <w:szCs w:val="24"/>
        </w:rPr>
        <w:t>objem</w:t>
      </w:r>
      <w:r w:rsidR="002A5D11" w:rsidRPr="00287580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287580">
        <w:rPr>
          <w:rFonts w:ascii="Calibri" w:hAnsi="Calibri" w:cs="Calibri"/>
          <w:b/>
          <w:color w:val="000000" w:themeColor="text1"/>
          <w:sz w:val="24"/>
          <w:szCs w:val="24"/>
        </w:rPr>
        <w:t xml:space="preserve">nově </w:t>
      </w:r>
      <w:r w:rsidR="002A5D11" w:rsidRPr="00287580">
        <w:rPr>
          <w:rFonts w:ascii="Calibri" w:hAnsi="Calibri" w:cs="Calibri"/>
          <w:b/>
          <w:color w:val="000000" w:themeColor="text1"/>
          <w:sz w:val="24"/>
          <w:szCs w:val="24"/>
        </w:rPr>
        <w:t xml:space="preserve">poskytnutých hypoték </w:t>
      </w:r>
    </w:p>
    <w:p w14:paraId="1A2432CD" w14:textId="77777777" w:rsidR="00C56C08" w:rsidRPr="00C53EEF" w:rsidRDefault="00C56C08" w:rsidP="0001227F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38E2CA1E" w14:textId="5DCC044E" w:rsidR="00CF5293" w:rsidRDefault="00287580" w:rsidP="00CF5293">
      <w:pPr>
        <w:rPr>
          <w:rFonts w:ascii="Calibri" w:hAnsi="Calibri" w:cs="Calibri"/>
          <w:color w:val="000000"/>
          <w:sz w:val="22"/>
          <w:szCs w:val="22"/>
        </w:rPr>
      </w:pPr>
      <w:r w:rsidRPr="002138C0">
        <w:rPr>
          <w:rFonts w:ascii="Calibri" w:hAnsi="Calibri" w:cs="Calibri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BBC4C7" wp14:editId="45059084">
                <wp:simplePos x="0" y="0"/>
                <wp:positionH relativeFrom="margin">
                  <wp:align>left</wp:align>
                </wp:positionH>
                <wp:positionV relativeFrom="paragraph">
                  <wp:posOffset>1758315</wp:posOffset>
                </wp:positionV>
                <wp:extent cx="6519545" cy="866775"/>
                <wp:effectExtent l="0" t="0" r="14605" b="28575"/>
                <wp:wrapTopAndBottom/>
                <wp:docPr id="4856127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8667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80ABA" w14:textId="0C8DE0ED" w:rsidR="001177C9" w:rsidRPr="00287580" w:rsidRDefault="00A02F5D" w:rsidP="001177C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8530F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41532" w:rsidRPr="0028530F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„</w:t>
                            </w:r>
                            <w:r w:rsidR="00287580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Objem nových hypoték v únoru pokračoval svižným tempem a k jeho oživení nepřispělo pouze obvyklé mírné únorové oživení. Tento nárůst odráží nejen další zvýšení průměrné výše hypotéky, ale pozorujeme i mírn</w:t>
                            </w:r>
                            <w:r w:rsidR="001F4E92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ý</w:t>
                            </w:r>
                            <w:r w:rsidR="00287580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nárůst počtu nových hypoték</w:t>
                            </w:r>
                            <w:r w:rsidR="001F4E92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,</w:t>
                            </w:r>
                            <w:r w:rsidR="001177C9" w:rsidRPr="001177C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“ </w:t>
                            </w:r>
                            <w:r w:rsidR="001177C9" w:rsidRPr="007F690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říká </w:t>
                            </w:r>
                            <w:r w:rsidR="00287580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Jaromír Šindel</w:t>
                            </w:r>
                            <w:r w:rsidR="001177C9" w:rsidRPr="007F690B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287580" w:rsidRPr="00A02F5D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hlavní ekonom České bankovní asociace.</w:t>
                            </w:r>
                          </w:p>
                          <w:p w14:paraId="51E41BE8" w14:textId="6FF3361E" w:rsidR="00A02F5D" w:rsidRPr="00A72DB7" w:rsidRDefault="00A02F5D" w:rsidP="00A02F5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BC4C7" id="Rectangle 1" o:spid="_x0000_s1026" style="position:absolute;left:0;text-align:left;margin-left:0;margin-top:138.45pt;width:513.35pt;height:68.2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" fillcolor="white [3201]" strokecolor="black [3213]" strokeweight=".5pt">
                <v:textbox>
                  <w:txbxContent>
                    <w:p w14:paraId="2E680ABA" w14:textId="0C8DE0ED" w:rsidR="001177C9" w:rsidRPr="00287580" w:rsidRDefault="00A02F5D" w:rsidP="001177C9">
                      <w:pPr>
                        <w:rPr>
                          <w:b/>
                          <w:bCs/>
                        </w:rPr>
                      </w:pPr>
                      <w:r w:rsidRPr="0028530F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641532" w:rsidRPr="0028530F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„</w:t>
                      </w:r>
                      <w:r w:rsidR="00287580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Objem nových hypoték v únoru pokračoval svižným tempem a k jeho oživení nepřispělo pouze obvyklé mírné únorové oživení. Tento nárůst odráží nejen další zvýšení průměrné výše hypotéky, ale pozorujeme i mírn</w:t>
                      </w:r>
                      <w:r w:rsidR="001F4E92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ý</w:t>
                      </w:r>
                      <w:r w:rsidR="00287580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nárůst počtu nových hypoték</w:t>
                      </w:r>
                      <w:r w:rsidR="001F4E92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,</w:t>
                      </w:r>
                      <w:r w:rsidR="001177C9" w:rsidRPr="001177C9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“ </w:t>
                      </w:r>
                      <w:r w:rsidR="001177C9" w:rsidRPr="007F690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říká </w:t>
                      </w:r>
                      <w:r w:rsidR="0028758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Jaromír Šindel</w:t>
                      </w:r>
                      <w:r w:rsidR="001177C9" w:rsidRPr="007F690B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287580" w:rsidRPr="00A02F5D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hlavní ekonom České bankovní asociace.</w:t>
                      </w:r>
                    </w:p>
                    <w:p w14:paraId="51E41BE8" w14:textId="6FF3361E" w:rsidR="00A02F5D" w:rsidRPr="00A72DB7" w:rsidRDefault="00A02F5D" w:rsidP="00A02F5D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735CDE" w:rsidRPr="00735CDE">
        <w:rPr>
          <w:rFonts w:ascii="Calibri" w:hAnsi="Calibri" w:cs="Calibri"/>
          <w:b/>
          <w:bCs/>
          <w:noProof/>
          <w:sz w:val="22"/>
          <w:szCs w:val="22"/>
        </w:rPr>
        <w:t>V únoru poskytly banky a stavební spořitelny skutečně nové hypoteční úvěry za 21,1 mld. Kč a k tomu klienti navíc refinancovali své hypotéky v rozsahu 4,3 mld. Kč.</w:t>
      </w:r>
      <w:r w:rsidR="00735CDE" w:rsidRPr="00735CDE">
        <w:rPr>
          <w:rFonts w:ascii="Calibri" w:hAnsi="Calibri" w:cs="Calibri"/>
          <w:noProof/>
          <w:sz w:val="22"/>
          <w:szCs w:val="22"/>
        </w:rPr>
        <w:t xml:space="preserve"> Oproti lednu tak</w:t>
      </w:r>
      <w:r w:rsidR="00735CDE">
        <w:rPr>
          <w:rFonts w:ascii="Calibri" w:hAnsi="Calibri" w:cs="Calibri"/>
          <w:noProof/>
          <w:sz w:val="22"/>
          <w:szCs w:val="22"/>
        </w:rPr>
        <w:t xml:space="preserve"> nová</w:t>
      </w:r>
      <w:r w:rsidR="00735CDE" w:rsidRPr="00735CDE">
        <w:rPr>
          <w:rFonts w:ascii="Calibri" w:hAnsi="Calibri" w:cs="Calibri"/>
          <w:noProof/>
          <w:sz w:val="22"/>
          <w:szCs w:val="22"/>
        </w:rPr>
        <w:t xml:space="preserve"> hypoteční aktivita objemově stoupla přibližně o 13 %, což částečně odpovídá sezónnímu vlivu (obvykle objem nových hypoték v únoru meziměsíčně naroste o 4 %; předchozí měsíc poklesl o 5 % v porovnání s obvyklými -11 %).  Po sezónní úpravě přinesla únorová čísla nových hypoték nárůst (na přibližně 24,3 mld. Kč ve srovnání s 22,6 mld. v předchozích třech měsících) a dostala se tak na přibližně o 48 % vyšší úroveň ve srovnání s první polovinou minulého roku. V meziročním vyjádření růst objemu poskytnutých hypoték v únoru zvolnil na 62 % z lednových 72 % a po 83% meziročním nárůstu v minulém roce. Počet nových hypoték </w:t>
      </w:r>
      <w:r w:rsidR="00284721" w:rsidRPr="00735CDE">
        <w:rPr>
          <w:rFonts w:ascii="Calibri" w:hAnsi="Calibri" w:cs="Calibri"/>
          <w:noProof/>
          <w:sz w:val="22"/>
          <w:szCs w:val="22"/>
        </w:rPr>
        <w:t xml:space="preserve">v únoru </w:t>
      </w:r>
      <w:r w:rsidR="00735CDE" w:rsidRPr="00735CDE">
        <w:rPr>
          <w:rFonts w:ascii="Calibri" w:hAnsi="Calibri" w:cs="Calibri"/>
          <w:noProof/>
          <w:sz w:val="22"/>
          <w:szCs w:val="22"/>
        </w:rPr>
        <w:t>dosáhl 5277 kusů, což je o 37 % více než před rokem. Odhadujeme, že po sezónním očištění se jejich počet pohybuje okolo 5931, přibližně 3 % nad průměrným počtem (5756) v předchozích třech měsící</w:t>
      </w:r>
      <w:r w:rsidR="001F4E92">
        <w:rPr>
          <w:rFonts w:ascii="Calibri" w:hAnsi="Calibri" w:cs="Calibri"/>
          <w:noProof/>
          <w:sz w:val="22"/>
          <w:szCs w:val="22"/>
        </w:rPr>
        <w:t>c</w:t>
      </w:r>
      <w:r w:rsidR="00735CDE" w:rsidRPr="00735CDE">
        <w:rPr>
          <w:rFonts w:ascii="Calibri" w:hAnsi="Calibri" w:cs="Calibri"/>
          <w:noProof/>
          <w:sz w:val="22"/>
          <w:szCs w:val="22"/>
        </w:rPr>
        <w:t>h.</w:t>
      </w:r>
    </w:p>
    <w:p w14:paraId="124D2D31" w14:textId="3397D7C8" w:rsidR="00F61FFC" w:rsidRDefault="006E04F7" w:rsidP="000B0992">
      <w:pPr>
        <w:spacing w:before="240" w:after="120"/>
        <w:rPr>
          <w:rFonts w:ascii="Calibri" w:hAnsi="Calibri" w:cs="Calibri"/>
          <w:b/>
          <w:color w:val="13576B"/>
          <w:sz w:val="23"/>
          <w:szCs w:val="23"/>
        </w:rPr>
      </w:pPr>
      <w:bookmarkStart w:id="2" w:name="_Hlk111121228"/>
      <w:bookmarkStart w:id="3" w:name="_Hlk119308742"/>
      <w:r w:rsidRPr="003F159E">
        <w:rPr>
          <w:rFonts w:ascii="Calibri" w:hAnsi="Calibri" w:cs="Calibri"/>
          <w:b/>
          <w:color w:val="13576B"/>
          <w:sz w:val="23"/>
          <w:szCs w:val="23"/>
        </w:rPr>
        <w:t>Tabulka č. 1: Shrnutí objemu poskytnutých hypoték a průměrných úrokových sazeb za</w:t>
      </w:r>
      <w:r w:rsidR="003E393C" w:rsidRPr="003F159E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7F690B">
        <w:rPr>
          <w:rFonts w:ascii="Calibri" w:hAnsi="Calibri" w:cs="Calibri"/>
          <w:b/>
          <w:color w:val="13576B"/>
          <w:sz w:val="23"/>
          <w:szCs w:val="23"/>
        </w:rPr>
        <w:t>únor</w:t>
      </w:r>
      <w:r w:rsidR="001306A2" w:rsidRPr="003F159E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Pr="003F159E">
        <w:rPr>
          <w:rFonts w:ascii="Calibri" w:hAnsi="Calibri" w:cs="Calibri"/>
          <w:b/>
          <w:color w:val="13576B"/>
          <w:sz w:val="23"/>
          <w:szCs w:val="23"/>
        </w:rPr>
        <w:t>202</w:t>
      </w:r>
      <w:r w:rsidR="00641532">
        <w:rPr>
          <w:rFonts w:ascii="Calibri" w:hAnsi="Calibri" w:cs="Calibri"/>
          <w:b/>
          <w:color w:val="13576B"/>
          <w:sz w:val="23"/>
          <w:szCs w:val="23"/>
        </w:rPr>
        <w:t>5</w:t>
      </w: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101"/>
        <w:gridCol w:w="960"/>
        <w:gridCol w:w="960"/>
      </w:tblGrid>
      <w:tr w:rsidR="006E04F7" w:rsidRPr="002138C0" w14:paraId="17FF1971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F3251" w14:textId="0D26F15D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2D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A24DE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Objem</w:t>
            </w: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53183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E958C3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Sazba</w:t>
            </w: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 xml:space="preserve"> (%)</w:t>
            </w:r>
          </w:p>
        </w:tc>
      </w:tr>
      <w:tr w:rsidR="006E04F7" w:rsidRPr="002138C0" w14:paraId="07461CAA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7FCD68" w14:textId="715FBAEA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7E1F4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418F2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5DC471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</w:tr>
      <w:tr w:rsidR="00B3483B" w:rsidRPr="002138C0" w14:paraId="35D90BA7" w14:textId="77777777" w:rsidTr="00991D3E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C651BE" w14:textId="55D0463E" w:rsidR="00B3483B" w:rsidRPr="00072DB9" w:rsidRDefault="00B3483B" w:rsidP="00B3483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B166" w14:textId="656D8BBC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48BEB" w14:textId="7E07D6C8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6 579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688592" w14:textId="17F57F39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4,72</w:t>
            </w:r>
          </w:p>
        </w:tc>
      </w:tr>
      <w:tr w:rsidR="00B3483B" w:rsidRPr="002138C0" w14:paraId="76C06795" w14:textId="77777777" w:rsidTr="00991D3E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bottom"/>
            <w:hideMark/>
          </w:tcPr>
          <w:p w14:paraId="62A0E8CC" w14:textId="77777777" w:rsidR="00B3483B" w:rsidRPr="00072DB9" w:rsidRDefault="00B3483B" w:rsidP="00B3483B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Nové úvěry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520FBFDC" w14:textId="6A352637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21,1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41404E63" w14:textId="423A822F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5 277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center"/>
            <w:hideMark/>
          </w:tcPr>
          <w:p w14:paraId="5B0C0248" w14:textId="3A1DE864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4,72</w:t>
            </w:r>
          </w:p>
        </w:tc>
      </w:tr>
      <w:tr w:rsidR="00B3483B" w:rsidRPr="002138C0" w14:paraId="6E865282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2C0C1" w14:textId="77777777" w:rsidR="00B3483B" w:rsidRPr="00072DB9" w:rsidRDefault="00B3483B" w:rsidP="00B3483B">
            <w:pPr>
              <w:overflowPunct/>
              <w:autoSpaceDE/>
              <w:autoSpaceDN/>
              <w:adjustRightInd/>
              <w:ind w:firstLineChars="200" w:firstLine="44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z toho: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98F3E" w14:textId="612AA6A6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92348" w14:textId="13A1FA66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B27E5" w14:textId="3261230D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B3483B" w:rsidRPr="002138C0" w14:paraId="10DD8204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828A8" w14:textId="74481CAD" w:rsidR="00B3483B" w:rsidRPr="00072DB9" w:rsidRDefault="00B3483B" w:rsidP="00B3483B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koupi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C905E" w14:textId="047B7643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B5019" w14:textId="2580BA65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4 235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CA2C7" w14:textId="1DDB1874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4,71</w:t>
            </w:r>
          </w:p>
        </w:tc>
      </w:tr>
      <w:tr w:rsidR="00B3483B" w:rsidRPr="002138C0" w14:paraId="6815BAA0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17F24" w14:textId="02A472AC" w:rsidR="00B3483B" w:rsidRPr="00072DB9" w:rsidRDefault="00B3483B" w:rsidP="00B3483B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výstavbu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73796" w14:textId="0A158839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C2F1D" w14:textId="588B9D74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8392A" w14:textId="6931CB66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4,69</w:t>
            </w:r>
          </w:p>
        </w:tc>
      </w:tr>
      <w:tr w:rsidR="00B3483B" w:rsidRPr="002138C0" w14:paraId="13F97586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A57913" w14:textId="6B59A630" w:rsidR="00B3483B" w:rsidRPr="00072DB9" w:rsidRDefault="00B3483B" w:rsidP="00B3483B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2856C" w14:textId="775E5B51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570EC" w14:textId="304E6223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AA1522" w14:textId="007B1043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5,03</w:t>
            </w:r>
          </w:p>
        </w:tc>
      </w:tr>
      <w:tr w:rsidR="00B3483B" w:rsidRPr="002138C0" w14:paraId="219FB66B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1E43AF" w14:textId="77777777" w:rsidR="00B3483B" w:rsidRPr="00072DB9" w:rsidRDefault="00B3483B" w:rsidP="00B3483B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z jiné instituce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77EA4" w14:textId="7EC409E4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5343" w14:textId="0915CFAD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1 050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210A95" w14:textId="431A408C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4,68</w:t>
            </w:r>
          </w:p>
        </w:tc>
      </w:tr>
      <w:tr w:rsidR="00B3483B" w:rsidRPr="002138C0" w14:paraId="3D627EA7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25FADF" w14:textId="733CDA02" w:rsidR="00B3483B" w:rsidRPr="00072DB9" w:rsidRDefault="00B3483B" w:rsidP="00B3483B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interně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5E1E0" w14:textId="4F0D6E72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7364C" w14:textId="628E94E8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3AFF57" w14:textId="6332A0E0" w:rsidR="00B3483B" w:rsidRPr="00072DB9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4,73</w:t>
            </w:r>
          </w:p>
        </w:tc>
      </w:tr>
      <w:tr w:rsidR="006E04F7" w:rsidRPr="002138C0" w14:paraId="763F0D46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1A28A" w14:textId="63A22841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 w:rsidRPr="00072DB9">
              <w:rPr>
                <w:rFonts w:ascii="Calibri Light" w:hAnsi="Calibri Light" w:cs="Calibri Light"/>
                <w:color w:val="13576B"/>
                <w:sz w:val="20"/>
              </w:rPr>
              <w:t xml:space="preserve">Pramen: ČBA </w:t>
            </w:r>
            <w:proofErr w:type="spellStart"/>
            <w:r w:rsidRPr="00072DB9">
              <w:rPr>
                <w:rFonts w:ascii="Calibri Light" w:hAnsi="Calibri Light" w:cs="Calibri Light"/>
                <w:color w:val="13576B"/>
                <w:sz w:val="20"/>
              </w:rPr>
              <w:t>Hypomonitor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541C2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856BD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47165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</w:tbl>
    <w:p w14:paraId="7D8871E8" w14:textId="70656819" w:rsidR="000B0992" w:rsidRDefault="000B0992" w:rsidP="00237E0B">
      <w:pPr>
        <w:spacing w:before="120" w:after="120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402BB8A5" w14:textId="29959062" w:rsidR="00F40055" w:rsidRDefault="00F40055" w:rsidP="00F40055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F690B">
        <w:rPr>
          <w:rFonts w:ascii="Calibri" w:hAnsi="Calibri" w:cs="Calibri"/>
          <w:b/>
          <w:bCs/>
          <w:color w:val="000000"/>
          <w:sz w:val="22"/>
          <w:szCs w:val="22"/>
        </w:rPr>
        <w:t xml:space="preserve">Objem refinancovaných úvěrů (interně či z jiné instituce) v únoru stoupl na 4,3 mld. Kč. </w:t>
      </w:r>
      <w:r w:rsidRPr="007F690B">
        <w:rPr>
          <w:rFonts w:ascii="Calibri" w:hAnsi="Calibri" w:cs="Calibri"/>
          <w:color w:val="000000"/>
          <w:sz w:val="22"/>
          <w:szCs w:val="22"/>
        </w:rPr>
        <w:t>To je o 10 % více než průměrných 3,9 miliard</w:t>
      </w:r>
      <w:r w:rsidR="001F4E92">
        <w:rPr>
          <w:rFonts w:ascii="Calibri" w:hAnsi="Calibri" w:cs="Calibri"/>
          <w:color w:val="000000"/>
          <w:sz w:val="22"/>
          <w:szCs w:val="22"/>
        </w:rPr>
        <w:t>y</w:t>
      </w:r>
      <w:r w:rsidRPr="007F690B">
        <w:rPr>
          <w:rFonts w:ascii="Calibri" w:hAnsi="Calibri" w:cs="Calibri"/>
          <w:color w:val="000000"/>
          <w:sz w:val="22"/>
          <w:szCs w:val="22"/>
        </w:rPr>
        <w:t xml:space="preserve"> refinancovaných loňský rok a o 100 % nad 2,2 miliardami refinancovanými v roce 2023. Podíl refinancovaných úvěrů na celkovém objemu poskytnutých hypoték pak lehce klesl na 16,9 %, což </w:t>
      </w:r>
      <w:r>
        <w:rPr>
          <w:rFonts w:ascii="Calibri" w:hAnsi="Calibri" w:cs="Calibri"/>
          <w:color w:val="000000"/>
          <w:sz w:val="22"/>
          <w:szCs w:val="22"/>
        </w:rPr>
        <w:t>odpovídá</w:t>
      </w:r>
      <w:r w:rsidRPr="007F690B">
        <w:rPr>
          <w:rFonts w:ascii="Calibri" w:hAnsi="Calibri" w:cs="Calibri"/>
          <w:color w:val="000000"/>
          <w:sz w:val="22"/>
          <w:szCs w:val="22"/>
        </w:rPr>
        <w:t xml:space="preserve"> loňské</w:t>
      </w:r>
      <w:r w:rsidR="001F4E92">
        <w:rPr>
          <w:rFonts w:ascii="Calibri" w:hAnsi="Calibri" w:cs="Calibri"/>
          <w:color w:val="000000"/>
          <w:sz w:val="22"/>
          <w:szCs w:val="22"/>
        </w:rPr>
        <w:t>mu</w:t>
      </w:r>
      <w:r w:rsidRPr="007F690B">
        <w:rPr>
          <w:rFonts w:ascii="Calibri" w:hAnsi="Calibri" w:cs="Calibri"/>
          <w:color w:val="000000"/>
          <w:sz w:val="22"/>
          <w:szCs w:val="22"/>
        </w:rPr>
        <w:t xml:space="preserve"> průměru 16,9 %. Nachází se tak nepatrně pod 17,2% podílem z let 2022-2023, ovšem stále pod téměř 29% podílem z období 2020-2021, kdy domácnosti refinancovaly za hypoteční sazbu 2,14 %. Zatímco v únoru 2025 se domácnosti refinancovaly za úrokovou sazbu 4,69 %, což je stále o výrazných </w:t>
      </w:r>
      <w:proofErr w:type="gramStart"/>
      <w:r w:rsidRPr="007F690B">
        <w:rPr>
          <w:rFonts w:ascii="Calibri" w:hAnsi="Calibri" w:cs="Calibri"/>
          <w:color w:val="000000"/>
          <w:sz w:val="22"/>
          <w:szCs w:val="22"/>
        </w:rPr>
        <w:t>0,6%</w:t>
      </w:r>
      <w:proofErr w:type="gramEnd"/>
      <w:r w:rsidRPr="007F690B">
        <w:rPr>
          <w:rFonts w:ascii="Calibri" w:hAnsi="Calibri" w:cs="Calibri"/>
          <w:color w:val="000000"/>
          <w:sz w:val="22"/>
          <w:szCs w:val="22"/>
        </w:rPr>
        <w:t xml:space="preserve"> bodu méně než 5,3 % v únoru 2024.</w:t>
      </w:r>
      <w:r w:rsidRPr="007F690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105092DF" w14:textId="77777777" w:rsidR="00F40055" w:rsidRPr="002138C0" w:rsidRDefault="00F40055" w:rsidP="00237E0B">
      <w:pPr>
        <w:spacing w:before="120" w:after="120"/>
        <w:rPr>
          <w:rFonts w:ascii="Calibri" w:hAnsi="Calibri" w:cs="Calibri"/>
          <w:b/>
          <w:bCs/>
          <w:sz w:val="22"/>
          <w:szCs w:val="22"/>
          <w:highlight w:val="yellow"/>
        </w:rPr>
      </w:pPr>
    </w:p>
    <w:bookmarkEnd w:id="1"/>
    <w:bookmarkEnd w:id="2"/>
    <w:bookmarkEnd w:id="3"/>
    <w:p w14:paraId="5A1704D2" w14:textId="3A07EEC2" w:rsidR="009A044E" w:rsidRDefault="009A044E" w:rsidP="009A044E">
      <w:pPr>
        <w:rPr>
          <w:rFonts w:ascii="Calibri" w:hAnsi="Calibri" w:cs="Calibri"/>
          <w:b/>
          <w:color w:val="13576B"/>
          <w:sz w:val="23"/>
          <w:szCs w:val="23"/>
        </w:rPr>
      </w:pPr>
      <w:r w:rsidRPr="008B048B">
        <w:rPr>
          <w:rFonts w:ascii="Calibri" w:hAnsi="Calibri" w:cs="Calibri"/>
          <w:b/>
          <w:color w:val="13576B"/>
          <w:sz w:val="23"/>
          <w:szCs w:val="23"/>
        </w:rPr>
        <w:t xml:space="preserve">Průměrná hypoteční sazba </w:t>
      </w:r>
      <w:r w:rsidR="00F625CA" w:rsidRPr="008B048B">
        <w:rPr>
          <w:rFonts w:ascii="Calibri" w:hAnsi="Calibri" w:cs="Calibri"/>
          <w:b/>
          <w:color w:val="13576B"/>
          <w:sz w:val="23"/>
          <w:szCs w:val="23"/>
        </w:rPr>
        <w:t xml:space="preserve">pokračuje v klesajícím trendu </w:t>
      </w:r>
    </w:p>
    <w:p w14:paraId="6B970EF6" w14:textId="050D6F9F" w:rsidR="008B048B" w:rsidRPr="008B048B" w:rsidRDefault="008B048B" w:rsidP="009A044E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661C185F" w14:textId="6EAA94F4" w:rsidR="007F690B" w:rsidRPr="007F690B" w:rsidRDefault="007F690B" w:rsidP="007F690B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7F690B">
        <w:rPr>
          <w:rFonts w:ascii="Calibri" w:hAnsi="Calibri" w:cs="Calibri"/>
          <w:b/>
          <w:bCs/>
          <w:color w:val="000000"/>
          <w:sz w:val="22"/>
          <w:szCs w:val="22"/>
        </w:rPr>
        <w:t>Průměrná realizovaná úroková sazba u nových hypoték dále klesla na 4,72 % z lednových 4,78 %.</w:t>
      </w:r>
      <w:r w:rsidRPr="007F690B">
        <w:rPr>
          <w:rFonts w:ascii="Calibri" w:hAnsi="Calibri" w:cs="Calibri"/>
          <w:color w:val="000000"/>
          <w:sz w:val="22"/>
          <w:szCs w:val="22"/>
        </w:rPr>
        <w:t xml:space="preserve"> Její snížení tak potvrzuje klesající trend pod 5 % naposledy zaznamenaných v červenci 2024. Její únorová úroveň je tak o </w:t>
      </w:r>
      <w:proofErr w:type="gramStart"/>
      <w:r w:rsidRPr="007F690B">
        <w:rPr>
          <w:rFonts w:ascii="Calibri" w:hAnsi="Calibri" w:cs="Calibri"/>
          <w:color w:val="000000"/>
          <w:sz w:val="22"/>
          <w:szCs w:val="22"/>
        </w:rPr>
        <w:t>0,</w:t>
      </w:r>
      <w:r w:rsidR="00284721">
        <w:rPr>
          <w:rFonts w:ascii="Calibri" w:hAnsi="Calibri" w:cs="Calibri"/>
          <w:color w:val="000000"/>
          <w:sz w:val="22"/>
          <w:szCs w:val="22"/>
        </w:rPr>
        <w:t>64</w:t>
      </w:r>
      <w:r w:rsidRPr="007F690B">
        <w:rPr>
          <w:rFonts w:ascii="Calibri" w:hAnsi="Calibri" w:cs="Calibri"/>
          <w:color w:val="000000"/>
          <w:sz w:val="22"/>
          <w:szCs w:val="22"/>
        </w:rPr>
        <w:t>%</w:t>
      </w:r>
      <w:proofErr w:type="gramEnd"/>
      <w:r w:rsidRPr="007F690B">
        <w:rPr>
          <w:rFonts w:ascii="Calibri" w:hAnsi="Calibri" w:cs="Calibri"/>
          <w:color w:val="000000"/>
          <w:sz w:val="22"/>
          <w:szCs w:val="22"/>
        </w:rPr>
        <w:t xml:space="preserve"> bodu níže než 5,36% sazba před rokem, což snižuje měsíční splátky hypotéky přibližně o 1,7 % čistého příjmu žadatele</w:t>
      </w:r>
      <w:r w:rsidR="00284721">
        <w:rPr>
          <w:rFonts w:ascii="Calibri" w:hAnsi="Calibri" w:cs="Calibri"/>
          <w:color w:val="000000"/>
          <w:sz w:val="22"/>
          <w:szCs w:val="22"/>
        </w:rPr>
        <w:t>, tedy o 1,5 tis. Kč</w:t>
      </w:r>
      <w:r w:rsidRPr="007F690B">
        <w:rPr>
          <w:rFonts w:ascii="Calibri" w:hAnsi="Calibri" w:cs="Calibri"/>
          <w:color w:val="000000"/>
          <w:sz w:val="22"/>
          <w:szCs w:val="22"/>
        </w:rPr>
        <w:t xml:space="preserve">. Pro srovnání průměrná hodnota hypoteční sazby v roce 2024 dosáhla 5,07 % v porovnání se sazbou 5,81 % v roce 2023. </w:t>
      </w:r>
    </w:p>
    <w:p w14:paraId="3A2274C9" w14:textId="77777777" w:rsidR="00935AC3" w:rsidRDefault="00935AC3" w:rsidP="00F625CA">
      <w:pPr>
        <w:rPr>
          <w:rFonts w:ascii="Calibri" w:hAnsi="Calibri" w:cs="Calibri"/>
          <w:bCs/>
          <w:sz w:val="22"/>
          <w:szCs w:val="22"/>
        </w:rPr>
      </w:pPr>
    </w:p>
    <w:p w14:paraId="6492840A" w14:textId="02F97018" w:rsidR="005874B8" w:rsidRDefault="005874B8" w:rsidP="005874B8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>Graf č. 1: Průměrná hypoteční sazba – nové obchody</w:t>
      </w:r>
    </w:p>
    <w:p w14:paraId="63E0611A" w14:textId="7B51003C" w:rsidR="005874B8" w:rsidRDefault="005874B8" w:rsidP="005874B8">
      <w:pPr>
        <w:rPr>
          <w:rFonts w:ascii="Calibri" w:hAnsi="Calibri" w:cs="Calibri"/>
          <w:sz w:val="22"/>
          <w:szCs w:val="22"/>
          <w:highlight w:val="yellow"/>
        </w:rPr>
      </w:pPr>
    </w:p>
    <w:p w14:paraId="29B8C373" w14:textId="4B98FA10" w:rsidR="007F690B" w:rsidRPr="002138C0" w:rsidRDefault="007F690B" w:rsidP="005874B8">
      <w:pPr>
        <w:rPr>
          <w:rFonts w:ascii="Calibri" w:hAnsi="Calibri" w:cs="Calibri"/>
          <w:sz w:val="22"/>
          <w:szCs w:val="22"/>
          <w:highlight w:val="yellow"/>
        </w:rPr>
      </w:pPr>
      <w:r w:rsidRPr="007F690B">
        <w:rPr>
          <w:noProof/>
        </w:rPr>
        <w:drawing>
          <wp:inline distT="0" distB="0" distL="0" distR="0" wp14:anchorId="76309C08" wp14:editId="06E5AC41">
            <wp:extent cx="5047619" cy="2771429"/>
            <wp:effectExtent l="0" t="0" r="635" b="0"/>
            <wp:docPr id="1651869993" name="Picture 1" descr="A graph with number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869993" name="Picture 1" descr="A graph with numbers and line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7619" cy="2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5F729" w14:textId="08370F86" w:rsidR="00691287" w:rsidRPr="00616069" w:rsidRDefault="00691287" w:rsidP="00691287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</w:t>
      </w:r>
      <w:r w:rsidR="006F74BF">
        <w:rPr>
          <w:rFonts w:ascii="Calibri Light" w:hAnsi="Calibri Light" w:cs="Calibri Light"/>
          <w:color w:val="13576B"/>
          <w:sz w:val="20"/>
        </w:rPr>
        <w:t xml:space="preserve">ČNB, </w:t>
      </w:r>
      <w:r w:rsidRPr="002F4CBD">
        <w:rPr>
          <w:rFonts w:ascii="Calibri Light" w:hAnsi="Calibri Light" w:cs="Calibri Light"/>
          <w:color w:val="13576B"/>
          <w:sz w:val="20"/>
        </w:rPr>
        <w:t xml:space="preserve">ČBA </w:t>
      </w:r>
      <w:proofErr w:type="spellStart"/>
      <w:r w:rsidRPr="002F4CBD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31FA0ABF" w14:textId="0D9D88DE" w:rsidR="005874B8" w:rsidRDefault="005874B8" w:rsidP="005874B8">
      <w:pPr>
        <w:rPr>
          <w:rFonts w:ascii="Calibri" w:hAnsi="Calibri" w:cs="Calibri"/>
          <w:sz w:val="22"/>
          <w:szCs w:val="22"/>
          <w:highlight w:val="yellow"/>
        </w:rPr>
      </w:pPr>
    </w:p>
    <w:p w14:paraId="6FDE04AB" w14:textId="781EDB25" w:rsidR="00691287" w:rsidRPr="00A02F5D" w:rsidRDefault="005343BA" w:rsidP="005874B8">
      <w:pPr>
        <w:rPr>
          <w:rFonts w:ascii="Calibri" w:hAnsi="Calibri" w:cs="Calibri"/>
          <w:sz w:val="22"/>
          <w:szCs w:val="22"/>
        </w:rPr>
      </w:pPr>
      <w:r w:rsidRPr="00A02F5D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3D2F1B" wp14:editId="52CA17CC">
                <wp:simplePos x="0" y="0"/>
                <wp:positionH relativeFrom="margin">
                  <wp:align>center</wp:align>
                </wp:positionH>
                <wp:positionV relativeFrom="paragraph">
                  <wp:posOffset>365125</wp:posOffset>
                </wp:positionV>
                <wp:extent cx="6519545" cy="1019175"/>
                <wp:effectExtent l="0" t="0" r="14605" b="28575"/>
                <wp:wrapTopAndBottom/>
                <wp:docPr id="8701281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10191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FF558" w14:textId="5E745191" w:rsidR="009A044E" w:rsidRPr="00143BF5" w:rsidRDefault="009A044E" w:rsidP="009A044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02F5D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„</w:t>
                            </w:r>
                            <w:r w:rsidR="005343BA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Průměrná hypoteční sazb</w:t>
                            </w:r>
                            <w:r w:rsidR="001F4E92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a</w:t>
                            </w:r>
                            <w:r w:rsidR="005343BA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v únoru poklesla k 4,72 % z 4,78 % před měsícem a její meziměsíční pokles byl třetí nejsilnější od dubna loňského roku. Hypoteční sazby budou pravděpodobně nadále klesat</w:t>
                            </w:r>
                            <w:r w:rsidR="0011553C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kvůli konkurenčnímu boji</w:t>
                            </w:r>
                            <w:r w:rsidR="005343BA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, i když současný vývoj na tržních úrokových sazbách v české ekonomice a v eurozóně tento proces může brzdit</w:t>
                            </w:r>
                            <w:r w:rsidR="00AF1091" w:rsidRPr="00A02F5D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,</w:t>
                            </w:r>
                            <w:r w:rsidRPr="00A02F5D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“ </w:t>
                            </w:r>
                            <w:r w:rsidR="00641532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přidává</w:t>
                            </w:r>
                            <w:r w:rsidRPr="00A02F5D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138C0" w:rsidRPr="00A02F5D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Jaromír Šindel</w:t>
                            </w:r>
                            <w:r w:rsidR="00CD2107" w:rsidRPr="00A02F5D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287580" w:rsidRPr="00A02F5D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hlavní ekonom České bankovní asociace.</w:t>
                            </w:r>
                          </w:p>
                          <w:p w14:paraId="6D0F8AD9" w14:textId="5F4A565C" w:rsidR="000E087A" w:rsidRPr="00143BF5" w:rsidRDefault="000E087A" w:rsidP="000E087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D2F1B" id="_x0000_s1027" style="position:absolute;left:0;text-align:left;margin-left:0;margin-top:28.75pt;width:513.35pt;height:80.25pt;z-index:2516787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" fillcolor="white [3201]" strokecolor="black [3213]" strokeweight=".5pt">
                <v:textbox>
                  <w:txbxContent>
                    <w:p w14:paraId="41DFF558" w14:textId="5E745191" w:rsidR="009A044E" w:rsidRPr="00143BF5" w:rsidRDefault="009A044E" w:rsidP="009A044E">
                      <w:pPr>
                        <w:rPr>
                          <w:b/>
                          <w:bCs/>
                        </w:rPr>
                      </w:pPr>
                      <w:r w:rsidRPr="00A02F5D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„</w:t>
                      </w:r>
                      <w:r w:rsidR="005343BA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Průměrná hypoteční sazb</w:t>
                      </w:r>
                      <w:r w:rsidR="001F4E92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a</w:t>
                      </w:r>
                      <w:r w:rsidR="005343BA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 v únoru poklesla k 4,72 % z 4,78 % před měsícem a její meziměsíční pokles byl třetí nejsilnější od dubna loňského roku. Hypoteční sazby budou pravděpodobně nadále klesat</w:t>
                      </w:r>
                      <w:r w:rsidR="0011553C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 kvůli konkurenčnímu boji</w:t>
                      </w:r>
                      <w:r w:rsidR="005343BA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, i když současný vývoj na tržních úrokových sazbách v české ekonomice a v eurozóně tento proces může brzdit</w:t>
                      </w:r>
                      <w:r w:rsidR="00AF1091" w:rsidRPr="00A02F5D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,</w:t>
                      </w:r>
                      <w:r w:rsidRPr="00A02F5D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“ </w:t>
                      </w:r>
                      <w:r w:rsidR="00641532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přidává</w:t>
                      </w:r>
                      <w:r w:rsidRPr="00A02F5D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2138C0" w:rsidRPr="00A02F5D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Jaromír Šindel</w:t>
                      </w:r>
                      <w:r w:rsidR="00CD2107" w:rsidRPr="00A02F5D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287580" w:rsidRPr="00A02F5D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hlavní ekonom České bankovní asociace.</w:t>
                      </w:r>
                    </w:p>
                    <w:p w14:paraId="6D0F8AD9" w14:textId="5F4A565C" w:rsidR="000E087A" w:rsidRPr="00143BF5" w:rsidRDefault="000E087A" w:rsidP="000E087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50D125D7" w14:textId="0A152FAC" w:rsidR="00F40055" w:rsidRPr="00F40055" w:rsidRDefault="00D47CB0" w:rsidP="005578C6">
      <w:pPr>
        <w:rPr>
          <w:rFonts w:ascii="Calibri" w:hAnsi="Calibri" w:cs="Calibri"/>
          <w:color w:val="000000" w:themeColor="text1"/>
          <w:sz w:val="22"/>
          <w:szCs w:val="22"/>
        </w:rPr>
      </w:pPr>
      <w:bookmarkStart w:id="4" w:name="_Hlk137652102"/>
      <w:r w:rsidRPr="00F40055">
        <w:rPr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>Ačkoliv Česká národní banka v únoru obnovila pokles úrokových sazeb</w:t>
      </w:r>
      <w:r w:rsidR="000F426C" w:rsidRPr="00F4005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jejím snížením na 3,75 %</w:t>
      </w:r>
      <w:r w:rsidRPr="00F40055">
        <w:rPr>
          <w:rFonts w:ascii="Calibri" w:hAnsi="Calibri" w:cs="Calibri"/>
          <w:b/>
          <w:bCs/>
          <w:color w:val="000000" w:themeColor="text1"/>
          <w:sz w:val="22"/>
          <w:szCs w:val="22"/>
        </w:rPr>
        <w:t>, tak tržní sazby s delší splatností jsou v průměru ve stejném rozmezí od podzimu minulého roku</w:t>
      </w:r>
      <w:r w:rsidR="005578C6" w:rsidRPr="00F40055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  <w:r w:rsidR="005578C6" w:rsidRPr="00F40055">
        <w:rPr>
          <w:rFonts w:ascii="Calibri" w:hAnsi="Calibri" w:cs="Calibri"/>
          <w:color w:val="000000" w:themeColor="text1"/>
          <w:sz w:val="22"/>
          <w:szCs w:val="22"/>
        </w:rPr>
        <w:t xml:space="preserve"> Promítá se do nich řada faktorů, nejen vývoj úrokové sazby ČNB, ale i kombinace výhledu na inflaci, ekonomiku a dynamiky měnového kurzu.</w:t>
      </w:r>
      <w:r w:rsidR="00F40055" w:rsidRPr="00F40055">
        <w:rPr>
          <w:rFonts w:ascii="Calibri" w:hAnsi="Calibri" w:cs="Calibri"/>
          <w:color w:val="000000" w:themeColor="text1"/>
          <w:sz w:val="22"/>
          <w:szCs w:val="22"/>
        </w:rPr>
        <w:t xml:space="preserve"> Navíc se v průběhu března do vyšších tržních úrokových sazeb propsalo očekávání vyšších výdajů na zbrojení, které je vnímáno proinflačně. Rovněž česká jádrová inflace v únoru nevykázala zvolnění své měsíční dynamiky. K tomu se přidává i pokračující svižné tempo růstu mezd ve čtvrtém čtvrtletí 2024. </w:t>
      </w:r>
    </w:p>
    <w:p w14:paraId="33142E7F" w14:textId="72E42F4D" w:rsidR="00C21D7D" w:rsidRPr="00F40055" w:rsidRDefault="005578C6" w:rsidP="005578C6">
      <w:pPr>
        <w:rPr>
          <w:rFonts w:ascii="Calibri" w:hAnsi="Calibri" w:cs="Calibri"/>
          <w:color w:val="000000" w:themeColor="text1"/>
          <w:sz w:val="22"/>
          <w:szCs w:val="22"/>
        </w:rPr>
      </w:pPr>
      <w:r w:rsidRPr="00F40055">
        <w:rPr>
          <w:rFonts w:ascii="Calibri" w:hAnsi="Calibri" w:cs="Calibri"/>
          <w:color w:val="000000" w:themeColor="text1"/>
          <w:sz w:val="22"/>
          <w:szCs w:val="22"/>
        </w:rPr>
        <w:t xml:space="preserve">V současnosti například trh signalizuje </w:t>
      </w:r>
      <w:r w:rsidR="000F426C" w:rsidRPr="00F40055">
        <w:rPr>
          <w:rFonts w:ascii="Calibri" w:hAnsi="Calibri" w:cs="Calibri"/>
          <w:color w:val="000000" w:themeColor="text1"/>
          <w:sz w:val="22"/>
          <w:szCs w:val="22"/>
        </w:rPr>
        <w:t>necel</w:t>
      </w:r>
      <w:r w:rsidR="00935AC3" w:rsidRPr="00F40055">
        <w:rPr>
          <w:rFonts w:ascii="Calibri" w:hAnsi="Calibri" w:cs="Calibri"/>
          <w:color w:val="000000" w:themeColor="text1"/>
          <w:sz w:val="22"/>
          <w:szCs w:val="22"/>
        </w:rPr>
        <w:t>é</w:t>
      </w:r>
      <w:r w:rsidR="000F426C" w:rsidRPr="00F40055">
        <w:rPr>
          <w:rFonts w:ascii="Calibri" w:hAnsi="Calibri" w:cs="Calibri"/>
          <w:color w:val="000000" w:themeColor="text1"/>
          <w:sz w:val="22"/>
          <w:szCs w:val="22"/>
        </w:rPr>
        <w:t xml:space="preserve"> dvoje snížení </w:t>
      </w:r>
      <w:r w:rsidRPr="00F40055">
        <w:rPr>
          <w:rFonts w:ascii="Calibri" w:hAnsi="Calibri" w:cs="Calibri"/>
          <w:color w:val="000000" w:themeColor="text1"/>
          <w:sz w:val="22"/>
          <w:szCs w:val="22"/>
        </w:rPr>
        <w:t xml:space="preserve">úrokové sazby ČNB </w:t>
      </w:r>
      <w:r w:rsidR="000F426C" w:rsidRPr="00F40055">
        <w:rPr>
          <w:rFonts w:ascii="Calibri" w:hAnsi="Calibri" w:cs="Calibri"/>
          <w:color w:val="000000" w:themeColor="text1"/>
          <w:sz w:val="22"/>
          <w:szCs w:val="22"/>
        </w:rPr>
        <w:t xml:space="preserve">po čtvrt procentního bodu </w:t>
      </w:r>
      <w:r w:rsidRPr="00F40055">
        <w:rPr>
          <w:rFonts w:ascii="Calibri" w:hAnsi="Calibri" w:cs="Calibri"/>
          <w:color w:val="000000" w:themeColor="text1"/>
          <w:sz w:val="22"/>
          <w:szCs w:val="22"/>
        </w:rPr>
        <w:t>během roku 2025</w:t>
      </w:r>
      <w:r w:rsidR="000F426C" w:rsidRPr="00F40055">
        <w:rPr>
          <w:rFonts w:ascii="Calibri" w:hAnsi="Calibri" w:cs="Calibri"/>
          <w:color w:val="000000" w:themeColor="text1"/>
          <w:sz w:val="22"/>
          <w:szCs w:val="22"/>
        </w:rPr>
        <w:t xml:space="preserve"> (tedy přibližně k 3,</w:t>
      </w:r>
      <w:r w:rsidR="00F40055" w:rsidRPr="00F40055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0F426C" w:rsidRPr="00F40055">
        <w:rPr>
          <w:rFonts w:ascii="Calibri" w:hAnsi="Calibri" w:cs="Calibri"/>
          <w:color w:val="000000" w:themeColor="text1"/>
          <w:sz w:val="22"/>
          <w:szCs w:val="22"/>
        </w:rPr>
        <w:t xml:space="preserve"> %)</w:t>
      </w:r>
      <w:r w:rsidRPr="00F40055">
        <w:rPr>
          <w:rFonts w:ascii="Calibri" w:hAnsi="Calibri" w:cs="Calibri"/>
          <w:color w:val="000000" w:themeColor="text1"/>
          <w:sz w:val="22"/>
          <w:szCs w:val="22"/>
        </w:rPr>
        <w:t>. To</w:t>
      </w:r>
      <w:r w:rsidR="000F426C" w:rsidRPr="00F40055">
        <w:rPr>
          <w:rFonts w:ascii="Calibri" w:hAnsi="Calibri" w:cs="Calibri"/>
          <w:color w:val="000000" w:themeColor="text1"/>
          <w:sz w:val="22"/>
          <w:szCs w:val="22"/>
        </w:rPr>
        <w:t xml:space="preserve">to signalizované snížení je ovšem </w:t>
      </w:r>
      <w:r w:rsidRPr="00F40055">
        <w:rPr>
          <w:rFonts w:ascii="Calibri" w:hAnsi="Calibri" w:cs="Calibri"/>
          <w:color w:val="000000" w:themeColor="text1"/>
          <w:sz w:val="22"/>
          <w:szCs w:val="22"/>
        </w:rPr>
        <w:t xml:space="preserve">o </w:t>
      </w:r>
      <w:r w:rsidR="00F40055" w:rsidRPr="00F40055">
        <w:rPr>
          <w:rFonts w:ascii="Calibri" w:hAnsi="Calibri" w:cs="Calibri"/>
          <w:color w:val="000000" w:themeColor="text1"/>
          <w:sz w:val="22"/>
          <w:szCs w:val="22"/>
        </w:rPr>
        <w:t>0,4</w:t>
      </w:r>
      <w:r w:rsidRPr="00F40055">
        <w:rPr>
          <w:rFonts w:ascii="Calibri" w:hAnsi="Calibri" w:cs="Calibri"/>
          <w:color w:val="000000" w:themeColor="text1"/>
          <w:sz w:val="22"/>
          <w:szCs w:val="22"/>
        </w:rPr>
        <w:t>procentní</w:t>
      </w:r>
      <w:r w:rsidR="00935AC3" w:rsidRPr="00F40055">
        <w:rPr>
          <w:rFonts w:ascii="Calibri" w:hAnsi="Calibri" w:cs="Calibri"/>
          <w:color w:val="000000" w:themeColor="text1"/>
          <w:sz w:val="22"/>
          <w:szCs w:val="22"/>
        </w:rPr>
        <w:t>ho</w:t>
      </w:r>
      <w:r w:rsidRPr="00F40055">
        <w:rPr>
          <w:rFonts w:ascii="Calibri" w:hAnsi="Calibri" w:cs="Calibri"/>
          <w:color w:val="000000" w:themeColor="text1"/>
          <w:sz w:val="22"/>
          <w:szCs w:val="22"/>
        </w:rPr>
        <w:t xml:space="preserve"> bodu </w:t>
      </w:r>
      <w:r w:rsidR="000F426C" w:rsidRPr="00F40055">
        <w:rPr>
          <w:rFonts w:ascii="Calibri" w:hAnsi="Calibri" w:cs="Calibri"/>
          <w:color w:val="000000" w:themeColor="text1"/>
          <w:sz w:val="22"/>
          <w:szCs w:val="22"/>
        </w:rPr>
        <w:t>mírnější</w:t>
      </w:r>
      <w:r w:rsidRPr="00F40055">
        <w:rPr>
          <w:rFonts w:ascii="Calibri" w:hAnsi="Calibri" w:cs="Calibri"/>
          <w:color w:val="000000" w:themeColor="text1"/>
          <w:sz w:val="22"/>
          <w:szCs w:val="22"/>
        </w:rPr>
        <w:t>, než předjímal v</w:t>
      </w:r>
      <w:r w:rsidR="000F426C" w:rsidRPr="00F40055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F40055">
        <w:rPr>
          <w:rFonts w:ascii="Calibri" w:hAnsi="Calibri" w:cs="Calibri"/>
          <w:color w:val="000000" w:themeColor="text1"/>
          <w:sz w:val="22"/>
          <w:szCs w:val="22"/>
        </w:rPr>
        <w:t>září</w:t>
      </w:r>
      <w:r w:rsidR="000F426C" w:rsidRPr="00F40055">
        <w:rPr>
          <w:rFonts w:ascii="Calibri" w:hAnsi="Calibri" w:cs="Calibri"/>
          <w:color w:val="000000" w:themeColor="text1"/>
          <w:sz w:val="22"/>
          <w:szCs w:val="22"/>
        </w:rPr>
        <w:t xml:space="preserve"> loňského roku</w:t>
      </w:r>
      <w:r w:rsidRPr="00F40055">
        <w:rPr>
          <w:rFonts w:ascii="Calibri" w:hAnsi="Calibri" w:cs="Calibri"/>
          <w:color w:val="000000" w:themeColor="text1"/>
          <w:sz w:val="22"/>
          <w:szCs w:val="22"/>
        </w:rPr>
        <w:t>. A to kvůli silnějšímu růstu spotřebitelské inflace, než se očekávalo v polovině minulého roku, či silnějšímu růstu mezd v</w:t>
      </w:r>
      <w:r w:rsidR="000F426C" w:rsidRPr="00F40055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F40055">
        <w:rPr>
          <w:rFonts w:ascii="Calibri" w:hAnsi="Calibri" w:cs="Calibri"/>
          <w:color w:val="000000" w:themeColor="text1"/>
          <w:sz w:val="22"/>
          <w:szCs w:val="22"/>
        </w:rPr>
        <w:t>ekonomice</w:t>
      </w:r>
      <w:r w:rsidR="000F426C" w:rsidRPr="00F40055">
        <w:rPr>
          <w:rFonts w:ascii="Calibri" w:hAnsi="Calibri" w:cs="Calibri"/>
          <w:color w:val="000000" w:themeColor="text1"/>
          <w:sz w:val="22"/>
          <w:szCs w:val="22"/>
        </w:rPr>
        <w:t xml:space="preserve">. A to v ekonomice, u které se stále očekává oživení v letošním roce při stále spíše napjatém než uvolněném trhu práce. </w:t>
      </w:r>
    </w:p>
    <w:p w14:paraId="033D6C08" w14:textId="77777777" w:rsidR="00C21D7D" w:rsidRPr="007F690B" w:rsidRDefault="00C21D7D" w:rsidP="005578C6">
      <w:pPr>
        <w:rPr>
          <w:rFonts w:ascii="Calibri" w:hAnsi="Calibri" w:cs="Calibri"/>
          <w:color w:val="FF0000"/>
          <w:sz w:val="22"/>
          <w:szCs w:val="22"/>
        </w:rPr>
      </w:pPr>
    </w:p>
    <w:p w14:paraId="12ECB61C" w14:textId="663E2D80" w:rsidR="005578C6" w:rsidRPr="005343BA" w:rsidRDefault="00C21D7D" w:rsidP="005578C6">
      <w:pPr>
        <w:rPr>
          <w:rFonts w:ascii="Calibri" w:hAnsi="Calibri" w:cs="Calibri"/>
          <w:color w:val="000000" w:themeColor="text1"/>
          <w:sz w:val="22"/>
          <w:szCs w:val="22"/>
        </w:rPr>
      </w:pPr>
      <w:r w:rsidRPr="005343BA">
        <w:rPr>
          <w:rFonts w:ascii="Calibri" w:hAnsi="Calibri" w:cs="Calibri"/>
          <w:b/>
          <w:bCs/>
          <w:color w:val="000000" w:themeColor="text1"/>
          <w:sz w:val="22"/>
          <w:szCs w:val="22"/>
        </w:rPr>
        <w:t>Pokud počítáme se scénářem mírného oživení ekonomiky, tak pro pokles dlouhodobých tržních sazeb jsou nutné strukturální reformy, které uleví inflačním tlakům v ekonomice z nabídkové strany. Ty by navrátily diskusi o hypotetické úrovni neutrální úrokové sazby centrální banky zpět ke 3</w:t>
      </w:r>
      <w:r w:rsidR="001E4370" w:rsidRPr="005343B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5343B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% ze současné diskutované výše 3,5 %. </w:t>
      </w:r>
    </w:p>
    <w:p w14:paraId="26DDDBD2" w14:textId="06B57622" w:rsidR="005578C6" w:rsidRPr="005343BA" w:rsidRDefault="005578C6" w:rsidP="005578C6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5343BA">
        <w:rPr>
          <w:rFonts w:ascii="Calibri" w:hAnsi="Calibri" w:cs="Calibri"/>
          <w:color w:val="000000" w:themeColor="text1"/>
          <w:sz w:val="22"/>
          <w:szCs w:val="22"/>
        </w:rPr>
        <w:t>Zároveň do této dynamiky vstupuje i vývoj obdobných úrokových sazeb v zahraničí. Zmíněné tržní úrokové sazby delších splatností</w:t>
      </w:r>
      <w:r w:rsidRPr="005343BA">
        <w:rPr>
          <w:rStyle w:val="Znakapoznpodarou"/>
          <w:rFonts w:ascii="Calibri" w:hAnsi="Calibri" w:cs="Calibri"/>
          <w:i/>
          <w:iCs/>
          <w:color w:val="000000" w:themeColor="text1"/>
          <w:sz w:val="22"/>
          <w:szCs w:val="22"/>
        </w:rPr>
        <w:footnoteReference w:id="1"/>
      </w:r>
      <w:r w:rsidRPr="005343BA">
        <w:rPr>
          <w:rFonts w:ascii="Calibri" w:hAnsi="Calibri" w:cs="Calibri"/>
          <w:color w:val="000000" w:themeColor="text1"/>
          <w:sz w:val="22"/>
          <w:szCs w:val="22"/>
        </w:rPr>
        <w:t xml:space="preserve"> jsou v posledním období rozkolísané a reagují do velké míry na očekávání trhů spojené s vývojem sazeb v USA. </w:t>
      </w:r>
      <w:r w:rsidR="00C21D7D" w:rsidRPr="005343BA">
        <w:rPr>
          <w:rFonts w:ascii="Calibri" w:hAnsi="Calibri" w:cs="Calibri"/>
          <w:color w:val="000000" w:themeColor="text1"/>
          <w:sz w:val="22"/>
          <w:szCs w:val="22"/>
        </w:rPr>
        <w:t>Č</w:t>
      </w:r>
      <w:r w:rsidRPr="005343BA">
        <w:rPr>
          <w:rFonts w:ascii="Calibri" w:hAnsi="Calibri" w:cs="Calibri"/>
          <w:color w:val="000000" w:themeColor="text1"/>
          <w:sz w:val="22"/>
          <w:szCs w:val="22"/>
        </w:rPr>
        <w:t>eská pětiletá sazba se nyní pohybuje přibližně okolo 3,</w:t>
      </w:r>
      <w:r w:rsidR="00F40055" w:rsidRPr="005343BA">
        <w:rPr>
          <w:rFonts w:ascii="Calibri" w:hAnsi="Calibri" w:cs="Calibri"/>
          <w:color w:val="000000" w:themeColor="text1"/>
          <w:sz w:val="22"/>
          <w:szCs w:val="22"/>
        </w:rPr>
        <w:t>6-3,7</w:t>
      </w:r>
      <w:r w:rsidRPr="005343BA">
        <w:rPr>
          <w:rFonts w:ascii="Calibri" w:hAnsi="Calibri" w:cs="Calibri"/>
          <w:color w:val="000000" w:themeColor="text1"/>
          <w:sz w:val="22"/>
          <w:szCs w:val="22"/>
        </w:rPr>
        <w:t xml:space="preserve"> %, tedy asi o 0,</w:t>
      </w:r>
      <w:r w:rsidR="00F40055" w:rsidRPr="005343BA">
        <w:rPr>
          <w:rFonts w:ascii="Calibri" w:hAnsi="Calibri" w:cs="Calibri"/>
          <w:color w:val="000000" w:themeColor="text1"/>
          <w:sz w:val="22"/>
          <w:szCs w:val="22"/>
        </w:rPr>
        <w:t>55</w:t>
      </w:r>
      <w:r w:rsidR="00D55E9A" w:rsidRPr="005343BA">
        <w:rPr>
          <w:rFonts w:ascii="Calibri" w:hAnsi="Calibri" w:cs="Calibri"/>
          <w:color w:val="000000" w:themeColor="text1"/>
          <w:sz w:val="22"/>
          <w:szCs w:val="22"/>
        </w:rPr>
        <w:t>procentního</w:t>
      </w:r>
      <w:r w:rsidRPr="005343BA">
        <w:rPr>
          <w:rFonts w:ascii="Calibri" w:hAnsi="Calibri" w:cs="Calibri"/>
          <w:color w:val="000000" w:themeColor="text1"/>
          <w:sz w:val="22"/>
          <w:szCs w:val="22"/>
        </w:rPr>
        <w:t xml:space="preserve"> bodu výše než v</w:t>
      </w:r>
      <w:r w:rsidR="00C21D7D" w:rsidRPr="005343BA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5343BA">
        <w:rPr>
          <w:rFonts w:ascii="Calibri" w:hAnsi="Calibri" w:cs="Calibri"/>
          <w:color w:val="000000" w:themeColor="text1"/>
          <w:sz w:val="22"/>
          <w:szCs w:val="22"/>
        </w:rPr>
        <w:t>září</w:t>
      </w:r>
      <w:r w:rsidR="00C21D7D" w:rsidRPr="005343BA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F40055" w:rsidRPr="005343BA">
        <w:rPr>
          <w:rFonts w:ascii="Calibri" w:hAnsi="Calibri" w:cs="Calibri"/>
          <w:color w:val="000000" w:themeColor="text1"/>
          <w:sz w:val="22"/>
          <w:szCs w:val="22"/>
        </w:rPr>
        <w:t xml:space="preserve">tedy okolo úrovní </w:t>
      </w:r>
      <w:r w:rsidR="00C21D7D" w:rsidRPr="005343BA">
        <w:rPr>
          <w:rFonts w:ascii="Calibri" w:hAnsi="Calibri" w:cs="Calibri"/>
          <w:color w:val="000000" w:themeColor="text1"/>
          <w:sz w:val="22"/>
          <w:szCs w:val="22"/>
        </w:rPr>
        <w:t>na začátku letošního ledna</w:t>
      </w:r>
      <w:r w:rsidRPr="005343BA">
        <w:rPr>
          <w:rFonts w:ascii="Calibri" w:hAnsi="Calibri" w:cs="Calibri"/>
          <w:color w:val="000000" w:themeColor="text1"/>
          <w:sz w:val="22"/>
          <w:szCs w:val="22"/>
        </w:rPr>
        <w:t xml:space="preserve">. To odráží </w:t>
      </w:r>
      <w:r w:rsidR="005343BA" w:rsidRPr="005343BA">
        <w:rPr>
          <w:rFonts w:ascii="Calibri" w:hAnsi="Calibri" w:cs="Calibri"/>
          <w:color w:val="000000" w:themeColor="text1"/>
          <w:sz w:val="22"/>
          <w:szCs w:val="22"/>
        </w:rPr>
        <w:t>návrat</w:t>
      </w:r>
      <w:r w:rsidR="00C21D7D" w:rsidRPr="005343BA">
        <w:rPr>
          <w:rFonts w:ascii="Calibri" w:hAnsi="Calibri" w:cs="Calibri"/>
          <w:color w:val="000000" w:themeColor="text1"/>
          <w:sz w:val="22"/>
          <w:szCs w:val="22"/>
        </w:rPr>
        <w:t xml:space="preserve"> eurových sazeb </w:t>
      </w:r>
      <w:r w:rsidR="005343BA" w:rsidRPr="005343BA">
        <w:rPr>
          <w:rFonts w:ascii="Calibri" w:hAnsi="Calibri" w:cs="Calibri"/>
          <w:color w:val="000000" w:themeColor="text1"/>
          <w:sz w:val="22"/>
          <w:szCs w:val="22"/>
        </w:rPr>
        <w:t>k 2,5</w:t>
      </w:r>
      <w:r w:rsidR="00C21D7D" w:rsidRPr="005343BA">
        <w:rPr>
          <w:rFonts w:ascii="Calibri" w:hAnsi="Calibri" w:cs="Calibri"/>
          <w:color w:val="000000" w:themeColor="text1"/>
          <w:sz w:val="22"/>
          <w:szCs w:val="22"/>
        </w:rPr>
        <w:t xml:space="preserve"> % z</w:t>
      </w:r>
      <w:r w:rsidR="005343BA" w:rsidRPr="005343BA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C21D7D" w:rsidRPr="005343BA">
        <w:rPr>
          <w:rFonts w:ascii="Calibri" w:hAnsi="Calibri" w:cs="Calibri"/>
          <w:color w:val="000000" w:themeColor="text1"/>
          <w:sz w:val="22"/>
          <w:szCs w:val="22"/>
        </w:rPr>
        <w:t>ledn</w:t>
      </w:r>
      <w:r w:rsidR="005343BA" w:rsidRPr="005343BA">
        <w:rPr>
          <w:rFonts w:ascii="Calibri" w:hAnsi="Calibri" w:cs="Calibri"/>
          <w:color w:val="000000" w:themeColor="text1"/>
          <w:sz w:val="22"/>
          <w:szCs w:val="22"/>
        </w:rPr>
        <w:t>a letošního roku rovněž v souvislosti s možnými vyššími výdaji na zbrojení</w:t>
      </w:r>
      <w:r w:rsidR="00C21D7D" w:rsidRPr="005343BA">
        <w:rPr>
          <w:rFonts w:ascii="Calibri" w:hAnsi="Calibri" w:cs="Calibri"/>
          <w:color w:val="000000" w:themeColor="text1"/>
          <w:sz w:val="22"/>
          <w:szCs w:val="22"/>
        </w:rPr>
        <w:t xml:space="preserve">. Na druhou strnu </w:t>
      </w:r>
      <w:r w:rsidR="005343BA" w:rsidRPr="005343BA">
        <w:rPr>
          <w:rFonts w:ascii="Calibri" w:hAnsi="Calibri" w:cs="Calibri"/>
          <w:color w:val="000000" w:themeColor="text1"/>
          <w:sz w:val="22"/>
          <w:szCs w:val="22"/>
        </w:rPr>
        <w:t>pětileté</w:t>
      </w:r>
      <w:r w:rsidR="00C21D7D" w:rsidRPr="005343BA">
        <w:rPr>
          <w:rFonts w:ascii="Calibri" w:hAnsi="Calibri" w:cs="Calibri"/>
          <w:color w:val="000000" w:themeColor="text1"/>
          <w:sz w:val="22"/>
          <w:szCs w:val="22"/>
        </w:rPr>
        <w:t xml:space="preserve"> úrokové sazby v</w:t>
      </w:r>
      <w:r w:rsidRPr="005343BA">
        <w:rPr>
          <w:rFonts w:ascii="Calibri" w:hAnsi="Calibri" w:cs="Calibri"/>
          <w:color w:val="000000" w:themeColor="text1"/>
          <w:sz w:val="22"/>
          <w:szCs w:val="22"/>
        </w:rPr>
        <w:t xml:space="preserve"> USA </w:t>
      </w:r>
      <w:r w:rsidR="005343BA" w:rsidRPr="005343BA">
        <w:rPr>
          <w:rFonts w:ascii="Calibri" w:hAnsi="Calibri" w:cs="Calibri"/>
          <w:color w:val="000000" w:themeColor="text1"/>
          <w:sz w:val="22"/>
          <w:szCs w:val="22"/>
        </w:rPr>
        <w:t xml:space="preserve">mírně poklesly k 4,1 % z </w:t>
      </w:r>
      <w:r w:rsidRPr="005343BA">
        <w:rPr>
          <w:rFonts w:ascii="Calibri" w:hAnsi="Calibri" w:cs="Calibri"/>
          <w:color w:val="000000" w:themeColor="text1"/>
          <w:sz w:val="22"/>
          <w:szCs w:val="22"/>
        </w:rPr>
        <w:t>přes 4,</w:t>
      </w:r>
      <w:r w:rsidR="00C21D7D" w:rsidRPr="005343BA"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005343BA">
        <w:rPr>
          <w:rFonts w:ascii="Calibri" w:hAnsi="Calibri" w:cs="Calibri"/>
          <w:color w:val="000000" w:themeColor="text1"/>
          <w:sz w:val="22"/>
          <w:szCs w:val="22"/>
        </w:rPr>
        <w:t xml:space="preserve"> %</w:t>
      </w:r>
      <w:r w:rsidR="005343BA" w:rsidRPr="005343BA">
        <w:rPr>
          <w:rFonts w:ascii="Calibri" w:hAnsi="Calibri" w:cs="Calibri"/>
          <w:color w:val="000000" w:themeColor="text1"/>
          <w:sz w:val="22"/>
          <w:szCs w:val="22"/>
        </w:rPr>
        <w:t xml:space="preserve"> kvůli obavám o sílu ekonomického růstu.</w:t>
      </w:r>
    </w:p>
    <w:p w14:paraId="4C111FFA" w14:textId="6FB64D22" w:rsidR="00A9017B" w:rsidRPr="00A02F5D" w:rsidRDefault="00A9017B" w:rsidP="00B04FE2">
      <w:pPr>
        <w:rPr>
          <w:rFonts w:ascii="Calibri" w:hAnsi="Calibri" w:cs="Calibri"/>
          <w:b/>
          <w:color w:val="13576B"/>
          <w:sz w:val="24"/>
          <w:szCs w:val="24"/>
        </w:rPr>
      </w:pPr>
      <w:bookmarkStart w:id="5" w:name="_Hlk100672905"/>
      <w:bookmarkEnd w:id="4"/>
    </w:p>
    <w:p w14:paraId="72E83631" w14:textId="03ED566F" w:rsidR="00B04FE2" w:rsidRPr="00A02F5D" w:rsidRDefault="00E4296A" w:rsidP="00B04FE2">
      <w:pPr>
        <w:rPr>
          <w:rFonts w:ascii="Calibri" w:hAnsi="Calibri" w:cs="Calibri"/>
          <w:b/>
          <w:color w:val="13576B"/>
          <w:sz w:val="24"/>
          <w:szCs w:val="24"/>
        </w:rPr>
      </w:pPr>
      <w:r w:rsidRPr="00A02F5D">
        <w:rPr>
          <w:rFonts w:ascii="Calibri" w:hAnsi="Calibri" w:cs="Calibri"/>
          <w:b/>
          <w:color w:val="13576B"/>
          <w:sz w:val="24"/>
          <w:szCs w:val="24"/>
        </w:rPr>
        <w:t xml:space="preserve">Průměrná velikost </w:t>
      </w:r>
      <w:r w:rsidR="00D73AAF" w:rsidRPr="00A02F5D">
        <w:rPr>
          <w:rFonts w:ascii="Calibri" w:hAnsi="Calibri" w:cs="Calibri"/>
          <w:b/>
          <w:color w:val="13576B"/>
          <w:sz w:val="24"/>
          <w:szCs w:val="24"/>
        </w:rPr>
        <w:t xml:space="preserve">hypotéky </w:t>
      </w:r>
      <w:r w:rsidR="00AF2306">
        <w:rPr>
          <w:rFonts w:ascii="Calibri" w:hAnsi="Calibri" w:cs="Calibri"/>
          <w:b/>
          <w:color w:val="13576B"/>
          <w:sz w:val="24"/>
          <w:szCs w:val="24"/>
        </w:rPr>
        <w:t>v led</w:t>
      </w:r>
      <w:r w:rsidR="001E4370">
        <w:rPr>
          <w:rFonts w:ascii="Calibri" w:hAnsi="Calibri" w:cs="Calibri"/>
          <w:b/>
          <w:color w:val="13576B"/>
          <w:sz w:val="24"/>
          <w:szCs w:val="24"/>
        </w:rPr>
        <w:t>n</w:t>
      </w:r>
      <w:r w:rsidR="00AF2306">
        <w:rPr>
          <w:rFonts w:ascii="Calibri" w:hAnsi="Calibri" w:cs="Calibri"/>
          <w:b/>
          <w:color w:val="13576B"/>
          <w:sz w:val="24"/>
          <w:szCs w:val="24"/>
        </w:rPr>
        <w:t>u dále stoupl</w:t>
      </w:r>
      <w:r w:rsidR="001E4370">
        <w:rPr>
          <w:rFonts w:ascii="Calibri" w:hAnsi="Calibri" w:cs="Calibri"/>
          <w:b/>
          <w:color w:val="13576B"/>
          <w:sz w:val="24"/>
          <w:szCs w:val="24"/>
        </w:rPr>
        <w:t>a</w:t>
      </w:r>
      <w:r w:rsidR="00AF2306">
        <w:rPr>
          <w:rFonts w:ascii="Calibri" w:hAnsi="Calibri" w:cs="Calibri"/>
          <w:b/>
          <w:color w:val="13576B"/>
          <w:sz w:val="24"/>
          <w:szCs w:val="24"/>
        </w:rPr>
        <w:t xml:space="preserve"> kvůli </w:t>
      </w:r>
      <w:r w:rsidR="001E4370">
        <w:rPr>
          <w:rFonts w:ascii="Calibri" w:hAnsi="Calibri" w:cs="Calibri"/>
          <w:b/>
          <w:color w:val="13576B"/>
          <w:sz w:val="24"/>
          <w:szCs w:val="24"/>
        </w:rPr>
        <w:t xml:space="preserve">úvěrům </w:t>
      </w:r>
      <w:r w:rsidR="00AF2306">
        <w:rPr>
          <w:rFonts w:ascii="Calibri" w:hAnsi="Calibri" w:cs="Calibri"/>
          <w:b/>
          <w:color w:val="13576B"/>
          <w:sz w:val="24"/>
          <w:szCs w:val="24"/>
        </w:rPr>
        <w:t>na výstavbu</w:t>
      </w:r>
    </w:p>
    <w:p w14:paraId="28ED20F8" w14:textId="77777777" w:rsidR="00B31E3C" w:rsidRPr="00A02F5D" w:rsidRDefault="00B31E3C" w:rsidP="00B04FE2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3914B59E" w14:textId="757B366C" w:rsidR="00AF2306" w:rsidRDefault="00BA321E" w:rsidP="0026320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BA321E">
        <w:rPr>
          <w:rFonts w:ascii="Calibri" w:hAnsi="Calibri" w:cs="Calibri"/>
          <w:b/>
          <w:bCs/>
          <w:color w:val="000000"/>
          <w:sz w:val="22"/>
          <w:szCs w:val="22"/>
        </w:rPr>
        <w:t xml:space="preserve">Průměrná velikost skutečně nově poskytnuté hypotéky v únoru mírně stoupla na 4 mil. Kč, tedy o </w:t>
      </w:r>
      <w:r w:rsidR="00284721">
        <w:rPr>
          <w:rFonts w:ascii="Calibri" w:hAnsi="Calibri" w:cs="Calibri"/>
          <w:b/>
          <w:bCs/>
          <w:color w:val="000000"/>
          <w:sz w:val="22"/>
          <w:szCs w:val="22"/>
        </w:rPr>
        <w:t>přibližně</w:t>
      </w:r>
      <w:r w:rsidRPr="00BA321E">
        <w:rPr>
          <w:rFonts w:ascii="Calibri" w:hAnsi="Calibri" w:cs="Calibri"/>
          <w:b/>
          <w:bCs/>
          <w:color w:val="000000"/>
          <w:sz w:val="22"/>
          <w:szCs w:val="22"/>
        </w:rPr>
        <w:t xml:space="preserve"> 2 % meziměsíčně. </w:t>
      </w:r>
      <w:r w:rsidRPr="00BA321E">
        <w:rPr>
          <w:rFonts w:ascii="Calibri" w:hAnsi="Calibri" w:cs="Calibri"/>
          <w:color w:val="000000"/>
          <w:sz w:val="22"/>
          <w:szCs w:val="22"/>
        </w:rPr>
        <w:t xml:space="preserve">Její velikost je tak o 18 % vyšší než 3,38 mil. Kč před rokem. To odráží kombinaci vyšších cen nemovitostí, růstu mezd a nižších úrokových sazeb. Odhlédneme-li od mimořádné hodnoty téměř 4 mil. Kč v srpnu 2024 (vliv nové legislativy), tak průměrná hodnota od dubna postupně roste a o 15 % převyšuje předcházející rekordní úroveň z listopadu 2021 ve výši 3,46 mil. Kč. Dosáhnout na vyšší hypotéku umožňuje postupný pokles hypotečních sazeb či pokračující uvolnění </w:t>
      </w:r>
      <w:proofErr w:type="spellStart"/>
      <w:r w:rsidRPr="00284721">
        <w:rPr>
          <w:rFonts w:ascii="Calibri" w:hAnsi="Calibri" w:cs="Calibri"/>
          <w:color w:val="000000" w:themeColor="text1"/>
          <w:sz w:val="22"/>
          <w:szCs w:val="22"/>
        </w:rPr>
        <w:t>makroobezřetnostních</w:t>
      </w:r>
      <w:proofErr w:type="spellEnd"/>
      <w:r w:rsidRPr="00284721">
        <w:rPr>
          <w:rFonts w:ascii="Calibri" w:hAnsi="Calibri" w:cs="Calibri"/>
          <w:color w:val="000000" w:themeColor="text1"/>
          <w:sz w:val="22"/>
          <w:szCs w:val="22"/>
        </w:rPr>
        <w:t xml:space="preserve"> příjmových limitů ze strany ČNB společně s postupným růstem reálných příjmů domácností. Výše hypotéky pak souvisí také s vývojem cen nemovitostí</w:t>
      </w:r>
      <w:r w:rsidR="00284721" w:rsidRPr="00284721">
        <w:rPr>
          <w:rFonts w:ascii="Calibri" w:hAnsi="Calibri" w:cs="Calibri"/>
          <w:color w:val="000000" w:themeColor="text1"/>
          <w:sz w:val="22"/>
          <w:szCs w:val="22"/>
        </w:rPr>
        <w:t>, které v loňsk</w:t>
      </w:r>
      <w:r w:rsidR="006D0CAC">
        <w:rPr>
          <w:rFonts w:ascii="Calibri" w:hAnsi="Calibri" w:cs="Calibri"/>
          <w:color w:val="000000" w:themeColor="text1"/>
          <w:sz w:val="22"/>
          <w:szCs w:val="22"/>
        </w:rPr>
        <w:t>é</w:t>
      </w:r>
      <w:r w:rsidR="00284721" w:rsidRPr="00284721">
        <w:rPr>
          <w:rFonts w:ascii="Calibri" w:hAnsi="Calibri" w:cs="Calibri"/>
          <w:color w:val="000000" w:themeColor="text1"/>
          <w:sz w:val="22"/>
          <w:szCs w:val="22"/>
        </w:rPr>
        <w:t>m roce vyrostly o více než 10</w:t>
      </w:r>
      <w:r w:rsidR="006D0CA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84721" w:rsidRPr="00284721">
        <w:rPr>
          <w:rFonts w:ascii="Calibri" w:hAnsi="Calibri" w:cs="Calibri"/>
          <w:color w:val="000000" w:themeColor="text1"/>
          <w:sz w:val="22"/>
          <w:szCs w:val="22"/>
        </w:rPr>
        <w:t>% meziročně.</w:t>
      </w:r>
    </w:p>
    <w:p w14:paraId="4E462F23" w14:textId="77777777" w:rsidR="005343BA" w:rsidRDefault="005343BA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5F044CF" w14:textId="77777777" w:rsidR="005343BA" w:rsidRDefault="005343BA" w:rsidP="005343BA">
      <w:pPr>
        <w:rPr>
          <w:rFonts w:ascii="Calibri" w:hAnsi="Calibri" w:cs="Calibri"/>
          <w:b/>
          <w:color w:val="13576B"/>
          <w:sz w:val="24"/>
          <w:szCs w:val="24"/>
        </w:rPr>
      </w:pPr>
      <w:r w:rsidRPr="00AF2306">
        <w:rPr>
          <w:rFonts w:ascii="Calibri" w:hAnsi="Calibri" w:cs="Calibri"/>
          <w:b/>
          <w:color w:val="13576B"/>
          <w:sz w:val="24"/>
          <w:szCs w:val="24"/>
        </w:rPr>
        <w:t>Dopad na průměrnou splátku</w:t>
      </w:r>
    </w:p>
    <w:p w14:paraId="50D3F3A4" w14:textId="77777777" w:rsidR="005343BA" w:rsidRDefault="005343BA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E98CA96" w14:textId="77777777" w:rsidR="005343BA" w:rsidRDefault="005343BA" w:rsidP="005343BA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287580">
        <w:rPr>
          <w:rFonts w:ascii="Calibri" w:hAnsi="Calibri" w:cs="Calibri"/>
          <w:color w:val="000000" w:themeColor="text1"/>
          <w:sz w:val="22"/>
          <w:szCs w:val="22"/>
        </w:rPr>
        <w:t>K</w:t>
      </w:r>
      <w:r w:rsidRPr="0028758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ombinace poklesu úrokové sazby a vyšší průměrné výše hypotéky v únoru 2025 ve srovnání s průměrnými hodnotami z roku 2024 zvýšily průměrnou měsíční splátku hypotéky o 1,1 tis. Kč. </w:t>
      </w:r>
      <w:r w:rsidRPr="00287580">
        <w:rPr>
          <w:rFonts w:ascii="Calibri" w:hAnsi="Calibri" w:cs="Calibri"/>
          <w:color w:val="000000" w:themeColor="text1"/>
          <w:sz w:val="22"/>
          <w:szCs w:val="22"/>
        </w:rPr>
        <w:t xml:space="preserve">Scénáře vývoje měsíční splátky pro různé délky splatnosti hypotéky znázorňuje tabulka č. 2. Ta napovídá, že pokles hypotečních sazeb bezmála o </w:t>
      </w:r>
      <w:proofErr w:type="gramStart"/>
      <w:r w:rsidRPr="00287580">
        <w:rPr>
          <w:rFonts w:ascii="Calibri" w:hAnsi="Calibri" w:cs="Calibri"/>
          <w:color w:val="000000" w:themeColor="text1"/>
          <w:sz w:val="22"/>
          <w:szCs w:val="22"/>
        </w:rPr>
        <w:t>0,4%</w:t>
      </w:r>
      <w:proofErr w:type="gramEnd"/>
      <w:r w:rsidRPr="00287580">
        <w:rPr>
          <w:rFonts w:ascii="Calibri" w:hAnsi="Calibri" w:cs="Calibri"/>
          <w:color w:val="000000" w:themeColor="text1"/>
          <w:sz w:val="22"/>
          <w:szCs w:val="22"/>
        </w:rPr>
        <w:t xml:space="preserve"> bodu vůči jejich průměrné výši 5,07 % v roce 2024 přinesl, pro průměrnou velikost hypotéky při jejím obvyklém přibližně 26,5letém splácení, snížení měsíční splátky o více než 800 Kč na přibližně 22,1 tis. Kč, tedy o 0,9 % čistého příjmu žadatele v porovnání s průměrnou splátkou v minulém roce. Ve srovnání s průměrnou hypoteční sazbou 5,81 % v roce 2023 dosáhla úspora kvůli úrokové sazbě o více než 2600 Kč, což je ovšem opět pro aktuální hodnotu průměrné nové hypotéky.</w:t>
      </w:r>
      <w:r w:rsidRPr="0028758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7BE22B01" w14:textId="77777777" w:rsidR="005343BA" w:rsidRPr="00BA321E" w:rsidRDefault="005343BA" w:rsidP="00263207">
      <w:pPr>
        <w:rPr>
          <w:rFonts w:ascii="Calibri" w:hAnsi="Calibri" w:cs="Calibri"/>
          <w:color w:val="000000"/>
          <w:sz w:val="22"/>
          <w:szCs w:val="22"/>
        </w:rPr>
      </w:pPr>
    </w:p>
    <w:p w14:paraId="02B891EA" w14:textId="12E3C0DA" w:rsidR="005343BA" w:rsidRPr="00287580" w:rsidRDefault="005343BA" w:rsidP="005343BA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287580">
        <w:rPr>
          <w:rFonts w:ascii="Calibri" w:hAnsi="Calibri" w:cs="Calibri"/>
          <w:color w:val="000000"/>
          <w:sz w:val="22"/>
          <w:szCs w:val="22"/>
        </w:rPr>
        <w:lastRenderedPageBreak/>
        <w:t xml:space="preserve">Ovšem současná průměrná výše hypotéky je o 9 % vyšší než její průměrná výše v roce 2024, což přispívá k navýšení měsíční splátky o 1,8 tis. Kč ve srovnání s průměrnou měsíční splátkou v minulém roce navázanou na </w:t>
      </w:r>
      <w:r>
        <w:rPr>
          <w:rFonts w:ascii="Calibri" w:hAnsi="Calibri" w:cs="Calibri"/>
          <w:color w:val="000000"/>
          <w:sz w:val="22"/>
          <w:szCs w:val="22"/>
        </w:rPr>
        <w:t>loňskou</w:t>
      </w:r>
      <w:r w:rsidRPr="00287580">
        <w:rPr>
          <w:rFonts w:ascii="Calibri" w:hAnsi="Calibri" w:cs="Calibri"/>
          <w:color w:val="000000"/>
          <w:sz w:val="22"/>
          <w:szCs w:val="22"/>
        </w:rPr>
        <w:t xml:space="preserve"> průměrnou výši hypotéky ovšem při současné úrokové sazbě. Splátka hypotéky ve výši jednoho milionu korun s 30letou splatností se se současnými úrokovými sazbami pohybuje okolo 5,2 tisíce Kč. </w:t>
      </w:r>
    </w:p>
    <w:p w14:paraId="09A87FC1" w14:textId="77777777" w:rsidR="00BA321E" w:rsidRDefault="00BA321E" w:rsidP="00263207">
      <w:pPr>
        <w:rPr>
          <w:rFonts w:ascii="Calibri" w:hAnsi="Calibri" w:cs="Calibri"/>
          <w:sz w:val="22"/>
          <w:szCs w:val="22"/>
        </w:rPr>
      </w:pPr>
    </w:p>
    <w:p w14:paraId="08887148" w14:textId="504D139E" w:rsidR="00AF2306" w:rsidRDefault="00AF2306" w:rsidP="00AF2306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>
        <w:rPr>
          <w:rFonts w:ascii="Calibri" w:hAnsi="Calibri" w:cs="Calibri"/>
          <w:b/>
          <w:color w:val="13576B"/>
          <w:sz w:val="23"/>
          <w:szCs w:val="23"/>
        </w:rPr>
        <w:t>2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: Průměrná </w:t>
      </w:r>
      <w:r>
        <w:rPr>
          <w:rFonts w:ascii="Calibri" w:hAnsi="Calibri" w:cs="Calibri"/>
          <w:b/>
          <w:color w:val="13576B"/>
          <w:sz w:val="23"/>
          <w:szCs w:val="23"/>
        </w:rPr>
        <w:t>výše skutečně nově poskytnuté hypotéky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>
        <w:rPr>
          <w:rFonts w:ascii="Calibri" w:hAnsi="Calibri" w:cs="Calibri"/>
          <w:b/>
          <w:color w:val="13576B"/>
          <w:sz w:val="23"/>
          <w:szCs w:val="23"/>
        </w:rPr>
        <w:t>podle účelu</w:t>
      </w:r>
    </w:p>
    <w:p w14:paraId="756E79B2" w14:textId="3643B2CB" w:rsidR="00AF2306" w:rsidRPr="002138C0" w:rsidRDefault="007F690B" w:rsidP="00AF2306">
      <w:pPr>
        <w:rPr>
          <w:rFonts w:ascii="Calibri" w:hAnsi="Calibri" w:cs="Calibri"/>
          <w:sz w:val="22"/>
          <w:szCs w:val="22"/>
          <w:highlight w:val="yellow"/>
        </w:rPr>
      </w:pPr>
      <w:r>
        <w:rPr>
          <w:noProof/>
        </w:rPr>
        <w:drawing>
          <wp:inline distT="0" distB="0" distL="0" distR="0" wp14:anchorId="5E2EF74D" wp14:editId="6A460C14">
            <wp:extent cx="4038600" cy="2514601"/>
            <wp:effectExtent l="0" t="0" r="0" b="0"/>
            <wp:docPr id="1983968961" name="Picture 1" descr="A graph of a graph showing the growth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968961" name="Picture 1" descr="A graph of a graph showing the growth of a company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50610" cy="252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F97C1" w14:textId="77777777" w:rsidR="00AF2306" w:rsidRPr="00616069" w:rsidRDefault="00AF2306" w:rsidP="00AF2306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</w:t>
      </w:r>
      <w:r>
        <w:rPr>
          <w:rFonts w:ascii="Calibri Light" w:hAnsi="Calibri Light" w:cs="Calibri Light"/>
          <w:color w:val="13576B"/>
          <w:sz w:val="20"/>
        </w:rPr>
        <w:t xml:space="preserve">ČNB, </w:t>
      </w:r>
      <w:r w:rsidRPr="002F4CBD">
        <w:rPr>
          <w:rFonts w:ascii="Calibri Light" w:hAnsi="Calibri Light" w:cs="Calibri Light"/>
          <w:color w:val="13576B"/>
          <w:sz w:val="20"/>
        </w:rPr>
        <w:t xml:space="preserve">ČBA </w:t>
      </w:r>
      <w:proofErr w:type="spellStart"/>
      <w:r w:rsidRPr="002F4CBD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504880F7" w14:textId="77777777" w:rsidR="00AF2306" w:rsidRPr="00A02F5D" w:rsidRDefault="00AF2306" w:rsidP="00263207">
      <w:pPr>
        <w:rPr>
          <w:rFonts w:ascii="Calibri" w:hAnsi="Calibri" w:cs="Calibri"/>
          <w:sz w:val="22"/>
          <w:szCs w:val="22"/>
        </w:rPr>
      </w:pPr>
    </w:p>
    <w:p w14:paraId="6053D3C2" w14:textId="77777777" w:rsidR="00B31E3C" w:rsidRPr="00A02F5D" w:rsidRDefault="00B31E3C" w:rsidP="00263207">
      <w:pPr>
        <w:rPr>
          <w:rFonts w:ascii="Calibri" w:hAnsi="Calibri" w:cs="Calibri"/>
          <w:b/>
          <w:bCs/>
          <w:sz w:val="22"/>
          <w:szCs w:val="22"/>
        </w:rPr>
      </w:pPr>
    </w:p>
    <w:p w14:paraId="5064332F" w14:textId="3A4DADF4" w:rsidR="00BA321E" w:rsidRPr="005B4E45" w:rsidRDefault="00BA321E" w:rsidP="00287580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1A267256" w14:textId="4EA001DC" w:rsidR="009D3067" w:rsidRPr="00515ECA" w:rsidRDefault="009D3067" w:rsidP="007F41A0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bookmarkStart w:id="6" w:name="_Hlk190458144"/>
      <w:bookmarkEnd w:id="5"/>
      <w:r w:rsidRPr="00515ECA">
        <w:rPr>
          <w:rFonts w:ascii="Calibri" w:hAnsi="Calibri" w:cs="Calibri"/>
          <w:b/>
          <w:color w:val="13576B"/>
          <w:sz w:val="23"/>
          <w:szCs w:val="23"/>
        </w:rPr>
        <w:t xml:space="preserve">Tabulka č. 2: </w:t>
      </w:r>
      <w:r w:rsidR="004B441B">
        <w:rPr>
          <w:rFonts w:ascii="Calibri" w:hAnsi="Calibri" w:cs="Calibri"/>
          <w:b/>
          <w:color w:val="13576B"/>
          <w:sz w:val="23"/>
          <w:szCs w:val="23"/>
        </w:rPr>
        <w:t>Ilustrace</w:t>
      </w:r>
      <w:r w:rsidR="00EB1892">
        <w:rPr>
          <w:rFonts w:ascii="Calibri" w:hAnsi="Calibri" w:cs="Calibri"/>
          <w:b/>
          <w:color w:val="13576B"/>
          <w:sz w:val="23"/>
          <w:szCs w:val="23"/>
        </w:rPr>
        <w:t xml:space="preserve"> m</w:t>
      </w:r>
      <w:r w:rsidRPr="00515ECA">
        <w:rPr>
          <w:rFonts w:ascii="Calibri" w:hAnsi="Calibri" w:cs="Calibri"/>
          <w:b/>
          <w:color w:val="13576B"/>
          <w:sz w:val="23"/>
          <w:szCs w:val="23"/>
        </w:rPr>
        <w:t>ěsíční splátk</w:t>
      </w:r>
      <w:r w:rsidR="004B441B">
        <w:rPr>
          <w:rFonts w:ascii="Calibri" w:hAnsi="Calibri" w:cs="Calibri"/>
          <w:b/>
          <w:color w:val="13576B"/>
          <w:sz w:val="23"/>
          <w:szCs w:val="23"/>
        </w:rPr>
        <w:t>y</w:t>
      </w:r>
      <w:r w:rsidRPr="00515ECA">
        <w:rPr>
          <w:rFonts w:ascii="Calibri" w:hAnsi="Calibri" w:cs="Calibri"/>
          <w:b/>
          <w:color w:val="13576B"/>
          <w:sz w:val="23"/>
          <w:szCs w:val="23"/>
        </w:rPr>
        <w:t xml:space="preserve"> průměrné hypotéky v závislosti na délce splatnosti a úrokové sazbě</w:t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648"/>
        <w:gridCol w:w="955"/>
        <w:gridCol w:w="955"/>
        <w:gridCol w:w="955"/>
        <w:gridCol w:w="955"/>
        <w:gridCol w:w="955"/>
        <w:gridCol w:w="955"/>
      </w:tblGrid>
      <w:tr w:rsidR="00D5517C" w:rsidRPr="002138C0" w14:paraId="2E0F9EE8" w14:textId="77777777" w:rsidTr="00EB1892">
        <w:trPr>
          <w:trHeight w:val="555"/>
        </w:trPr>
        <w:tc>
          <w:tcPr>
            <w:tcW w:w="4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E9691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velikost nové hypotéky v Kč: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2DFCA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01B2E" w14:textId="294A28AB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00C93" w:rsidRPr="00F236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F8289" w14:textId="56F45987" w:rsidR="00490505" w:rsidRPr="00F23602" w:rsidRDefault="00BA321E" w:rsidP="005861DC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4 004 246</w:t>
            </w:r>
          </w:p>
        </w:tc>
      </w:tr>
      <w:tr w:rsidR="00F23602" w:rsidRPr="002138C0" w14:paraId="3A9D14C4" w14:textId="77777777" w:rsidTr="00EB189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FFBA8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úroková sazba v %: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6198D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EEE92" w14:textId="18F743FA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3214C" w14:textId="1130DD68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1144F" w14:textId="1E0730A6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3EA"/>
            <w:noWrap/>
            <w:vAlign w:val="center"/>
            <w:hideMark/>
          </w:tcPr>
          <w:p w14:paraId="29650147" w14:textId="638BE549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</w:t>
            </w:r>
            <w:r w:rsidR="00AF2306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7</w:t>
            </w:r>
            <w:r w:rsidR="00BA321E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22EECDD2" w14:textId="49E02541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AC0A3" w14:textId="632AE5E6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D5517C" w:rsidRPr="002138C0" w14:paraId="4905349F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7E18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1EDC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8A3FA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7A7A8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798FF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Měsíční splátka:</w:t>
            </w:r>
          </w:p>
        </w:tc>
      </w:tr>
      <w:tr w:rsidR="00B3483B" w:rsidRPr="002138C0" w14:paraId="0A342D01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8443" w14:textId="77777777" w:rsidR="00B3483B" w:rsidRPr="00F23602" w:rsidRDefault="00B3483B" w:rsidP="00B3483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Splatnost hypotéky v letech: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E9A3" w14:textId="2EE552D7" w:rsidR="00B3483B" w:rsidRPr="00F23602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F03F" w14:textId="778E3184" w:rsidR="00B3483B" w:rsidRPr="00F23602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25 770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9F84" w14:textId="39F04320" w:rsidR="00B3483B" w:rsidRPr="00F23602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27 650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63E5" w14:textId="6B18934A" w:rsidR="00B3483B" w:rsidRPr="00F23602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29 620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0F2712F9" w14:textId="6A163177" w:rsidR="00B3483B" w:rsidRPr="002138C0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31 090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90F9892" w14:textId="41581E3C" w:rsidR="00B3483B" w:rsidRPr="002138C0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31 670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0922" w14:textId="6EAA2401" w:rsidR="00B3483B" w:rsidRPr="002138C0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33 790</w:t>
            </w:r>
          </w:p>
        </w:tc>
      </w:tr>
      <w:tr w:rsidR="00B3483B" w:rsidRPr="002138C0" w14:paraId="4A78BEF2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3610" w14:textId="77777777" w:rsidR="00B3483B" w:rsidRPr="00F23602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CE37" w14:textId="3D5EADF1" w:rsidR="00B3483B" w:rsidRPr="00F23602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FBFB" w14:textId="68F779FD" w:rsidR="00B3483B" w:rsidRPr="00F23602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20 260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AA86" w14:textId="6EFB03B5" w:rsidR="00B3483B" w:rsidRPr="00F23602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22 210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7E18" w14:textId="1CD3BBF6" w:rsidR="00B3483B" w:rsidRPr="00F23602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24 260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6D332706" w14:textId="5461BF05" w:rsidR="00B3483B" w:rsidRPr="002138C0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25 820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5E6CF5E2" w14:textId="6390D389" w:rsidR="00B3483B" w:rsidRPr="002138C0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26 430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BDBD" w14:textId="72773FB3" w:rsidR="00B3483B" w:rsidRPr="002138C0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28 690</w:t>
            </w:r>
          </w:p>
        </w:tc>
      </w:tr>
      <w:tr w:rsidR="00B3483B" w:rsidRPr="002138C0" w14:paraId="6CF32913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281A" w14:textId="77777777" w:rsidR="00B3483B" w:rsidRPr="00F23602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2D49" w14:textId="4B33D07E" w:rsidR="00B3483B" w:rsidRPr="00F23602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1A11" w14:textId="271EBE0C" w:rsidR="00B3483B" w:rsidRPr="00F23602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16 970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E222" w14:textId="432703BB" w:rsidR="00B3483B" w:rsidRPr="00F23602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18 990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F1AB" w14:textId="4EB672F0" w:rsidR="00B3483B" w:rsidRPr="00F23602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21 140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5331F341" w14:textId="4705BB0D" w:rsidR="00B3483B" w:rsidRPr="002138C0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22 770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E4DDF0D" w14:textId="281F550B" w:rsidR="00B3483B" w:rsidRPr="002138C0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23 410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D8C7" w14:textId="2083C780" w:rsidR="00B3483B" w:rsidRPr="002138C0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25 800</w:t>
            </w:r>
          </w:p>
        </w:tc>
      </w:tr>
      <w:tr w:rsidR="00B3483B" w:rsidRPr="002138C0" w14:paraId="2841560E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465CE" w14:textId="77777777" w:rsidR="00B3483B" w:rsidRPr="00F23602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F3EA"/>
            <w:noWrap/>
            <w:vAlign w:val="center"/>
          </w:tcPr>
          <w:p w14:paraId="088256B9" w14:textId="7B52E734" w:rsidR="00B3483B" w:rsidRPr="00F23602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26,5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0B45A43E" w14:textId="6ACCB82B" w:rsidR="00B3483B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16 220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09BA985F" w14:textId="187D6D83" w:rsidR="00B3483B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18 260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567430AE" w14:textId="69CFEECD" w:rsidR="00B3483B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20 430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427C5795" w14:textId="1F2861D8" w:rsidR="00B3483B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22 090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3738B6D6" w14:textId="50B50818" w:rsidR="00B3483B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22 740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15CB0311" w14:textId="5E972BAC" w:rsidR="00B3483B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25 170</w:t>
            </w:r>
          </w:p>
        </w:tc>
      </w:tr>
      <w:tr w:rsidR="00B3483B" w:rsidRPr="002138C0" w14:paraId="46B86678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BB57D" w14:textId="77777777" w:rsidR="00B3483B" w:rsidRPr="00F23602" w:rsidRDefault="00B3483B" w:rsidP="00B3483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525A" w14:textId="289621B9" w:rsidR="00B3483B" w:rsidRPr="00F23602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A2DA6" w14:textId="4E76D516" w:rsidR="00B3483B" w:rsidRPr="00F23602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14 800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602F5" w14:textId="198ECE9A" w:rsidR="00B3483B" w:rsidRPr="00F23602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16 880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C600D" w14:textId="79E7325E" w:rsidR="00B3483B" w:rsidRPr="00F23602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19 120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F3EA"/>
            <w:noWrap/>
            <w:vAlign w:val="center"/>
            <w:hideMark/>
          </w:tcPr>
          <w:p w14:paraId="527D8D8A" w14:textId="2A69B3B1" w:rsidR="00B3483B" w:rsidRPr="002138C0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20 820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5ABD787" w14:textId="2EA2FCDA" w:rsidR="00B3483B" w:rsidRPr="002138C0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21 500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81B34" w14:textId="32CF32A4" w:rsidR="00B3483B" w:rsidRPr="002138C0" w:rsidRDefault="00B3483B" w:rsidP="00B348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24 010</w:t>
            </w:r>
          </w:p>
        </w:tc>
      </w:tr>
      <w:tr w:rsidR="00D5517C" w:rsidRPr="002138C0" w14:paraId="58395EC8" w14:textId="77777777" w:rsidTr="00EB189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D57F" w14:textId="5396F87E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0"/>
              </w:rPr>
            </w:pPr>
            <w:r w:rsidRPr="00AA62A7">
              <w:rPr>
                <w:rFonts w:asciiTheme="minorHAnsi" w:hAnsiTheme="minorHAnsi" w:cstheme="minorHAnsi"/>
                <w:color w:val="2F5496" w:themeColor="accent5" w:themeShade="BF"/>
                <w:sz w:val="20"/>
              </w:rPr>
              <w:t>Pramen</w:t>
            </w:r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>: ČBA</w:t>
            </w:r>
            <w:r w:rsidR="00952AEF" w:rsidRPr="00AA62A7">
              <w:rPr>
                <w:rFonts w:asciiTheme="minorHAnsi" w:hAnsiTheme="minorHAnsi" w:cstheme="minorHAnsi"/>
                <w:color w:val="13576B"/>
                <w:sz w:val="20"/>
              </w:rPr>
              <w:t xml:space="preserve"> </w:t>
            </w:r>
            <w:r w:rsidR="00952AEF" w:rsidRPr="00AA62A7">
              <w:rPr>
                <w:rStyle w:val="Znakapoznpodarou"/>
                <w:rFonts w:asciiTheme="minorHAnsi" w:hAnsiTheme="minorHAnsi" w:cstheme="minorHAnsi"/>
                <w:color w:val="2F5496" w:themeColor="accent5" w:themeShade="BF"/>
                <w:sz w:val="20"/>
              </w:rPr>
              <w:footnoteReference w:id="2"/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430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225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1F0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2AAF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6A2A" w14:textId="77777777" w:rsidR="00D5517C" w:rsidRPr="00AA62A7" w:rsidRDefault="00D5517C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D15A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72E4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D5517C" w:rsidRPr="002138C0" w14:paraId="17E5FF51" w14:textId="77777777" w:rsidTr="00EB1892">
        <w:trPr>
          <w:trHeight w:val="30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0336" w14:textId="02728D43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0"/>
              </w:rPr>
            </w:pPr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>Pozn.: barevný sloupec odpovídá úrokové sazbě posledního ČBA Hypomonitoru, ostatní sazby jsou ilustrační</w:t>
            </w:r>
            <w:r w:rsidR="00EB1892" w:rsidRPr="00AA62A7">
              <w:rPr>
                <w:rFonts w:asciiTheme="minorHAnsi" w:hAnsiTheme="minorHAnsi" w:cstheme="minorHAnsi"/>
                <w:color w:val="13576B"/>
                <w:sz w:val="20"/>
              </w:rPr>
              <w:t xml:space="preserve">; barevný řádek odpovídá průměrné splatnosti nových hypoték podle dat ČNB; částky jsou zaokrouhleny na desítky korun. </w:t>
            </w:r>
          </w:p>
        </w:tc>
      </w:tr>
    </w:tbl>
    <w:p w14:paraId="153A019F" w14:textId="77777777" w:rsidR="00AA62A7" w:rsidRDefault="00AA62A7" w:rsidP="00EB1892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</w:p>
    <w:p w14:paraId="2903E2A7" w14:textId="77777777" w:rsidR="005343BA" w:rsidRDefault="005343BA" w:rsidP="00EB1892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</w:p>
    <w:p w14:paraId="43A505F4" w14:textId="77777777" w:rsidR="005343BA" w:rsidRDefault="005343BA" w:rsidP="00EB1892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</w:p>
    <w:p w14:paraId="008912E8" w14:textId="77777777" w:rsidR="005343BA" w:rsidRDefault="005343BA" w:rsidP="00EB1892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</w:p>
    <w:p w14:paraId="1973CBB4" w14:textId="5514ACE7" w:rsidR="00EB1892" w:rsidRDefault="00EB1892" w:rsidP="00EB1892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9D5F35">
        <w:rPr>
          <w:rFonts w:ascii="Calibri" w:hAnsi="Calibri" w:cs="Calibri"/>
          <w:b/>
          <w:color w:val="13576B"/>
          <w:sz w:val="23"/>
          <w:szCs w:val="23"/>
        </w:rPr>
        <w:t>3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: </w:t>
      </w:r>
      <w:r w:rsidR="009D5F35">
        <w:rPr>
          <w:rFonts w:ascii="Calibri" w:hAnsi="Calibri" w:cs="Calibri"/>
          <w:b/>
          <w:color w:val="13576B"/>
          <w:sz w:val="23"/>
          <w:szCs w:val="23"/>
        </w:rPr>
        <w:t>Ilustrativní srovnání výše měsíční splátky průměrné hypotéky s obdobím před rokem v závislosti na výši úroku, velikosti hypotéky a její splatnosti v letech</w:t>
      </w:r>
    </w:p>
    <w:p w14:paraId="7D566DD6" w14:textId="0CD6F188" w:rsidR="00B44209" w:rsidRDefault="00287580" w:rsidP="00AA62A7">
      <w:pPr>
        <w:overflowPunct/>
        <w:autoSpaceDE/>
        <w:autoSpaceDN/>
        <w:adjustRightInd/>
        <w:spacing w:line="259" w:lineRule="auto"/>
        <w:jc w:val="left"/>
        <w:textAlignment w:val="auto"/>
        <w:rPr>
          <w:rFonts w:ascii="Calibri" w:hAnsi="Calibri" w:cs="Calibri"/>
          <w:b/>
          <w:color w:val="13576B"/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2CFCB717" wp14:editId="4C6BAB25">
            <wp:extent cx="5400000" cy="3838095"/>
            <wp:effectExtent l="0" t="0" r="0" b="0"/>
            <wp:docPr id="2052860380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860380" name="Picture 1" descr="A screenshot of a graph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DE1A7" w14:textId="4B9EF024" w:rsidR="009D5F35" w:rsidRDefault="009D5F35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r w:rsidRPr="002F4CBD">
        <w:rPr>
          <w:rFonts w:ascii="Calibri Light" w:hAnsi="Calibri Light" w:cs="Calibri Light"/>
          <w:color w:val="13576B"/>
          <w:sz w:val="20"/>
        </w:rPr>
        <w:t>ČBA</w:t>
      </w:r>
      <w:r w:rsidR="00AA62A7">
        <w:rPr>
          <w:rFonts w:ascii="Calibri Light" w:hAnsi="Calibri Light" w:cs="Calibri Light"/>
          <w:color w:val="13576B"/>
          <w:sz w:val="20"/>
        </w:rPr>
        <w:t xml:space="preserve">. Pozn.: </w:t>
      </w:r>
      <w:r w:rsidR="00AA62A7" w:rsidRPr="00AA62A7">
        <w:rPr>
          <w:rFonts w:ascii="Calibri Light" w:hAnsi="Calibri Light" w:cs="Calibri Light"/>
          <w:color w:val="13576B"/>
          <w:sz w:val="20"/>
        </w:rPr>
        <w:t>částky jsou zaokrouhleny na desítky korun.</w:t>
      </w:r>
    </w:p>
    <w:p w14:paraId="605CA941" w14:textId="77777777" w:rsidR="00173D31" w:rsidRDefault="00173D31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7ECA69B5" w14:textId="77777777" w:rsidR="00173D31" w:rsidRPr="00616069" w:rsidRDefault="00173D31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bookmarkEnd w:id="6"/>
    <w:p w14:paraId="0D5FBC63" w14:textId="77777777" w:rsidR="002A5D11" w:rsidRPr="002A5D11" w:rsidRDefault="002A5D11" w:rsidP="002A5D11">
      <w:pPr>
        <w:rPr>
          <w:rFonts w:ascii="Calibri" w:hAnsi="Calibri" w:cs="Calibri"/>
          <w:b/>
          <w:color w:val="13576B"/>
          <w:sz w:val="24"/>
          <w:szCs w:val="24"/>
        </w:rPr>
      </w:pPr>
      <w:r w:rsidRPr="002A5D11">
        <w:rPr>
          <w:rFonts w:ascii="Calibri" w:hAnsi="Calibri" w:cs="Calibri"/>
          <w:b/>
          <w:color w:val="13576B"/>
          <w:sz w:val="24"/>
          <w:szCs w:val="24"/>
        </w:rPr>
        <w:t>Hypoteční trh v roce 2024: Rekordní růst o 83 %</w:t>
      </w:r>
    </w:p>
    <w:p w14:paraId="4743E758" w14:textId="77777777" w:rsidR="001002CD" w:rsidRPr="00840F7C" w:rsidRDefault="001002CD" w:rsidP="003E393C">
      <w:pPr>
        <w:rPr>
          <w:rFonts w:ascii="Calibri" w:hAnsi="Calibri" w:cs="Calibri"/>
          <w:b/>
          <w:bCs/>
          <w:sz w:val="22"/>
          <w:szCs w:val="22"/>
        </w:rPr>
      </w:pPr>
    </w:p>
    <w:p w14:paraId="2BEF2B35" w14:textId="036FD876" w:rsidR="003E393C" w:rsidRPr="002138C0" w:rsidRDefault="001002CD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  <w:r w:rsidRPr="00840F7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Za celý rok 2024 poskytly banky a stavební spořitelny nové hypoteční úvěry v objemu 228 miliard Kč. 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>To je více než 83</w:t>
      </w:r>
      <w:r w:rsidR="00AE4002">
        <w:rPr>
          <w:rFonts w:ascii="Calibri" w:hAnsi="Calibri" w:cs="Calibri"/>
          <w:color w:val="000000" w:themeColor="text1"/>
          <w:sz w:val="22"/>
          <w:szCs w:val="22"/>
        </w:rPr>
        <w:t>%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 skok vůči objemu z roku 2023. K tomu se navíc refinancovaly hypotéky v rozsahu 47 miliard Kč a celý hypoteční trh tak v roce 2024 narostl na 275 miliard Kč ze 150 miliard v roce 2023. Pokud upravíme objemy o nárůst cen nemovitostí o 4-8 % (dle různých statistik během 1</w:t>
      </w:r>
      <w:r w:rsidR="00AE4002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-3. čtvrtletí 2024), objem nových hypoték vzrostl reálně o něco méně. To odpovídá i mírnějšímu nárůstu počtu nových hypoték v roce 2024 o 53 % meziročně na téměř 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>62 tisíc a téměř 20% nárůstu průměrné výše poskytnuté nové hypotéky na 3,7 milion</w:t>
      </w:r>
      <w:r w:rsidR="00AE4002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Kč</w:t>
      </w:r>
      <w:r w:rsidR="00693034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>Ve srovnání s předpandemickými roky 2017-2019 byl objem poskytnutých</w:t>
      </w:r>
      <w:r w:rsidR="00872E78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nových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hypoték v roce 202</w:t>
      </w:r>
      <w:r w:rsidR="003E4820" w:rsidRPr="00872E78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zhruba o </w:t>
      </w:r>
      <w:r w:rsidR="00FE400F" w:rsidRPr="00872E78">
        <w:rPr>
          <w:rFonts w:ascii="Calibri" w:hAnsi="Calibri" w:cs="Calibri"/>
          <w:color w:val="000000" w:themeColor="text1"/>
          <w:sz w:val="22"/>
          <w:szCs w:val="22"/>
        </w:rPr>
        <w:t>necelou pětinu vyšší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5FD17B82" w14:textId="77777777" w:rsidR="005F105B" w:rsidRDefault="005F105B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1506699D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70B01570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0514B5D2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590DDD4C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1AA631AE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27A57DD1" w14:textId="77777777" w:rsidR="001E4370" w:rsidRPr="002138C0" w:rsidRDefault="001E4370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11595CC2" w14:textId="635689CB" w:rsidR="003E393C" w:rsidRPr="002F4CBD" w:rsidRDefault="003E393C" w:rsidP="003E393C">
      <w:pPr>
        <w:rPr>
          <w:rFonts w:ascii="Calibri" w:hAnsi="Calibri" w:cs="Calibri"/>
          <w:sz w:val="22"/>
          <w:szCs w:val="22"/>
        </w:rPr>
      </w:pPr>
      <w:r w:rsidRPr="002F4CBD">
        <w:rPr>
          <w:rFonts w:ascii="Calibri" w:hAnsi="Calibri" w:cs="Calibri"/>
          <w:b/>
          <w:color w:val="13576B"/>
          <w:sz w:val="23"/>
          <w:szCs w:val="23"/>
        </w:rPr>
        <w:lastRenderedPageBreak/>
        <w:t xml:space="preserve">Graf č. </w:t>
      </w:r>
      <w:r w:rsidR="0010371D" w:rsidRPr="002F4CBD">
        <w:rPr>
          <w:rFonts w:ascii="Calibri" w:hAnsi="Calibri" w:cs="Calibri"/>
          <w:b/>
          <w:color w:val="13576B"/>
          <w:sz w:val="23"/>
          <w:szCs w:val="23"/>
        </w:rPr>
        <w:t>2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>: Celoroční objem a počet poskytnutých hypoték v letech 2021 až 202</w:t>
      </w:r>
      <w:r w:rsidR="002138C0" w:rsidRPr="002F4CBD">
        <w:rPr>
          <w:rFonts w:ascii="Calibri" w:hAnsi="Calibri" w:cs="Calibri"/>
          <w:b/>
          <w:color w:val="13576B"/>
          <w:sz w:val="23"/>
          <w:szCs w:val="23"/>
        </w:rPr>
        <w:t>4</w:t>
      </w:r>
    </w:p>
    <w:p w14:paraId="6B4EF12D" w14:textId="28831766" w:rsidR="003E393C" w:rsidRPr="002F4CBD" w:rsidRDefault="003E393C" w:rsidP="003E393C">
      <w:pPr>
        <w:rPr>
          <w:rFonts w:ascii="Calibri" w:hAnsi="Calibri" w:cs="Calibri"/>
          <w:sz w:val="22"/>
          <w:szCs w:val="22"/>
        </w:rPr>
      </w:pPr>
    </w:p>
    <w:p w14:paraId="2F4D295D" w14:textId="57A93BDF" w:rsidR="002F4CBD" w:rsidRPr="002F4CBD" w:rsidRDefault="002F4CBD" w:rsidP="003E393C">
      <w:pPr>
        <w:rPr>
          <w:rFonts w:ascii="Calibri" w:hAnsi="Calibri" w:cs="Calibri"/>
          <w:sz w:val="22"/>
          <w:szCs w:val="22"/>
        </w:rPr>
      </w:pPr>
      <w:r w:rsidRPr="002F4CBD">
        <w:rPr>
          <w:noProof/>
        </w:rPr>
        <w:drawing>
          <wp:inline distT="0" distB="0" distL="0" distR="0" wp14:anchorId="126AC1CA" wp14:editId="276DF6AD">
            <wp:extent cx="6480810" cy="2711450"/>
            <wp:effectExtent l="0" t="0" r="0" b="0"/>
            <wp:docPr id="564655201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55201" name="Picture 1" descr="A screenshot of a graph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749FA" w14:textId="77777777" w:rsidR="003E393C" w:rsidRPr="00616069" w:rsidRDefault="003E393C" w:rsidP="003E393C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ČBA </w:t>
      </w:r>
      <w:proofErr w:type="spellStart"/>
      <w:r w:rsidRPr="002F4CBD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372DD4C3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7448079E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22ED378A" w14:textId="017879D6" w:rsidR="006C53A0" w:rsidRPr="00616069" w:rsidRDefault="006C53A0" w:rsidP="007F41A0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117B780" w14:textId="3B9498AC" w:rsidR="007F41A0" w:rsidRPr="00616069" w:rsidRDefault="007F41A0" w:rsidP="007F41A0">
      <w:pPr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ČBA zveřejňuje souhrnné statistiky za celý bankovní trh</w:t>
      </w:r>
    </w:p>
    <w:p w14:paraId="55E76E82" w14:textId="019F3D7D" w:rsidR="007F41A0" w:rsidRPr="00616069" w:rsidRDefault="007F41A0" w:rsidP="007F41A0">
      <w:pPr>
        <w:rPr>
          <w:rFonts w:ascii="Calibri" w:hAnsi="Calibri" w:cs="Calibri"/>
          <w:b/>
          <w:bCs/>
          <w:sz w:val="22"/>
          <w:szCs w:val="22"/>
        </w:rPr>
      </w:pPr>
      <w:r w:rsidRPr="00616069">
        <w:rPr>
          <w:rFonts w:ascii="Calibri" w:hAnsi="Calibri" w:cs="Calibri"/>
          <w:sz w:val="22"/>
          <w:szCs w:val="22"/>
        </w:rPr>
        <w:t xml:space="preserve">Česká bankovní asociace zveřejňuje ve spolupráci s členskými bankami nové souhrnné statistiky z trhu bydlení. Jde především o objemy a počty nově poskytnutých a refinancovaných hypoték a příslušnou úrokovou sazbu. Tyto statistiky publikuje ČBA v agregované podobě za celý bankovní sektor na pravidelné bázi vždy zhruba v polovině měsíce. Šetření se účastní všechny tuzemské banky a stavební spořitelny poskytující v ČR hypotéky. Data jsou dostupná od ledna roku 2020 v přiloženém souboru na stránkách </w:t>
      </w:r>
      <w:hyperlink r:id="rId15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www.cbaonline.cz</w:t>
        </w:r>
      </w:hyperlink>
      <w:r w:rsidR="004674AA" w:rsidRPr="0061606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616069">
        <w:rPr>
          <w:rFonts w:ascii="Calibri" w:hAnsi="Calibri" w:cs="Calibri"/>
          <w:sz w:val="22"/>
          <w:szCs w:val="22"/>
        </w:rPr>
        <w:t>kde lze také příslušné statistiky najít zvlášť pro banky a stavební spořitelny. Výše uvedené hodnoty jsou pro sektor jako celek</w:t>
      </w:r>
      <w:r w:rsidR="004674AA" w:rsidRPr="00616069">
        <w:rPr>
          <w:rFonts w:ascii="Calibri" w:hAnsi="Calibri" w:cs="Calibri"/>
          <w:sz w:val="22"/>
          <w:szCs w:val="22"/>
        </w:rPr>
        <w:t>, které lze v jednoduch</w:t>
      </w:r>
      <w:r w:rsidR="004C593C">
        <w:rPr>
          <w:rFonts w:ascii="Calibri" w:hAnsi="Calibri" w:cs="Calibri"/>
          <w:sz w:val="22"/>
          <w:szCs w:val="22"/>
        </w:rPr>
        <w:t>é</w:t>
      </w:r>
      <w:r w:rsidR="004674AA" w:rsidRPr="00616069">
        <w:rPr>
          <w:rFonts w:ascii="Calibri" w:hAnsi="Calibri" w:cs="Calibri"/>
          <w:sz w:val="22"/>
          <w:szCs w:val="22"/>
        </w:rPr>
        <w:t xml:space="preserve"> grafické podobě sledovat také na stránkách </w:t>
      </w:r>
      <w:hyperlink r:id="rId16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cbamonitor.cz</w:t>
        </w:r>
      </w:hyperlink>
      <w:r w:rsidRPr="00616069">
        <w:rPr>
          <w:rFonts w:ascii="Calibri" w:hAnsi="Calibri" w:cs="Calibri"/>
          <w:sz w:val="22"/>
          <w:szCs w:val="22"/>
        </w:rPr>
        <w:t>.</w:t>
      </w:r>
      <w:r w:rsidRPr="00616069">
        <w:rPr>
          <w:rFonts w:ascii="Calibri" w:hAnsi="Calibri" w:cs="Calibri"/>
          <w:i/>
          <w:iCs/>
          <w:sz w:val="20"/>
        </w:rPr>
        <w:t xml:space="preserve"> </w:t>
      </w:r>
    </w:p>
    <w:p w14:paraId="3F99F9FA" w14:textId="6DA0884C" w:rsidR="007F41A0" w:rsidRPr="00616069" w:rsidRDefault="007F41A0" w:rsidP="003417B4">
      <w:pPr>
        <w:rPr>
          <w:rFonts w:ascii="Calibri" w:hAnsi="Calibri" w:cs="Calibri"/>
          <w:sz w:val="22"/>
          <w:szCs w:val="22"/>
        </w:rPr>
      </w:pPr>
    </w:p>
    <w:p w14:paraId="4299C957" w14:textId="36BC1F78" w:rsidR="00B50D1B" w:rsidRPr="00616069" w:rsidRDefault="00B50D1B" w:rsidP="003417B4">
      <w:pPr>
        <w:rPr>
          <w:rFonts w:ascii="Calibri" w:hAnsi="Calibri" w:cs="Calibri"/>
          <w:sz w:val="22"/>
          <w:szCs w:val="22"/>
        </w:rPr>
      </w:pPr>
    </w:p>
    <w:p w14:paraId="6A100EFD" w14:textId="3381F438" w:rsidR="00100269" w:rsidRPr="00616069" w:rsidRDefault="00100269" w:rsidP="003417B4">
      <w:pPr>
        <w:rPr>
          <w:rFonts w:ascii="Calibri" w:hAnsi="Calibri" w:cs="Calibri"/>
          <w:sz w:val="22"/>
          <w:szCs w:val="22"/>
        </w:rPr>
      </w:pPr>
    </w:p>
    <w:p w14:paraId="5F378DF9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012907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4E9F93F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5EDC910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4AE260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146C6D89" w14:textId="77777777" w:rsidR="0028530F" w:rsidRPr="00B04FE2" w:rsidRDefault="004975FD" w:rsidP="00CA3B41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i/>
          <w:iCs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5DA650" wp14:editId="15515F89">
                <wp:simplePos x="0" y="0"/>
                <wp:positionH relativeFrom="margin">
                  <wp:align>center</wp:align>
                </wp:positionH>
                <wp:positionV relativeFrom="paragraph">
                  <wp:posOffset>282527</wp:posOffset>
                </wp:positionV>
                <wp:extent cx="6574790" cy="467550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4675505"/>
                        </a:xfrm>
                        <a:prstGeom prst="rect">
                          <a:avLst/>
                        </a:prstGeom>
                        <a:solidFill>
                          <a:srgbClr val="13576B">
                            <a:alpha val="83922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681E4" w14:textId="20B4FCBA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Metodika ČBA Hypomonitoru</w:t>
                            </w:r>
                          </w:p>
                          <w:p w14:paraId="7401467C" w14:textId="77777777" w:rsidR="00414AD4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</w:p>
                          <w:p w14:paraId="1021EABD" w14:textId="16015784" w:rsidR="0001227F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Hypomonitor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="00FB47D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rozděluje poskytnuté hypoteční úvěry 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bank a stavebních spořitelen</w:t>
                            </w:r>
                            <w:r w:rsidR="00B426A2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domácnostem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do několika kategorií tak, aby byly rozlišeny nové úvěry od refinancovaných či interních refixací</w:t>
                            </w:r>
                            <w:r w:rsidR="000B70C8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Nové úvěry jsou 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pak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vykazovány v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kategoriích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dle účelu úvěru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:</w:t>
                            </w:r>
                          </w:p>
                          <w:p w14:paraId="58E707E8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3227247A" w14:textId="11714118" w:rsidR="0001227F" w:rsidRPr="00616069" w:rsidRDefault="00E818C3" w:rsidP="00E818C3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1.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Nové úvěry</w:t>
                            </w:r>
                          </w:p>
                          <w:p w14:paraId="22AF3257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Jsou úvěry, jejichž celý objem poprvé vstupuje do ekonomiky. Do této kategorie nepatří konsolidace úvěrů anebo refinancování úvěrů. Dělí se do tří kategorií:</w:t>
                            </w:r>
                          </w:p>
                          <w:p w14:paraId="362AFB2A" w14:textId="77777777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Nákup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9F23FA5" w14:textId="6EE96893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Výstavba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včetně rekonstrukce nemovitosti </w:t>
                            </w:r>
                          </w:p>
                          <w:p w14:paraId="4D80580F" w14:textId="11E0715F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Ostatní nová ujednání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</w:t>
                            </w:r>
                            <w:proofErr w:type="gram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podílu,</w:t>
                            </w:r>
                            <w:proofErr w:type="gram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atp.</w:t>
                            </w:r>
                          </w:p>
                          <w:p w14:paraId="4FBF1D5A" w14:textId="77777777" w:rsidR="0001227F" w:rsidRPr="00616069" w:rsidRDefault="0001227F" w:rsidP="0001227F">
                            <w:pPr>
                              <w:spacing w:line="276" w:lineRule="auto"/>
                              <w:ind w:left="708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71D5E0BB" w14:textId="7D112C27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2.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Refinancované úvěry z jiné finanční instituce</w:t>
                            </w:r>
                          </w:p>
                          <w:p w14:paraId="351B5A60" w14:textId="0B5DCBB6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vznikly refinancováním jednoho nebo více úvěrů z jiné finanční instituce než </w:t>
                            </w:r>
                            <w:r w:rsidR="00973197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té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vykazující. Bez ohledu na výši refinancované částky a bez ohledu na výši případného navýšení se celková výše nově vzniklého úvěru vykazuje do této kategorie. </w:t>
                            </w:r>
                          </w:p>
                          <w:p w14:paraId="7566D2D6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04B36444" w14:textId="4F20B25F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3.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Navýšené anebo interně refinancované úvěry</w:t>
                            </w:r>
                          </w:p>
                          <w:p w14:paraId="711A3661" w14:textId="2A271010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již byly </w:t>
                            </w:r>
                            <w:r w:rsidR="00647A7A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v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předchozí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vykazované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období součástí portfolia vykazujícího subjektu, a ve vykazovaném období u nich došlo k některé z následujících změn:</w:t>
                            </w:r>
                          </w:p>
                          <w:p w14:paraId="4A6B00C0" w14:textId="77777777" w:rsidR="00E818C3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navýšení sjednané částky </w:t>
                            </w:r>
                          </w:p>
                          <w:p w14:paraId="44682079" w14:textId="72C23671" w:rsidR="0001227F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došlo k takovým změnám, že původní úvěr byl v rámci vykazujícího subjektu refinancován/převeden na nový úvěr.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de</w:t>
                            </w:r>
                            <w:r w:rsidR="00CD28EC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tak o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skutečně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novou smlouvu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nikoli např. jen </w:t>
                            </w:r>
                            <w:r w:rsidR="007B79F6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nové ujednání v rámci refi</w:t>
                            </w:r>
                            <w:r w:rsidR="000F02C1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xace 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stávající smlouvy. Proto je objem takových úvěru ve statistice ČBA nižší oproti „ostatním novým ujednáním“ ve statistice České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árodní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b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anky.</w:t>
                            </w:r>
                          </w:p>
                          <w:p w14:paraId="1FAF8B9B" w14:textId="4C474A58" w:rsidR="006F08E1" w:rsidRPr="00616069" w:rsidRDefault="006F08E1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65FC0189" w14:textId="08A7140E" w:rsidR="006F08E1" w:rsidRPr="00616069" w:rsidRDefault="001F49EA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Data pro 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Hypomonitor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poskytují následující banky a stavební spořitelny: Air Bank, Česká spořitelna, ČSOB, ČSOB Stavební spořitelna, Fio banka, Hypoteční banka, Komerční banka, mBank, Modrá pyramida, MONETA Money Bank, MONETA Stavební spořitelna,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Oberbank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Raiffeisen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stavební spořitelna, Raiffeisenbank, Stavební spořitelna České spořitelny, UniCredit Bank.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DA65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left:0;text-align:left;margin-left:0;margin-top:22.25pt;width:517.7pt;height:368.1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" fillcolor="#13576b" stroked="f">
                <v:fill opacity="54998f"/>
                <v:textbox>
                  <w:txbxContent>
                    <w:p w14:paraId="523681E4" w14:textId="20B4FCBA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Metodika ČBA Hypomonitoru</w:t>
                      </w:r>
                    </w:p>
                    <w:p w14:paraId="7401467C" w14:textId="77777777" w:rsidR="00414AD4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</w:p>
                    <w:p w14:paraId="1021EABD" w14:textId="16015784" w:rsidR="0001227F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Hypomonitor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="00FB47D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rozděluje poskytnuté hypoteční úvěry 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bank a stavebních spořitelen</w:t>
                      </w:r>
                      <w:r w:rsidR="00B426A2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domácnostem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do několika kategorií tak, aby byly rozlišeny nové úvěry od refinancovaných či interních refixací</w:t>
                      </w:r>
                      <w:r w:rsidR="000B70C8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Nové úvěry jsou 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pak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vykazovány v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kategoriích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dle účelu úvěru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:</w:t>
                      </w:r>
                    </w:p>
                    <w:p w14:paraId="58E707E8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3227247A" w14:textId="11714118" w:rsidR="0001227F" w:rsidRPr="00616069" w:rsidRDefault="00E818C3" w:rsidP="00E818C3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1.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Nové úvěry</w:t>
                      </w:r>
                    </w:p>
                    <w:p w14:paraId="22AF3257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Jsou úvěry, jejichž celý objem poprvé vstupuje do ekonomiky. Do této kategorie nepatří konsolidace úvěrů anebo refinancování úvěrů. Dělí se do tří kategorií:</w:t>
                      </w:r>
                    </w:p>
                    <w:p w14:paraId="362AFB2A" w14:textId="77777777" w:rsidR="0001227F" w:rsidRPr="00616069" w:rsidRDefault="0001227F" w:rsidP="00E818C3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Nákup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</w:t>
                      </w:r>
                    </w:p>
                    <w:p w14:paraId="29F23FA5" w14:textId="6EE96893" w:rsidR="0001227F" w:rsidRPr="00616069" w:rsidRDefault="0001227F" w:rsidP="00E818C3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Výstavba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včetně rekonstrukce nemovitosti </w:t>
                      </w:r>
                    </w:p>
                    <w:p w14:paraId="4D80580F" w14:textId="11E0715F" w:rsidR="0001227F" w:rsidRPr="00616069" w:rsidRDefault="0001227F" w:rsidP="00E818C3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Ostatní nová ujednání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podílu, atp.</w:t>
                      </w:r>
                    </w:p>
                    <w:p w14:paraId="4FBF1D5A" w14:textId="77777777" w:rsidR="0001227F" w:rsidRPr="00616069" w:rsidRDefault="0001227F" w:rsidP="0001227F">
                      <w:pPr>
                        <w:spacing w:line="276" w:lineRule="auto"/>
                        <w:ind w:left="708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71D5E0BB" w14:textId="7D112C27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2.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Refinancované úvěry z jiné finanční instituce</w:t>
                      </w:r>
                    </w:p>
                    <w:p w14:paraId="351B5A60" w14:textId="0B5DCBB6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vznikly refinancováním jednoho nebo více úvěrů z jiné finanční instituce než </w:t>
                      </w:r>
                      <w:r w:rsidR="00973197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té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vykazující. Bez ohledu na výši refinancované částky a bez ohledu na výši případného navýšení se celková výše nově vzniklého úvěru vykazuje do této kategorie. </w:t>
                      </w:r>
                    </w:p>
                    <w:p w14:paraId="7566D2D6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04B36444" w14:textId="4F20B25F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3.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Navýšené anebo interně refinancované úvěry</w:t>
                      </w:r>
                    </w:p>
                    <w:p w14:paraId="711A3661" w14:textId="2A271010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již byly </w:t>
                      </w:r>
                      <w:r w:rsidR="00647A7A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v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předchozí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vykazované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období součástí portfolia vykazujícího subjektu, a ve vykazovaném období u nich došlo k některé z následujících změn:</w:t>
                      </w:r>
                    </w:p>
                    <w:p w14:paraId="4A6B00C0" w14:textId="77777777" w:rsidR="00E818C3" w:rsidRPr="00616069" w:rsidRDefault="0001227F" w:rsidP="0001227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navýšení sjednané částky </w:t>
                      </w:r>
                    </w:p>
                    <w:p w14:paraId="44682079" w14:textId="72C23671" w:rsidR="0001227F" w:rsidRPr="00616069" w:rsidRDefault="0001227F" w:rsidP="0001227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došlo k takovým změnám, že původní úvěr byl v rámci vykazujícího subjektu refinancován/převeden na nový úvěr.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de</w:t>
                      </w:r>
                      <w:r w:rsidR="00CD28EC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tak o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skutečně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novou smlouvu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nikoli např. jen </w:t>
                      </w:r>
                      <w:r w:rsidR="007B79F6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nové ujednání v rámci refi</w:t>
                      </w:r>
                      <w:r w:rsidR="000F02C1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xace 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stávající smlouvy. Proto je objem takových úvěru ve statistice ČBA nižší oproti „ostatním novým ujednáním“ ve statistice České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árodní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b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anky.</w:t>
                      </w:r>
                    </w:p>
                    <w:p w14:paraId="1FAF8B9B" w14:textId="4C474A58" w:rsidR="006F08E1" w:rsidRPr="00616069" w:rsidRDefault="006F08E1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65FC0189" w14:textId="08A7140E" w:rsidR="006F08E1" w:rsidRPr="00616069" w:rsidRDefault="001F49EA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Data pro 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Hypomonitor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poskytují následující banky a stavební spořitelny: Air Bank, Česká spořitelna, ČSOB, ČSOB Stavební spořitelna, Fio banka, Hypoteční banka, Komerční banka, mBank, Modrá pyramida, MONETA Money Bank, MONETA Stavební spořitelna,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Oberbank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Raiffeisen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stavební spořitelna, Raiffeisenbank, Stavební spořitelna České spořitelny, UniCredit Bank.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Mkatabulky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7"/>
        <w:gridCol w:w="3384"/>
      </w:tblGrid>
      <w:tr w:rsidR="0028530F" w:rsidRPr="00D80B55" w14:paraId="4825E599" w14:textId="77777777" w:rsidTr="001B1140">
        <w:trPr>
          <w:trHeight w:val="1364"/>
        </w:trPr>
        <w:tc>
          <w:tcPr>
            <w:tcW w:w="6817" w:type="dxa"/>
            <w:shd w:val="clear" w:color="auto" w:fill="13576B"/>
          </w:tcPr>
          <w:p w14:paraId="1EB2DC0A" w14:textId="77777777" w:rsidR="0028530F" w:rsidRPr="00D80B55" w:rsidRDefault="0028530F" w:rsidP="001B1140">
            <w:pPr>
              <w:pStyle w:val="CBANadpisvTABULCE"/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color w:val="FFFFFF" w:themeColor="background1"/>
                <w:szCs w:val="18"/>
              </w:rPr>
              <w:t>O České bankovní asociaci</w:t>
            </w:r>
          </w:p>
          <w:p w14:paraId="4EB0391C" w14:textId="376AE2CD" w:rsidR="0028530F" w:rsidRPr="00D80B55" w:rsidRDefault="0028530F" w:rsidP="001B1140">
            <w:pPr>
              <w:rPr>
                <w:rFonts w:cs="Arial"/>
                <w:color w:val="FFFFFF" w:themeColor="background1"/>
                <w:sz w:val="22"/>
              </w:rPr>
            </w:pPr>
            <w:r w:rsidRPr="00D80B55">
              <w:rPr>
                <w:rFonts w:cs="Arial"/>
                <w:color w:val="FFFFFF" w:themeColor="background1"/>
              </w:rPr>
              <w:t>Česká bankovní asociace (ČBA) je dobrovolné sdružení 3</w:t>
            </w:r>
            <w:r>
              <w:rPr>
                <w:rFonts w:cs="Arial"/>
                <w:color w:val="FFFFFF" w:themeColor="background1"/>
              </w:rPr>
              <w:t>3</w:t>
            </w:r>
            <w:r w:rsidRPr="00D80B55">
              <w:rPr>
                <w:rFonts w:cs="Arial"/>
                <w:color w:val="FFFFFF" w:themeColor="background1"/>
              </w:rPr>
              <w:t xml:space="preserve"> bank, které v ČR působí a reprezentuje tak 99 % trhu. </w:t>
            </w:r>
            <w:r>
              <w:rPr>
                <w:rFonts w:cs="Arial"/>
                <w:color w:val="FFFFFF" w:themeColor="background1"/>
              </w:rPr>
              <w:t>Více než</w:t>
            </w:r>
            <w:r w:rsidRPr="00D80B55">
              <w:rPr>
                <w:rFonts w:cs="Arial"/>
                <w:color w:val="FFFFFF" w:themeColor="background1"/>
              </w:rPr>
              <w:t xml:space="preserve"> 30 let podporuje nejen rozvoj bankovního sektoru, ale i celé ekonomiky a všeobecné finanční gramotnosti. ČBA je členem Evropské bankovní federace (EBF).</w:t>
            </w:r>
          </w:p>
          <w:p w14:paraId="598BB9F7" w14:textId="77777777" w:rsidR="0028530F" w:rsidRPr="00D80B55" w:rsidRDefault="0028530F" w:rsidP="001B1140">
            <w:pPr>
              <w:pStyle w:val="CBAodstavecvTABULCE"/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color w:val="FFFFFF" w:themeColor="background1"/>
                <w:szCs w:val="18"/>
              </w:rPr>
              <w:t xml:space="preserve">Více informací na </w:t>
            </w:r>
            <w:r w:rsidRPr="00D80B55">
              <w:rPr>
                <w:rFonts w:cs="Arial"/>
                <w:color w:val="FFFFFF" w:themeColor="background1"/>
                <w:szCs w:val="18"/>
                <w:u w:val="single"/>
              </w:rPr>
              <w:t>www.cbaonline.cz.</w:t>
            </w:r>
            <w:r w:rsidRPr="00D80B55">
              <w:rPr>
                <w:rFonts w:cs="Arial"/>
                <w:color w:val="A9936D"/>
                <w:szCs w:val="18"/>
              </w:rPr>
              <w:t xml:space="preserve"> </w:t>
            </w:r>
          </w:p>
        </w:tc>
        <w:tc>
          <w:tcPr>
            <w:tcW w:w="3384" w:type="dxa"/>
            <w:shd w:val="clear" w:color="auto" w:fill="A9936D"/>
            <w:vAlign w:val="center"/>
          </w:tcPr>
          <w:p w14:paraId="606A2DEB" w14:textId="77777777" w:rsidR="0028530F" w:rsidRPr="00D80B55" w:rsidRDefault="0028530F" w:rsidP="001B1140">
            <w:pPr>
              <w:pStyle w:val="CBAodstavecvTABULCE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D80B55">
              <w:rPr>
                <w:rFonts w:cs="Arial"/>
                <w:b/>
                <w:bCs/>
                <w:color w:val="FFFFFF" w:themeColor="background1"/>
                <w:szCs w:val="18"/>
              </w:rPr>
              <w:t xml:space="preserve">                Dotazy posílejte na</w:t>
            </w:r>
          </w:p>
          <w:p w14:paraId="64706D81" w14:textId="77777777" w:rsidR="0028530F" w:rsidRPr="00D80B55" w:rsidRDefault="0028530F" w:rsidP="001B1140">
            <w:pPr>
              <w:pStyle w:val="CBAodstavecvTABULCE"/>
              <w:jc w:val="center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b/>
                <w:bCs/>
                <w:color w:val="FFFFFF" w:themeColor="background1"/>
                <w:szCs w:val="18"/>
              </w:rPr>
              <w:t>radek.salsa@cbaonline.cz</w:t>
            </w:r>
          </w:p>
        </w:tc>
      </w:tr>
    </w:tbl>
    <w:p w14:paraId="79952D08" w14:textId="7B44AB4C" w:rsidR="00C42F00" w:rsidRPr="00B04FE2" w:rsidRDefault="00C42F00" w:rsidP="00CA3B41">
      <w:pPr>
        <w:rPr>
          <w:rFonts w:ascii="Calibri" w:hAnsi="Calibri" w:cs="Calibri"/>
          <w:sz w:val="22"/>
          <w:szCs w:val="22"/>
        </w:rPr>
      </w:pPr>
    </w:p>
    <w:sectPr w:rsidR="00C42F00" w:rsidRPr="00B04FE2" w:rsidSect="000C683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552" w:right="849" w:bottom="1560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668A0" w14:textId="77777777" w:rsidR="001F34F8" w:rsidRPr="00616069" w:rsidRDefault="001F34F8" w:rsidP="00F573F1">
      <w:r w:rsidRPr="00616069">
        <w:separator/>
      </w:r>
    </w:p>
  </w:endnote>
  <w:endnote w:type="continuationSeparator" w:id="0">
    <w:p w14:paraId="79A4035E" w14:textId="77777777" w:rsidR="001F34F8" w:rsidRPr="00616069" w:rsidRDefault="001F34F8" w:rsidP="00F573F1">
      <w:r w:rsidRPr="006160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6AE1" w14:textId="77777777" w:rsidR="00A362BC" w:rsidRDefault="00A362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6907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2EB97C" w14:textId="697C5AC2" w:rsidR="001E31AB" w:rsidRPr="00616069" w:rsidRDefault="001E31AB">
            <w:pPr>
              <w:pStyle w:val="Zpat"/>
              <w:jc w:val="right"/>
            </w:pPr>
            <w:r w:rsidRPr="00616069">
              <w:rPr>
                <w:rFonts w:ascii="Calibri" w:hAnsi="Calibri"/>
                <w:noProof/>
                <w:szCs w:val="18"/>
                <w:lang w:eastAsia="en-GB"/>
              </w:rPr>
              <w:drawing>
                <wp:anchor distT="0" distB="0" distL="114300" distR="114300" simplePos="0" relativeHeight="251655680" behindDoc="0" locked="0" layoutInCell="1" allowOverlap="1" wp14:anchorId="7B2A8544" wp14:editId="09B386F6">
                  <wp:simplePos x="0" y="0"/>
                  <wp:positionH relativeFrom="column">
                    <wp:posOffset>-540385</wp:posOffset>
                  </wp:positionH>
                  <wp:positionV relativeFrom="paragraph">
                    <wp:posOffset>-365760</wp:posOffset>
                  </wp:positionV>
                  <wp:extent cx="3042285" cy="701040"/>
                  <wp:effectExtent l="0" t="0" r="5715" b="0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09" t="94992" r="61095" b="-1544"/>
                          <a:stretch/>
                        </pic:blipFill>
                        <pic:spPr bwMode="auto">
                          <a:xfrm>
                            <a:off x="0" y="0"/>
                            <a:ext cx="3042285" cy="70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6069">
              <w:rPr>
                <w:rFonts w:ascii="Calibri" w:hAnsi="Calibri"/>
                <w:szCs w:val="18"/>
              </w:rPr>
              <w:t xml:space="preserve">Stránka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PAGE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1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  <w:r w:rsidRPr="00616069">
              <w:rPr>
                <w:rFonts w:ascii="Calibri" w:hAnsi="Calibri"/>
                <w:szCs w:val="18"/>
              </w:rPr>
              <w:t xml:space="preserve"> z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NUMPAGES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2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300EB588" w14:textId="24FF51AB" w:rsidR="0065124E" w:rsidRPr="00616069" w:rsidRDefault="0065124E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E524" w14:textId="77777777" w:rsidR="00A362BC" w:rsidRDefault="00A362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0CD23" w14:textId="77777777" w:rsidR="001F34F8" w:rsidRPr="00616069" w:rsidRDefault="001F34F8" w:rsidP="00F573F1">
      <w:r w:rsidRPr="00616069">
        <w:separator/>
      </w:r>
    </w:p>
  </w:footnote>
  <w:footnote w:type="continuationSeparator" w:id="0">
    <w:p w14:paraId="4C266D1D" w14:textId="77777777" w:rsidR="001F34F8" w:rsidRPr="00616069" w:rsidRDefault="001F34F8" w:rsidP="00F573F1">
      <w:r w:rsidRPr="00616069">
        <w:continuationSeparator/>
      </w:r>
    </w:p>
  </w:footnote>
  <w:footnote w:id="1">
    <w:p w14:paraId="2846C8C7" w14:textId="77777777" w:rsidR="005578C6" w:rsidRPr="00616069" w:rsidRDefault="005578C6" w:rsidP="005578C6">
      <w:pPr>
        <w:pStyle w:val="Textpoznpodarou"/>
        <w:rPr>
          <w:rFonts w:ascii="Calibri" w:hAnsi="Calibri" w:cs="Calibri"/>
          <w:sz w:val="17"/>
          <w:szCs w:val="17"/>
        </w:rPr>
      </w:pPr>
      <w:r w:rsidRPr="00616069">
        <w:rPr>
          <w:rStyle w:val="Znakapoznpodarou"/>
          <w:rFonts w:ascii="Calibri" w:hAnsi="Calibri" w:cs="Calibri"/>
          <w:sz w:val="17"/>
          <w:szCs w:val="17"/>
        </w:rPr>
        <w:footnoteRef/>
      </w:r>
      <w:r w:rsidRPr="00616069">
        <w:rPr>
          <w:rFonts w:ascii="Calibri" w:hAnsi="Calibri" w:cs="Calibri"/>
          <w:sz w:val="17"/>
          <w:szCs w:val="17"/>
        </w:rPr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 xml:space="preserve">Jedná se především o dlouholeté úrokové swapy (interest rate swap, IRS), které odráží cenu peněz v delších splatnostech, například </w:t>
      </w:r>
      <w:r>
        <w:rPr>
          <w:rFonts w:asciiTheme="majorHAnsi" w:hAnsiTheme="majorHAnsi" w:cstheme="majorHAnsi"/>
          <w:sz w:val="17"/>
          <w:szCs w:val="17"/>
        </w:rPr>
        <w:t>2</w:t>
      </w:r>
      <w:r w:rsidRPr="00616069">
        <w:rPr>
          <w:rFonts w:asciiTheme="majorHAnsi" w:hAnsiTheme="majorHAnsi" w:cstheme="majorHAnsi"/>
          <w:sz w:val="17"/>
          <w:szCs w:val="17"/>
        </w:rPr>
        <w:t xml:space="preserve"> až 10 let.</w:t>
      </w:r>
    </w:p>
  </w:footnote>
  <w:footnote w:id="2">
    <w:p w14:paraId="3F408451" w14:textId="77777777" w:rsidR="00952AEF" w:rsidRPr="00952AEF" w:rsidRDefault="00952AEF" w:rsidP="00952AEF">
      <w:pPr>
        <w:pStyle w:val="Textpoznpodarou"/>
        <w:rPr>
          <w:rFonts w:asciiTheme="majorHAnsi" w:hAnsiTheme="majorHAnsi" w:cstheme="majorHAnsi"/>
          <w:sz w:val="17"/>
          <w:szCs w:val="17"/>
        </w:rPr>
      </w:pPr>
      <w:r w:rsidRPr="00616069">
        <w:rPr>
          <w:rStyle w:val="Znakapoznpodarou"/>
        </w:rPr>
        <w:footnoteRef/>
      </w:r>
      <w:r w:rsidRPr="00616069"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>Tabulka je k dispozici v souboru xls přiloženém na webových stránkách ČBA Hypomonitoru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8A26" w14:textId="77777777" w:rsidR="00A362BC" w:rsidRDefault="00A362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4485" w14:textId="25969B31" w:rsidR="0065124E" w:rsidRPr="00616069" w:rsidRDefault="00A86552">
    <w:pPr>
      <w:pStyle w:val="Zhlav"/>
    </w:pPr>
    <w:r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DCC7344" wp14:editId="2F0B41DB">
              <wp:simplePos x="0" y="0"/>
              <wp:positionH relativeFrom="margin">
                <wp:posOffset>2228694</wp:posOffset>
              </wp:positionH>
              <wp:positionV relativeFrom="paragraph">
                <wp:posOffset>214019</wp:posOffset>
              </wp:positionV>
              <wp:extent cx="2941608" cy="140462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60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86907" w14:textId="14B852BD" w:rsidR="00A86552" w:rsidRPr="00616069" w:rsidRDefault="00A86552" w:rsidP="00A86552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C734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75.5pt;margin-top:16.85pt;width:231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Be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" filled="f" stroked="f">
              <v:textbox style="mso-fit-shape-to-text:t">
                <w:txbxContent>
                  <w:p w14:paraId="24986907" w14:textId="14B852BD" w:rsidR="00A86552" w:rsidRPr="00616069" w:rsidRDefault="00A86552" w:rsidP="00A86552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44C66" w:rsidRPr="0061606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97D896D" wp14:editId="7A6FB449">
          <wp:simplePos x="0" y="0"/>
          <wp:positionH relativeFrom="column">
            <wp:posOffset>-52705</wp:posOffset>
          </wp:positionH>
          <wp:positionV relativeFrom="paragraph">
            <wp:posOffset>29845</wp:posOffset>
          </wp:positionV>
          <wp:extent cx="2209800" cy="778510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720" w:rsidRPr="00616069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A1D7AA9" wp14:editId="7A7B0A01">
          <wp:simplePos x="0" y="0"/>
          <wp:positionH relativeFrom="column">
            <wp:posOffset>3985895</wp:posOffset>
          </wp:positionH>
          <wp:positionV relativeFrom="paragraph">
            <wp:posOffset>-8255</wp:posOffset>
          </wp:positionV>
          <wp:extent cx="2943225" cy="243840"/>
          <wp:effectExtent l="0" t="0" r="9525" b="381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92" r="61096" b="2729"/>
                  <a:stretch/>
                </pic:blipFill>
                <pic:spPr bwMode="auto">
                  <a:xfrm>
                    <a:off x="0" y="0"/>
                    <a:ext cx="2943225" cy="243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720"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26DE097" wp14:editId="755E40ED">
              <wp:simplePos x="0" y="0"/>
              <wp:positionH relativeFrom="margin">
                <wp:posOffset>5238115</wp:posOffset>
              </wp:positionH>
              <wp:positionV relativeFrom="paragraph">
                <wp:posOffset>153035</wp:posOffset>
              </wp:positionV>
              <wp:extent cx="1239520" cy="140462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E40D2" w14:textId="77777777" w:rsidR="002D4720" w:rsidRPr="00616069" w:rsidRDefault="002D4720" w:rsidP="002D472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  <w:t>KOMENTÁŘ</w:t>
                          </w:r>
                        </w:p>
                        <w:p w14:paraId="0A69756F" w14:textId="1490B14C" w:rsidR="002D4720" w:rsidRPr="00616069" w:rsidRDefault="007F41A0" w:rsidP="002138C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 xml:space="preserve">            </w:t>
                          </w:r>
                          <w:r w:rsidR="002138C0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</w:t>
                          </w:r>
                          <w:r w:rsidR="00287580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4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</w:t>
                          </w:r>
                          <w:r w:rsidR="00287580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3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.202</w:t>
                          </w:r>
                          <w:r w:rsidR="002138C0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6DE097" id="_x0000_s1030" type="#_x0000_t202" style="position:absolute;left:0;text-align:left;margin-left:412.45pt;margin-top:12.05pt;width:97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" filled="f" stroked="f">
              <v:textbox style="mso-fit-shape-to-text:t">
                <w:txbxContent>
                  <w:p w14:paraId="15DE40D2" w14:textId="77777777" w:rsidR="002D4720" w:rsidRPr="00616069" w:rsidRDefault="002D4720" w:rsidP="002D472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  <w:t>KOMENTÁŘ</w:t>
                    </w:r>
                  </w:p>
                  <w:p w14:paraId="0A69756F" w14:textId="1490B14C" w:rsidR="002D4720" w:rsidRPr="00616069" w:rsidRDefault="007F41A0" w:rsidP="002138C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 xml:space="preserve">            </w:t>
                    </w:r>
                    <w:r w:rsidR="002138C0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</w:t>
                    </w:r>
                    <w:r w:rsidR="00287580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4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</w:t>
                    </w:r>
                    <w:r w:rsidR="00287580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3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.202</w:t>
                    </w:r>
                    <w:r w:rsidR="002138C0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E02D" w14:textId="77777777" w:rsidR="00A362BC" w:rsidRDefault="00A362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9A1"/>
    <w:multiLevelType w:val="hybridMultilevel"/>
    <w:tmpl w:val="28EA1BD4"/>
    <w:lvl w:ilvl="0" w:tplc="F8600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4B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04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2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A2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5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E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09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5843AD"/>
    <w:multiLevelType w:val="hybridMultilevel"/>
    <w:tmpl w:val="EB828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5A72"/>
    <w:multiLevelType w:val="hybridMultilevel"/>
    <w:tmpl w:val="4222A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B1D76"/>
    <w:multiLevelType w:val="hybridMultilevel"/>
    <w:tmpl w:val="6D527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72C3C"/>
    <w:multiLevelType w:val="hybridMultilevel"/>
    <w:tmpl w:val="163C6E8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206309C"/>
    <w:multiLevelType w:val="hybridMultilevel"/>
    <w:tmpl w:val="855E01C6"/>
    <w:lvl w:ilvl="0" w:tplc="9F3AF1E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92919"/>
    <w:multiLevelType w:val="hybridMultilevel"/>
    <w:tmpl w:val="2B56FAFE"/>
    <w:lvl w:ilvl="0" w:tplc="698817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A4083"/>
    <w:multiLevelType w:val="hybridMultilevel"/>
    <w:tmpl w:val="3C584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2FC1"/>
    <w:multiLevelType w:val="hybridMultilevel"/>
    <w:tmpl w:val="C296AEE6"/>
    <w:lvl w:ilvl="0" w:tplc="B2560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A4577"/>
    <w:multiLevelType w:val="hybridMultilevel"/>
    <w:tmpl w:val="553EAC9E"/>
    <w:lvl w:ilvl="0" w:tplc="8B20C2B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343A30"/>
    <w:multiLevelType w:val="hybridMultilevel"/>
    <w:tmpl w:val="26BEA028"/>
    <w:lvl w:ilvl="0" w:tplc="886E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0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2B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E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2A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2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E2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45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85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BB14DD"/>
    <w:multiLevelType w:val="hybridMultilevel"/>
    <w:tmpl w:val="17628C18"/>
    <w:lvl w:ilvl="0" w:tplc="E50CA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C6437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B6EF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9EEF1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2ECDB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A6A64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85E48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5F0E1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8AD3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2C5A2A51"/>
    <w:multiLevelType w:val="hybridMultilevel"/>
    <w:tmpl w:val="633C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47CE5"/>
    <w:multiLevelType w:val="hybridMultilevel"/>
    <w:tmpl w:val="F91C69CC"/>
    <w:lvl w:ilvl="0" w:tplc="AA889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B2B28"/>
    <w:multiLevelType w:val="hybridMultilevel"/>
    <w:tmpl w:val="A77CB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70A7D"/>
    <w:multiLevelType w:val="hybridMultilevel"/>
    <w:tmpl w:val="E76A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A024A"/>
    <w:multiLevelType w:val="hybridMultilevel"/>
    <w:tmpl w:val="123AA014"/>
    <w:lvl w:ilvl="0" w:tplc="A1E66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A3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20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47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0A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88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86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45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EB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D8A7633"/>
    <w:multiLevelType w:val="hybridMultilevel"/>
    <w:tmpl w:val="A68019BE"/>
    <w:lvl w:ilvl="0" w:tplc="D6BA4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9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E8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6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23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66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ED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48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0A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09105EB"/>
    <w:multiLevelType w:val="hybridMultilevel"/>
    <w:tmpl w:val="25882682"/>
    <w:lvl w:ilvl="0" w:tplc="E586E02A">
      <w:start w:val="1"/>
      <w:numFmt w:val="decimal"/>
      <w:lvlText w:val="%1."/>
      <w:lvlJc w:val="left"/>
      <w:pPr>
        <w:ind w:left="410" w:hanging="360"/>
      </w:pPr>
    </w:lvl>
    <w:lvl w:ilvl="1" w:tplc="08090019">
      <w:start w:val="1"/>
      <w:numFmt w:val="lowerLetter"/>
      <w:lvlText w:val="%2."/>
      <w:lvlJc w:val="left"/>
      <w:pPr>
        <w:ind w:left="1130" w:hanging="360"/>
      </w:pPr>
    </w:lvl>
    <w:lvl w:ilvl="2" w:tplc="0809001B">
      <w:start w:val="1"/>
      <w:numFmt w:val="lowerRoman"/>
      <w:lvlText w:val="%3."/>
      <w:lvlJc w:val="right"/>
      <w:pPr>
        <w:ind w:left="1850" w:hanging="180"/>
      </w:pPr>
    </w:lvl>
    <w:lvl w:ilvl="3" w:tplc="0809000F">
      <w:start w:val="1"/>
      <w:numFmt w:val="decimal"/>
      <w:lvlText w:val="%4."/>
      <w:lvlJc w:val="left"/>
      <w:pPr>
        <w:ind w:left="2570" w:hanging="360"/>
      </w:pPr>
    </w:lvl>
    <w:lvl w:ilvl="4" w:tplc="08090019">
      <w:start w:val="1"/>
      <w:numFmt w:val="lowerLetter"/>
      <w:lvlText w:val="%5."/>
      <w:lvlJc w:val="left"/>
      <w:pPr>
        <w:ind w:left="3290" w:hanging="360"/>
      </w:pPr>
    </w:lvl>
    <w:lvl w:ilvl="5" w:tplc="0809001B">
      <w:start w:val="1"/>
      <w:numFmt w:val="lowerRoman"/>
      <w:lvlText w:val="%6."/>
      <w:lvlJc w:val="right"/>
      <w:pPr>
        <w:ind w:left="4010" w:hanging="180"/>
      </w:pPr>
    </w:lvl>
    <w:lvl w:ilvl="6" w:tplc="0809000F">
      <w:start w:val="1"/>
      <w:numFmt w:val="decimal"/>
      <w:lvlText w:val="%7."/>
      <w:lvlJc w:val="left"/>
      <w:pPr>
        <w:ind w:left="4730" w:hanging="360"/>
      </w:pPr>
    </w:lvl>
    <w:lvl w:ilvl="7" w:tplc="08090019">
      <w:start w:val="1"/>
      <w:numFmt w:val="lowerLetter"/>
      <w:lvlText w:val="%8."/>
      <w:lvlJc w:val="left"/>
      <w:pPr>
        <w:ind w:left="5450" w:hanging="360"/>
      </w:pPr>
    </w:lvl>
    <w:lvl w:ilvl="8" w:tplc="0809001B">
      <w:start w:val="1"/>
      <w:numFmt w:val="lowerRoman"/>
      <w:lvlText w:val="%9."/>
      <w:lvlJc w:val="right"/>
      <w:pPr>
        <w:ind w:left="6170" w:hanging="180"/>
      </w:pPr>
    </w:lvl>
  </w:abstractNum>
  <w:abstractNum w:abstractNumId="19" w15:restartNumberingAfterBreak="0">
    <w:nsid w:val="606843DC"/>
    <w:multiLevelType w:val="hybridMultilevel"/>
    <w:tmpl w:val="3E42D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1214D"/>
    <w:multiLevelType w:val="hybridMultilevel"/>
    <w:tmpl w:val="9F34024E"/>
    <w:lvl w:ilvl="0" w:tplc="ADB0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29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8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AB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2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EB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A9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C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23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7613CD2"/>
    <w:multiLevelType w:val="hybridMultilevel"/>
    <w:tmpl w:val="0CF0BB3A"/>
    <w:lvl w:ilvl="0" w:tplc="15082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6C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90C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AB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CC3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2058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E1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CF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EA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65577F"/>
    <w:multiLevelType w:val="hybridMultilevel"/>
    <w:tmpl w:val="BBB23B48"/>
    <w:lvl w:ilvl="0" w:tplc="AC68A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AC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87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0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6B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A0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60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62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4D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8FD055A"/>
    <w:multiLevelType w:val="hybridMultilevel"/>
    <w:tmpl w:val="F490C33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EA509EA"/>
    <w:multiLevelType w:val="hybridMultilevel"/>
    <w:tmpl w:val="14E0161E"/>
    <w:lvl w:ilvl="0" w:tplc="9F3AF1E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137D7D"/>
    <w:multiLevelType w:val="hybridMultilevel"/>
    <w:tmpl w:val="F856C146"/>
    <w:lvl w:ilvl="0" w:tplc="F37A31C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DE4F03"/>
    <w:multiLevelType w:val="hybridMultilevel"/>
    <w:tmpl w:val="D458DCC2"/>
    <w:lvl w:ilvl="0" w:tplc="ABAA372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767A3"/>
    <w:multiLevelType w:val="hybridMultilevel"/>
    <w:tmpl w:val="50648AEA"/>
    <w:lvl w:ilvl="0" w:tplc="A2506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E9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C9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C9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8C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49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AC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E4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2D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9FB636A"/>
    <w:multiLevelType w:val="hybridMultilevel"/>
    <w:tmpl w:val="4454BAA0"/>
    <w:lvl w:ilvl="0" w:tplc="3A1A4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F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46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4AC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24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2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4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6D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6C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C2B4724"/>
    <w:multiLevelType w:val="hybridMultilevel"/>
    <w:tmpl w:val="A274A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82314">
    <w:abstractNumId w:val="2"/>
  </w:num>
  <w:num w:numId="2" w16cid:durableId="1910113698">
    <w:abstractNumId w:val="8"/>
  </w:num>
  <w:num w:numId="3" w16cid:durableId="405613309">
    <w:abstractNumId w:val="25"/>
  </w:num>
  <w:num w:numId="4" w16cid:durableId="240213499">
    <w:abstractNumId w:val="14"/>
  </w:num>
  <w:num w:numId="5" w16cid:durableId="740492638">
    <w:abstractNumId w:val="4"/>
  </w:num>
  <w:num w:numId="6" w16cid:durableId="211576891">
    <w:abstractNumId w:val="23"/>
  </w:num>
  <w:num w:numId="7" w16cid:durableId="1918248069">
    <w:abstractNumId w:val="6"/>
  </w:num>
  <w:num w:numId="8" w16cid:durableId="1159419045">
    <w:abstractNumId w:val="28"/>
  </w:num>
  <w:num w:numId="9" w16cid:durableId="1798374138">
    <w:abstractNumId w:val="5"/>
  </w:num>
  <w:num w:numId="10" w16cid:durableId="1530677457">
    <w:abstractNumId w:val="24"/>
  </w:num>
  <w:num w:numId="11" w16cid:durableId="984315201">
    <w:abstractNumId w:val="1"/>
  </w:num>
  <w:num w:numId="12" w16cid:durableId="7762198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55103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9389165">
    <w:abstractNumId w:val="15"/>
  </w:num>
  <w:num w:numId="15" w16cid:durableId="1323195451">
    <w:abstractNumId w:val="12"/>
  </w:num>
  <w:num w:numId="16" w16cid:durableId="467165265">
    <w:abstractNumId w:val="9"/>
  </w:num>
  <w:num w:numId="17" w16cid:durableId="676033370">
    <w:abstractNumId w:val="11"/>
  </w:num>
  <w:num w:numId="18" w16cid:durableId="1742554342">
    <w:abstractNumId w:val="17"/>
  </w:num>
  <w:num w:numId="19" w16cid:durableId="613287013">
    <w:abstractNumId w:val="20"/>
  </w:num>
  <w:num w:numId="20" w16cid:durableId="8067070">
    <w:abstractNumId w:val="10"/>
  </w:num>
  <w:num w:numId="21" w16cid:durableId="825434180">
    <w:abstractNumId w:val="0"/>
  </w:num>
  <w:num w:numId="22" w16cid:durableId="1082681076">
    <w:abstractNumId w:val="22"/>
  </w:num>
  <w:num w:numId="23" w16cid:durableId="1901165520">
    <w:abstractNumId w:val="27"/>
  </w:num>
  <w:num w:numId="24" w16cid:durableId="1991010767">
    <w:abstractNumId w:val="21"/>
  </w:num>
  <w:num w:numId="25" w16cid:durableId="1542282676">
    <w:abstractNumId w:val="16"/>
  </w:num>
  <w:num w:numId="26" w16cid:durableId="986973659">
    <w:abstractNumId w:val="13"/>
  </w:num>
  <w:num w:numId="27" w16cid:durableId="815336034">
    <w:abstractNumId w:val="26"/>
  </w:num>
  <w:num w:numId="28" w16cid:durableId="1895651473">
    <w:abstractNumId w:val="7"/>
  </w:num>
  <w:num w:numId="29" w16cid:durableId="1858687908">
    <w:abstractNumId w:val="3"/>
  </w:num>
  <w:num w:numId="30" w16cid:durableId="17581644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0954"/>
    <w:rsid w:val="00001C42"/>
    <w:rsid w:val="00001E72"/>
    <w:rsid w:val="0000226C"/>
    <w:rsid w:val="0000363D"/>
    <w:rsid w:val="00004596"/>
    <w:rsid w:val="00005419"/>
    <w:rsid w:val="000054D2"/>
    <w:rsid w:val="00005B3F"/>
    <w:rsid w:val="00006511"/>
    <w:rsid w:val="00006C79"/>
    <w:rsid w:val="000070E2"/>
    <w:rsid w:val="00010564"/>
    <w:rsid w:val="000118C2"/>
    <w:rsid w:val="0001227F"/>
    <w:rsid w:val="00015933"/>
    <w:rsid w:val="000159E5"/>
    <w:rsid w:val="0001656C"/>
    <w:rsid w:val="000175B3"/>
    <w:rsid w:val="000176E6"/>
    <w:rsid w:val="000202BA"/>
    <w:rsid w:val="00020581"/>
    <w:rsid w:val="00020ED0"/>
    <w:rsid w:val="00020FE5"/>
    <w:rsid w:val="000213CC"/>
    <w:rsid w:val="00023E9F"/>
    <w:rsid w:val="0002473E"/>
    <w:rsid w:val="000264B4"/>
    <w:rsid w:val="000265A3"/>
    <w:rsid w:val="00027099"/>
    <w:rsid w:val="00027B22"/>
    <w:rsid w:val="00027BAD"/>
    <w:rsid w:val="00031418"/>
    <w:rsid w:val="00031478"/>
    <w:rsid w:val="00035040"/>
    <w:rsid w:val="00036FAB"/>
    <w:rsid w:val="00037707"/>
    <w:rsid w:val="00037C17"/>
    <w:rsid w:val="00040FA4"/>
    <w:rsid w:val="00043889"/>
    <w:rsid w:val="00043DB1"/>
    <w:rsid w:val="00044002"/>
    <w:rsid w:val="000444EA"/>
    <w:rsid w:val="000458CD"/>
    <w:rsid w:val="0004612A"/>
    <w:rsid w:val="00047DF1"/>
    <w:rsid w:val="000509DD"/>
    <w:rsid w:val="00050AF7"/>
    <w:rsid w:val="00051022"/>
    <w:rsid w:val="00051A5B"/>
    <w:rsid w:val="00052C6A"/>
    <w:rsid w:val="00053780"/>
    <w:rsid w:val="00053EE4"/>
    <w:rsid w:val="000559DE"/>
    <w:rsid w:val="00055CBC"/>
    <w:rsid w:val="000563EB"/>
    <w:rsid w:val="00056A4F"/>
    <w:rsid w:val="00057396"/>
    <w:rsid w:val="000606C6"/>
    <w:rsid w:val="00060D7F"/>
    <w:rsid w:val="00066F52"/>
    <w:rsid w:val="0006711A"/>
    <w:rsid w:val="00072447"/>
    <w:rsid w:val="00072DB9"/>
    <w:rsid w:val="000733AD"/>
    <w:rsid w:val="0007445A"/>
    <w:rsid w:val="00074C45"/>
    <w:rsid w:val="000752D6"/>
    <w:rsid w:val="00075932"/>
    <w:rsid w:val="0007638A"/>
    <w:rsid w:val="00076C37"/>
    <w:rsid w:val="000770D8"/>
    <w:rsid w:val="00080102"/>
    <w:rsid w:val="00081E35"/>
    <w:rsid w:val="00083D1A"/>
    <w:rsid w:val="000841C2"/>
    <w:rsid w:val="000842AE"/>
    <w:rsid w:val="00084CF9"/>
    <w:rsid w:val="00086094"/>
    <w:rsid w:val="00086BE0"/>
    <w:rsid w:val="0008743D"/>
    <w:rsid w:val="0009101B"/>
    <w:rsid w:val="00091B3B"/>
    <w:rsid w:val="0009491E"/>
    <w:rsid w:val="00097293"/>
    <w:rsid w:val="000976B9"/>
    <w:rsid w:val="00097B42"/>
    <w:rsid w:val="000A019A"/>
    <w:rsid w:val="000A0285"/>
    <w:rsid w:val="000A0ECE"/>
    <w:rsid w:val="000A16EA"/>
    <w:rsid w:val="000A2779"/>
    <w:rsid w:val="000A29DE"/>
    <w:rsid w:val="000A2C3B"/>
    <w:rsid w:val="000A3ECF"/>
    <w:rsid w:val="000A4D59"/>
    <w:rsid w:val="000A5220"/>
    <w:rsid w:val="000A549A"/>
    <w:rsid w:val="000A664C"/>
    <w:rsid w:val="000B0992"/>
    <w:rsid w:val="000B2005"/>
    <w:rsid w:val="000B3BFA"/>
    <w:rsid w:val="000B4C8F"/>
    <w:rsid w:val="000B510F"/>
    <w:rsid w:val="000B51A4"/>
    <w:rsid w:val="000B70C8"/>
    <w:rsid w:val="000B79A4"/>
    <w:rsid w:val="000C045B"/>
    <w:rsid w:val="000C11CC"/>
    <w:rsid w:val="000C12F1"/>
    <w:rsid w:val="000C1E4E"/>
    <w:rsid w:val="000C234E"/>
    <w:rsid w:val="000C3211"/>
    <w:rsid w:val="000C4910"/>
    <w:rsid w:val="000C502F"/>
    <w:rsid w:val="000C5651"/>
    <w:rsid w:val="000C6834"/>
    <w:rsid w:val="000D011A"/>
    <w:rsid w:val="000D02A4"/>
    <w:rsid w:val="000D1749"/>
    <w:rsid w:val="000D1D61"/>
    <w:rsid w:val="000D32BB"/>
    <w:rsid w:val="000D3581"/>
    <w:rsid w:val="000D49D0"/>
    <w:rsid w:val="000D4F26"/>
    <w:rsid w:val="000D56F1"/>
    <w:rsid w:val="000D5D2B"/>
    <w:rsid w:val="000D684D"/>
    <w:rsid w:val="000D6EF9"/>
    <w:rsid w:val="000E087A"/>
    <w:rsid w:val="000E0B50"/>
    <w:rsid w:val="000E0C43"/>
    <w:rsid w:val="000E1975"/>
    <w:rsid w:val="000E2B4E"/>
    <w:rsid w:val="000E2FCE"/>
    <w:rsid w:val="000E3B1C"/>
    <w:rsid w:val="000E4810"/>
    <w:rsid w:val="000E4ABC"/>
    <w:rsid w:val="000E563F"/>
    <w:rsid w:val="000E59CE"/>
    <w:rsid w:val="000F02C1"/>
    <w:rsid w:val="000F02FD"/>
    <w:rsid w:val="000F0342"/>
    <w:rsid w:val="000F0636"/>
    <w:rsid w:val="000F0A03"/>
    <w:rsid w:val="000F426C"/>
    <w:rsid w:val="000F4318"/>
    <w:rsid w:val="000F617D"/>
    <w:rsid w:val="000F61F5"/>
    <w:rsid w:val="000F680C"/>
    <w:rsid w:val="000F70CA"/>
    <w:rsid w:val="00100269"/>
    <w:rsid w:val="001002CD"/>
    <w:rsid w:val="00100394"/>
    <w:rsid w:val="0010159F"/>
    <w:rsid w:val="00102262"/>
    <w:rsid w:val="0010268F"/>
    <w:rsid w:val="0010277A"/>
    <w:rsid w:val="00102D9A"/>
    <w:rsid w:val="00103662"/>
    <w:rsid w:val="0010371D"/>
    <w:rsid w:val="00105514"/>
    <w:rsid w:val="00105918"/>
    <w:rsid w:val="00105ACC"/>
    <w:rsid w:val="00105DB5"/>
    <w:rsid w:val="00106451"/>
    <w:rsid w:val="00106D78"/>
    <w:rsid w:val="00106F70"/>
    <w:rsid w:val="00107915"/>
    <w:rsid w:val="001102C6"/>
    <w:rsid w:val="001104C5"/>
    <w:rsid w:val="001106DD"/>
    <w:rsid w:val="00110C31"/>
    <w:rsid w:val="0011113B"/>
    <w:rsid w:val="001126B2"/>
    <w:rsid w:val="00112AA1"/>
    <w:rsid w:val="00112C5A"/>
    <w:rsid w:val="00112D3E"/>
    <w:rsid w:val="00112E70"/>
    <w:rsid w:val="0011443F"/>
    <w:rsid w:val="0011553C"/>
    <w:rsid w:val="00115D53"/>
    <w:rsid w:val="00115DDC"/>
    <w:rsid w:val="00116003"/>
    <w:rsid w:val="00116F4B"/>
    <w:rsid w:val="001177C9"/>
    <w:rsid w:val="00117860"/>
    <w:rsid w:val="00120FB7"/>
    <w:rsid w:val="001226BC"/>
    <w:rsid w:val="00122810"/>
    <w:rsid w:val="00122CC4"/>
    <w:rsid w:val="0012351B"/>
    <w:rsid w:val="00123FF9"/>
    <w:rsid w:val="00124EF9"/>
    <w:rsid w:val="001253CC"/>
    <w:rsid w:val="001259D2"/>
    <w:rsid w:val="00126A7F"/>
    <w:rsid w:val="00130063"/>
    <w:rsid w:val="00130359"/>
    <w:rsid w:val="001306A2"/>
    <w:rsid w:val="00131D36"/>
    <w:rsid w:val="00131E94"/>
    <w:rsid w:val="00132EE9"/>
    <w:rsid w:val="0013407D"/>
    <w:rsid w:val="001348D9"/>
    <w:rsid w:val="00134A41"/>
    <w:rsid w:val="001361CA"/>
    <w:rsid w:val="00136519"/>
    <w:rsid w:val="00136825"/>
    <w:rsid w:val="00136D3A"/>
    <w:rsid w:val="00136EC9"/>
    <w:rsid w:val="00136FC5"/>
    <w:rsid w:val="00137050"/>
    <w:rsid w:val="0013716D"/>
    <w:rsid w:val="00137560"/>
    <w:rsid w:val="00140E10"/>
    <w:rsid w:val="001438F4"/>
    <w:rsid w:val="00143BF5"/>
    <w:rsid w:val="00143DCC"/>
    <w:rsid w:val="00144794"/>
    <w:rsid w:val="00144D53"/>
    <w:rsid w:val="00145506"/>
    <w:rsid w:val="001457AA"/>
    <w:rsid w:val="00145E7A"/>
    <w:rsid w:val="00146F46"/>
    <w:rsid w:val="0015125A"/>
    <w:rsid w:val="00151A74"/>
    <w:rsid w:val="001526EE"/>
    <w:rsid w:val="0015295E"/>
    <w:rsid w:val="00152A73"/>
    <w:rsid w:val="001534F6"/>
    <w:rsid w:val="00154EE2"/>
    <w:rsid w:val="001553F8"/>
    <w:rsid w:val="00155A3F"/>
    <w:rsid w:val="00157080"/>
    <w:rsid w:val="001570E1"/>
    <w:rsid w:val="00157C6A"/>
    <w:rsid w:val="001605B3"/>
    <w:rsid w:val="001622C2"/>
    <w:rsid w:val="00162D23"/>
    <w:rsid w:val="001633ED"/>
    <w:rsid w:val="00163F5F"/>
    <w:rsid w:val="00165DDC"/>
    <w:rsid w:val="0016769F"/>
    <w:rsid w:val="00170298"/>
    <w:rsid w:val="001715A2"/>
    <w:rsid w:val="0017388B"/>
    <w:rsid w:val="00173D31"/>
    <w:rsid w:val="0017441E"/>
    <w:rsid w:val="00175839"/>
    <w:rsid w:val="00175A85"/>
    <w:rsid w:val="00175E6C"/>
    <w:rsid w:val="00175FBC"/>
    <w:rsid w:val="00176669"/>
    <w:rsid w:val="001766FF"/>
    <w:rsid w:val="00176C20"/>
    <w:rsid w:val="00177598"/>
    <w:rsid w:val="00180856"/>
    <w:rsid w:val="0018097B"/>
    <w:rsid w:val="00180A13"/>
    <w:rsid w:val="00182C97"/>
    <w:rsid w:val="00183066"/>
    <w:rsid w:val="001833C7"/>
    <w:rsid w:val="00183FB4"/>
    <w:rsid w:val="00184412"/>
    <w:rsid w:val="00186A72"/>
    <w:rsid w:val="001903B2"/>
    <w:rsid w:val="001906F3"/>
    <w:rsid w:val="00192933"/>
    <w:rsid w:val="001929FC"/>
    <w:rsid w:val="00195C6D"/>
    <w:rsid w:val="001961C5"/>
    <w:rsid w:val="00196F95"/>
    <w:rsid w:val="00197315"/>
    <w:rsid w:val="0019772B"/>
    <w:rsid w:val="001A05A9"/>
    <w:rsid w:val="001A2614"/>
    <w:rsid w:val="001A2623"/>
    <w:rsid w:val="001A463C"/>
    <w:rsid w:val="001A463E"/>
    <w:rsid w:val="001A46CC"/>
    <w:rsid w:val="001A6304"/>
    <w:rsid w:val="001B1060"/>
    <w:rsid w:val="001B11F1"/>
    <w:rsid w:val="001B1467"/>
    <w:rsid w:val="001B1C5E"/>
    <w:rsid w:val="001B2B23"/>
    <w:rsid w:val="001B3197"/>
    <w:rsid w:val="001B39D3"/>
    <w:rsid w:val="001B59D9"/>
    <w:rsid w:val="001B5F14"/>
    <w:rsid w:val="001B6935"/>
    <w:rsid w:val="001B7154"/>
    <w:rsid w:val="001C091C"/>
    <w:rsid w:val="001C121C"/>
    <w:rsid w:val="001C150C"/>
    <w:rsid w:val="001C1FAA"/>
    <w:rsid w:val="001C2261"/>
    <w:rsid w:val="001C266E"/>
    <w:rsid w:val="001C280D"/>
    <w:rsid w:val="001C306A"/>
    <w:rsid w:val="001C49DC"/>
    <w:rsid w:val="001C6945"/>
    <w:rsid w:val="001C698F"/>
    <w:rsid w:val="001C7200"/>
    <w:rsid w:val="001C7CD3"/>
    <w:rsid w:val="001C7F88"/>
    <w:rsid w:val="001D12D6"/>
    <w:rsid w:val="001D169B"/>
    <w:rsid w:val="001D1B1C"/>
    <w:rsid w:val="001D2B76"/>
    <w:rsid w:val="001D2C14"/>
    <w:rsid w:val="001D2ECE"/>
    <w:rsid w:val="001D3292"/>
    <w:rsid w:val="001D39E5"/>
    <w:rsid w:val="001D3C90"/>
    <w:rsid w:val="001D43DB"/>
    <w:rsid w:val="001D474C"/>
    <w:rsid w:val="001D5BB9"/>
    <w:rsid w:val="001D6B1A"/>
    <w:rsid w:val="001D7365"/>
    <w:rsid w:val="001D7DA5"/>
    <w:rsid w:val="001E15FD"/>
    <w:rsid w:val="001E1AED"/>
    <w:rsid w:val="001E27B8"/>
    <w:rsid w:val="001E31AB"/>
    <w:rsid w:val="001E3706"/>
    <w:rsid w:val="001E4032"/>
    <w:rsid w:val="001E432A"/>
    <w:rsid w:val="001E4370"/>
    <w:rsid w:val="001E4D27"/>
    <w:rsid w:val="001E5169"/>
    <w:rsid w:val="001E5571"/>
    <w:rsid w:val="001E60C5"/>
    <w:rsid w:val="001E6F5D"/>
    <w:rsid w:val="001E71FE"/>
    <w:rsid w:val="001F0819"/>
    <w:rsid w:val="001F1677"/>
    <w:rsid w:val="001F2A1F"/>
    <w:rsid w:val="001F34F8"/>
    <w:rsid w:val="001F3DF4"/>
    <w:rsid w:val="001F49EA"/>
    <w:rsid w:val="001F4E92"/>
    <w:rsid w:val="001F5CF7"/>
    <w:rsid w:val="001F64C3"/>
    <w:rsid w:val="001F6A78"/>
    <w:rsid w:val="001F72D8"/>
    <w:rsid w:val="001F7B28"/>
    <w:rsid w:val="002010C8"/>
    <w:rsid w:val="0020111C"/>
    <w:rsid w:val="0020121A"/>
    <w:rsid w:val="00201DDA"/>
    <w:rsid w:val="002027D4"/>
    <w:rsid w:val="0020296D"/>
    <w:rsid w:val="00203021"/>
    <w:rsid w:val="00203302"/>
    <w:rsid w:val="00203A7B"/>
    <w:rsid w:val="002045A5"/>
    <w:rsid w:val="00204F09"/>
    <w:rsid w:val="0020667A"/>
    <w:rsid w:val="00206F7E"/>
    <w:rsid w:val="00207AE7"/>
    <w:rsid w:val="00207CB1"/>
    <w:rsid w:val="002105A2"/>
    <w:rsid w:val="00210A9C"/>
    <w:rsid w:val="00211E6F"/>
    <w:rsid w:val="002128AF"/>
    <w:rsid w:val="002137B0"/>
    <w:rsid w:val="002138C0"/>
    <w:rsid w:val="002150BF"/>
    <w:rsid w:val="00215481"/>
    <w:rsid w:val="00216187"/>
    <w:rsid w:val="00216A54"/>
    <w:rsid w:val="00217881"/>
    <w:rsid w:val="0022075B"/>
    <w:rsid w:val="00221F77"/>
    <w:rsid w:val="00221FF5"/>
    <w:rsid w:val="002226C1"/>
    <w:rsid w:val="00222917"/>
    <w:rsid w:val="00222DB9"/>
    <w:rsid w:val="002244BA"/>
    <w:rsid w:val="00224E2B"/>
    <w:rsid w:val="0022581B"/>
    <w:rsid w:val="00225F51"/>
    <w:rsid w:val="0022648E"/>
    <w:rsid w:val="00226AB8"/>
    <w:rsid w:val="00226F32"/>
    <w:rsid w:val="00227ACD"/>
    <w:rsid w:val="00227C82"/>
    <w:rsid w:val="0023165F"/>
    <w:rsid w:val="00231F3A"/>
    <w:rsid w:val="002328F4"/>
    <w:rsid w:val="0023393E"/>
    <w:rsid w:val="0023493E"/>
    <w:rsid w:val="00235942"/>
    <w:rsid w:val="00236538"/>
    <w:rsid w:val="0023703D"/>
    <w:rsid w:val="002375B2"/>
    <w:rsid w:val="00237A71"/>
    <w:rsid w:val="00237E0B"/>
    <w:rsid w:val="00242D73"/>
    <w:rsid w:val="002443DF"/>
    <w:rsid w:val="002446E1"/>
    <w:rsid w:val="00244923"/>
    <w:rsid w:val="002472A6"/>
    <w:rsid w:val="00247512"/>
    <w:rsid w:val="00247A4D"/>
    <w:rsid w:val="00250212"/>
    <w:rsid w:val="002507F2"/>
    <w:rsid w:val="00250C73"/>
    <w:rsid w:val="00251163"/>
    <w:rsid w:val="00251393"/>
    <w:rsid w:val="0025241A"/>
    <w:rsid w:val="0025305E"/>
    <w:rsid w:val="00253D09"/>
    <w:rsid w:val="00254CA2"/>
    <w:rsid w:val="002556C2"/>
    <w:rsid w:val="00256268"/>
    <w:rsid w:val="002567A3"/>
    <w:rsid w:val="00260219"/>
    <w:rsid w:val="00260B2C"/>
    <w:rsid w:val="0026106F"/>
    <w:rsid w:val="00262B7F"/>
    <w:rsid w:val="00263207"/>
    <w:rsid w:val="00264741"/>
    <w:rsid w:val="00264C92"/>
    <w:rsid w:val="0026639E"/>
    <w:rsid w:val="00266980"/>
    <w:rsid w:val="00267ACA"/>
    <w:rsid w:val="00270A4E"/>
    <w:rsid w:val="00270F52"/>
    <w:rsid w:val="00271563"/>
    <w:rsid w:val="00271569"/>
    <w:rsid w:val="00272177"/>
    <w:rsid w:val="002748F6"/>
    <w:rsid w:val="00274D15"/>
    <w:rsid w:val="00275209"/>
    <w:rsid w:val="00277D90"/>
    <w:rsid w:val="0028055F"/>
    <w:rsid w:val="002808DB"/>
    <w:rsid w:val="00280AB4"/>
    <w:rsid w:val="00280D31"/>
    <w:rsid w:val="00280F92"/>
    <w:rsid w:val="002817B5"/>
    <w:rsid w:val="00282BE6"/>
    <w:rsid w:val="00283681"/>
    <w:rsid w:val="00284721"/>
    <w:rsid w:val="0028530F"/>
    <w:rsid w:val="002853A9"/>
    <w:rsid w:val="00285A75"/>
    <w:rsid w:val="00287580"/>
    <w:rsid w:val="00290498"/>
    <w:rsid w:val="0029071C"/>
    <w:rsid w:val="00291656"/>
    <w:rsid w:val="00291BE8"/>
    <w:rsid w:val="00293122"/>
    <w:rsid w:val="0029502E"/>
    <w:rsid w:val="00296021"/>
    <w:rsid w:val="00296A22"/>
    <w:rsid w:val="0029774E"/>
    <w:rsid w:val="00297B85"/>
    <w:rsid w:val="002A02A1"/>
    <w:rsid w:val="002A04EB"/>
    <w:rsid w:val="002A07F7"/>
    <w:rsid w:val="002A1748"/>
    <w:rsid w:val="002A23FA"/>
    <w:rsid w:val="002A266C"/>
    <w:rsid w:val="002A2CE3"/>
    <w:rsid w:val="002A31A1"/>
    <w:rsid w:val="002A3CF3"/>
    <w:rsid w:val="002A3F7E"/>
    <w:rsid w:val="002A4191"/>
    <w:rsid w:val="002A5D11"/>
    <w:rsid w:val="002A6290"/>
    <w:rsid w:val="002A6A60"/>
    <w:rsid w:val="002B1743"/>
    <w:rsid w:val="002B1996"/>
    <w:rsid w:val="002B3AB2"/>
    <w:rsid w:val="002B4617"/>
    <w:rsid w:val="002B4641"/>
    <w:rsid w:val="002B5069"/>
    <w:rsid w:val="002B58A5"/>
    <w:rsid w:val="002B724C"/>
    <w:rsid w:val="002C02A9"/>
    <w:rsid w:val="002C0719"/>
    <w:rsid w:val="002C179D"/>
    <w:rsid w:val="002C18CD"/>
    <w:rsid w:val="002C2C2B"/>
    <w:rsid w:val="002C30D4"/>
    <w:rsid w:val="002C47FE"/>
    <w:rsid w:val="002C513E"/>
    <w:rsid w:val="002D1376"/>
    <w:rsid w:val="002D238E"/>
    <w:rsid w:val="002D2A30"/>
    <w:rsid w:val="002D2DC7"/>
    <w:rsid w:val="002D3F94"/>
    <w:rsid w:val="002D4720"/>
    <w:rsid w:val="002D49FB"/>
    <w:rsid w:val="002D4A25"/>
    <w:rsid w:val="002D4DF8"/>
    <w:rsid w:val="002D6038"/>
    <w:rsid w:val="002E0041"/>
    <w:rsid w:val="002E1390"/>
    <w:rsid w:val="002E1AEB"/>
    <w:rsid w:val="002E1DBF"/>
    <w:rsid w:val="002E2498"/>
    <w:rsid w:val="002E3105"/>
    <w:rsid w:val="002E320D"/>
    <w:rsid w:val="002E3E1D"/>
    <w:rsid w:val="002E4858"/>
    <w:rsid w:val="002E4CA1"/>
    <w:rsid w:val="002E5E57"/>
    <w:rsid w:val="002E6192"/>
    <w:rsid w:val="002E6312"/>
    <w:rsid w:val="002E6C7C"/>
    <w:rsid w:val="002F0118"/>
    <w:rsid w:val="002F0F08"/>
    <w:rsid w:val="002F1752"/>
    <w:rsid w:val="002F1AFD"/>
    <w:rsid w:val="002F20C7"/>
    <w:rsid w:val="002F2F90"/>
    <w:rsid w:val="002F2FAA"/>
    <w:rsid w:val="002F4373"/>
    <w:rsid w:val="002F477C"/>
    <w:rsid w:val="002F4A74"/>
    <w:rsid w:val="002F4CBD"/>
    <w:rsid w:val="002F4CDA"/>
    <w:rsid w:val="002F506A"/>
    <w:rsid w:val="002F52DA"/>
    <w:rsid w:val="002F557F"/>
    <w:rsid w:val="002F6432"/>
    <w:rsid w:val="003012B9"/>
    <w:rsid w:val="0030161E"/>
    <w:rsid w:val="00301915"/>
    <w:rsid w:val="003028DC"/>
    <w:rsid w:val="003029D1"/>
    <w:rsid w:val="0030348A"/>
    <w:rsid w:val="003045DD"/>
    <w:rsid w:val="00304727"/>
    <w:rsid w:val="0030613B"/>
    <w:rsid w:val="00306844"/>
    <w:rsid w:val="003077DD"/>
    <w:rsid w:val="003111F3"/>
    <w:rsid w:val="003131EC"/>
    <w:rsid w:val="003134AE"/>
    <w:rsid w:val="003142AD"/>
    <w:rsid w:val="003143A4"/>
    <w:rsid w:val="00314AB6"/>
    <w:rsid w:val="00314CF6"/>
    <w:rsid w:val="00315F32"/>
    <w:rsid w:val="00316BAA"/>
    <w:rsid w:val="00317242"/>
    <w:rsid w:val="00320811"/>
    <w:rsid w:val="00322BF9"/>
    <w:rsid w:val="00324743"/>
    <w:rsid w:val="00324769"/>
    <w:rsid w:val="00324B27"/>
    <w:rsid w:val="003253AF"/>
    <w:rsid w:val="00327407"/>
    <w:rsid w:val="00327CB6"/>
    <w:rsid w:val="00330A92"/>
    <w:rsid w:val="0033298A"/>
    <w:rsid w:val="00333B31"/>
    <w:rsid w:val="00334257"/>
    <w:rsid w:val="00335341"/>
    <w:rsid w:val="00335B88"/>
    <w:rsid w:val="00336412"/>
    <w:rsid w:val="00336CA6"/>
    <w:rsid w:val="00337157"/>
    <w:rsid w:val="003373BE"/>
    <w:rsid w:val="00340F22"/>
    <w:rsid w:val="003411DB"/>
    <w:rsid w:val="003417B4"/>
    <w:rsid w:val="00341D86"/>
    <w:rsid w:val="003423A7"/>
    <w:rsid w:val="003426EE"/>
    <w:rsid w:val="0034310E"/>
    <w:rsid w:val="00344213"/>
    <w:rsid w:val="003444F4"/>
    <w:rsid w:val="00344B88"/>
    <w:rsid w:val="00344EBB"/>
    <w:rsid w:val="00345842"/>
    <w:rsid w:val="0034612F"/>
    <w:rsid w:val="00346684"/>
    <w:rsid w:val="003472AF"/>
    <w:rsid w:val="00347FD9"/>
    <w:rsid w:val="003508FE"/>
    <w:rsid w:val="00351369"/>
    <w:rsid w:val="0035167B"/>
    <w:rsid w:val="003522BD"/>
    <w:rsid w:val="00352D4E"/>
    <w:rsid w:val="003543D2"/>
    <w:rsid w:val="0035493D"/>
    <w:rsid w:val="00356528"/>
    <w:rsid w:val="00356C7A"/>
    <w:rsid w:val="00356FF7"/>
    <w:rsid w:val="0035718C"/>
    <w:rsid w:val="003600A2"/>
    <w:rsid w:val="003608A1"/>
    <w:rsid w:val="003608FD"/>
    <w:rsid w:val="0036420C"/>
    <w:rsid w:val="00364A11"/>
    <w:rsid w:val="00366057"/>
    <w:rsid w:val="00366A68"/>
    <w:rsid w:val="003677E2"/>
    <w:rsid w:val="0037051F"/>
    <w:rsid w:val="003707E0"/>
    <w:rsid w:val="00370F35"/>
    <w:rsid w:val="003725F0"/>
    <w:rsid w:val="003732C7"/>
    <w:rsid w:val="003739F0"/>
    <w:rsid w:val="00373FC2"/>
    <w:rsid w:val="003742A8"/>
    <w:rsid w:val="003749A5"/>
    <w:rsid w:val="00375CF8"/>
    <w:rsid w:val="00376918"/>
    <w:rsid w:val="00376F07"/>
    <w:rsid w:val="003775A3"/>
    <w:rsid w:val="00380502"/>
    <w:rsid w:val="00380788"/>
    <w:rsid w:val="003809CD"/>
    <w:rsid w:val="00381524"/>
    <w:rsid w:val="00381FAF"/>
    <w:rsid w:val="00383D10"/>
    <w:rsid w:val="00384170"/>
    <w:rsid w:val="003847A3"/>
    <w:rsid w:val="00385683"/>
    <w:rsid w:val="00386E7F"/>
    <w:rsid w:val="00387749"/>
    <w:rsid w:val="00387CB8"/>
    <w:rsid w:val="0039010C"/>
    <w:rsid w:val="00390C7F"/>
    <w:rsid w:val="00390E5C"/>
    <w:rsid w:val="00391AED"/>
    <w:rsid w:val="00391C4B"/>
    <w:rsid w:val="00391FA6"/>
    <w:rsid w:val="00393046"/>
    <w:rsid w:val="00394F6F"/>
    <w:rsid w:val="003952ED"/>
    <w:rsid w:val="00395549"/>
    <w:rsid w:val="00395F29"/>
    <w:rsid w:val="00396610"/>
    <w:rsid w:val="00396DEC"/>
    <w:rsid w:val="00396F9D"/>
    <w:rsid w:val="00397430"/>
    <w:rsid w:val="003A0443"/>
    <w:rsid w:val="003A0F5E"/>
    <w:rsid w:val="003A1E08"/>
    <w:rsid w:val="003A1F79"/>
    <w:rsid w:val="003A39B8"/>
    <w:rsid w:val="003A424B"/>
    <w:rsid w:val="003A46D3"/>
    <w:rsid w:val="003A542D"/>
    <w:rsid w:val="003A5636"/>
    <w:rsid w:val="003A5765"/>
    <w:rsid w:val="003A623D"/>
    <w:rsid w:val="003A68A3"/>
    <w:rsid w:val="003A76ED"/>
    <w:rsid w:val="003B0281"/>
    <w:rsid w:val="003B0433"/>
    <w:rsid w:val="003B04C1"/>
    <w:rsid w:val="003B2C84"/>
    <w:rsid w:val="003B4E23"/>
    <w:rsid w:val="003B4F01"/>
    <w:rsid w:val="003B505C"/>
    <w:rsid w:val="003B519E"/>
    <w:rsid w:val="003B5E6F"/>
    <w:rsid w:val="003C0B1B"/>
    <w:rsid w:val="003C1195"/>
    <w:rsid w:val="003C12B6"/>
    <w:rsid w:val="003C185F"/>
    <w:rsid w:val="003C2D27"/>
    <w:rsid w:val="003C373E"/>
    <w:rsid w:val="003C3D7F"/>
    <w:rsid w:val="003C41DD"/>
    <w:rsid w:val="003C5F2E"/>
    <w:rsid w:val="003C6326"/>
    <w:rsid w:val="003C6710"/>
    <w:rsid w:val="003C6D87"/>
    <w:rsid w:val="003C7600"/>
    <w:rsid w:val="003D079C"/>
    <w:rsid w:val="003D0D7D"/>
    <w:rsid w:val="003D164F"/>
    <w:rsid w:val="003D18F0"/>
    <w:rsid w:val="003D224C"/>
    <w:rsid w:val="003D3759"/>
    <w:rsid w:val="003D45D4"/>
    <w:rsid w:val="003D613B"/>
    <w:rsid w:val="003D684B"/>
    <w:rsid w:val="003D7D9E"/>
    <w:rsid w:val="003E0FC6"/>
    <w:rsid w:val="003E14DF"/>
    <w:rsid w:val="003E1F42"/>
    <w:rsid w:val="003E3584"/>
    <w:rsid w:val="003E382B"/>
    <w:rsid w:val="003E393C"/>
    <w:rsid w:val="003E3ACA"/>
    <w:rsid w:val="003E3DCB"/>
    <w:rsid w:val="003E4312"/>
    <w:rsid w:val="003E4820"/>
    <w:rsid w:val="003E48FA"/>
    <w:rsid w:val="003E4ADE"/>
    <w:rsid w:val="003E5891"/>
    <w:rsid w:val="003E7ED0"/>
    <w:rsid w:val="003F021E"/>
    <w:rsid w:val="003F03DF"/>
    <w:rsid w:val="003F1189"/>
    <w:rsid w:val="003F12BC"/>
    <w:rsid w:val="003F12D5"/>
    <w:rsid w:val="003F159E"/>
    <w:rsid w:val="003F1CB9"/>
    <w:rsid w:val="003F2050"/>
    <w:rsid w:val="003F37CA"/>
    <w:rsid w:val="003F512D"/>
    <w:rsid w:val="003F6A8D"/>
    <w:rsid w:val="003F6E69"/>
    <w:rsid w:val="003F7F31"/>
    <w:rsid w:val="004009B6"/>
    <w:rsid w:val="00400E23"/>
    <w:rsid w:val="004015AF"/>
    <w:rsid w:val="00401CD3"/>
    <w:rsid w:val="00401F79"/>
    <w:rsid w:val="00402778"/>
    <w:rsid w:val="00402D75"/>
    <w:rsid w:val="00402FA1"/>
    <w:rsid w:val="00403744"/>
    <w:rsid w:val="0040474A"/>
    <w:rsid w:val="00405D7E"/>
    <w:rsid w:val="00406F40"/>
    <w:rsid w:val="00407FB6"/>
    <w:rsid w:val="00410561"/>
    <w:rsid w:val="004120D6"/>
    <w:rsid w:val="00412186"/>
    <w:rsid w:val="00412763"/>
    <w:rsid w:val="00412A2D"/>
    <w:rsid w:val="00413258"/>
    <w:rsid w:val="0041355F"/>
    <w:rsid w:val="00414181"/>
    <w:rsid w:val="0041427D"/>
    <w:rsid w:val="00414AD4"/>
    <w:rsid w:val="0041521E"/>
    <w:rsid w:val="004164DD"/>
    <w:rsid w:val="00416763"/>
    <w:rsid w:val="0041745A"/>
    <w:rsid w:val="004179B3"/>
    <w:rsid w:val="004207D5"/>
    <w:rsid w:val="00422B81"/>
    <w:rsid w:val="00422E44"/>
    <w:rsid w:val="004231FB"/>
    <w:rsid w:val="00423374"/>
    <w:rsid w:val="00423E0D"/>
    <w:rsid w:val="004257BB"/>
    <w:rsid w:val="00425A84"/>
    <w:rsid w:val="00425B3B"/>
    <w:rsid w:val="0042602B"/>
    <w:rsid w:val="004279BD"/>
    <w:rsid w:val="00430F3C"/>
    <w:rsid w:val="004325D3"/>
    <w:rsid w:val="00435176"/>
    <w:rsid w:val="004371EE"/>
    <w:rsid w:val="00437589"/>
    <w:rsid w:val="0043780A"/>
    <w:rsid w:val="00440A53"/>
    <w:rsid w:val="00442170"/>
    <w:rsid w:val="0044352D"/>
    <w:rsid w:val="004444EE"/>
    <w:rsid w:val="004445E7"/>
    <w:rsid w:val="00444BDA"/>
    <w:rsid w:val="00445609"/>
    <w:rsid w:val="004464CF"/>
    <w:rsid w:val="00446AAD"/>
    <w:rsid w:val="004476C2"/>
    <w:rsid w:val="00451368"/>
    <w:rsid w:val="004522D4"/>
    <w:rsid w:val="00453473"/>
    <w:rsid w:val="004555E6"/>
    <w:rsid w:val="00456A9B"/>
    <w:rsid w:val="00460772"/>
    <w:rsid w:val="00461E79"/>
    <w:rsid w:val="00462717"/>
    <w:rsid w:val="004641CC"/>
    <w:rsid w:val="00464E64"/>
    <w:rsid w:val="00465403"/>
    <w:rsid w:val="00465526"/>
    <w:rsid w:val="0046651A"/>
    <w:rsid w:val="004674AA"/>
    <w:rsid w:val="004714FB"/>
    <w:rsid w:val="004718BD"/>
    <w:rsid w:val="00471B86"/>
    <w:rsid w:val="00471D6F"/>
    <w:rsid w:val="00472210"/>
    <w:rsid w:val="00473C52"/>
    <w:rsid w:val="00474524"/>
    <w:rsid w:val="00475D5E"/>
    <w:rsid w:val="00475F13"/>
    <w:rsid w:val="0047661B"/>
    <w:rsid w:val="00476A2A"/>
    <w:rsid w:val="00477094"/>
    <w:rsid w:val="0047757F"/>
    <w:rsid w:val="00477AF5"/>
    <w:rsid w:val="00477CEB"/>
    <w:rsid w:val="00483136"/>
    <w:rsid w:val="0048354D"/>
    <w:rsid w:val="00483FA6"/>
    <w:rsid w:val="0048489E"/>
    <w:rsid w:val="004852E3"/>
    <w:rsid w:val="00485ADC"/>
    <w:rsid w:val="00486858"/>
    <w:rsid w:val="004904F6"/>
    <w:rsid w:val="00490505"/>
    <w:rsid w:val="004908DB"/>
    <w:rsid w:val="00490E1A"/>
    <w:rsid w:val="00491DB6"/>
    <w:rsid w:val="00492636"/>
    <w:rsid w:val="004935C1"/>
    <w:rsid w:val="00493A20"/>
    <w:rsid w:val="00493C14"/>
    <w:rsid w:val="00495C6A"/>
    <w:rsid w:val="004969D8"/>
    <w:rsid w:val="0049704E"/>
    <w:rsid w:val="004975FD"/>
    <w:rsid w:val="004979BF"/>
    <w:rsid w:val="004A1724"/>
    <w:rsid w:val="004A2349"/>
    <w:rsid w:val="004A31A7"/>
    <w:rsid w:val="004A435C"/>
    <w:rsid w:val="004A44DB"/>
    <w:rsid w:val="004A4D8B"/>
    <w:rsid w:val="004A4E6A"/>
    <w:rsid w:val="004A53BB"/>
    <w:rsid w:val="004A5819"/>
    <w:rsid w:val="004A5C0E"/>
    <w:rsid w:val="004A5D84"/>
    <w:rsid w:val="004A6CE0"/>
    <w:rsid w:val="004A724B"/>
    <w:rsid w:val="004A74F4"/>
    <w:rsid w:val="004B1175"/>
    <w:rsid w:val="004B1442"/>
    <w:rsid w:val="004B1766"/>
    <w:rsid w:val="004B19DD"/>
    <w:rsid w:val="004B3889"/>
    <w:rsid w:val="004B3E0D"/>
    <w:rsid w:val="004B3F04"/>
    <w:rsid w:val="004B441B"/>
    <w:rsid w:val="004B4571"/>
    <w:rsid w:val="004B51F9"/>
    <w:rsid w:val="004B564F"/>
    <w:rsid w:val="004B6A7C"/>
    <w:rsid w:val="004B7ECE"/>
    <w:rsid w:val="004C04EA"/>
    <w:rsid w:val="004C0763"/>
    <w:rsid w:val="004C0A56"/>
    <w:rsid w:val="004C0AC1"/>
    <w:rsid w:val="004C10E7"/>
    <w:rsid w:val="004C23FB"/>
    <w:rsid w:val="004C3997"/>
    <w:rsid w:val="004C423D"/>
    <w:rsid w:val="004C4C1F"/>
    <w:rsid w:val="004C50BF"/>
    <w:rsid w:val="004C53CB"/>
    <w:rsid w:val="004C593C"/>
    <w:rsid w:val="004C629B"/>
    <w:rsid w:val="004C693B"/>
    <w:rsid w:val="004C751A"/>
    <w:rsid w:val="004C7E8B"/>
    <w:rsid w:val="004D0B15"/>
    <w:rsid w:val="004D0EBA"/>
    <w:rsid w:val="004D114D"/>
    <w:rsid w:val="004D14D3"/>
    <w:rsid w:val="004D18AC"/>
    <w:rsid w:val="004D23AD"/>
    <w:rsid w:val="004D3E58"/>
    <w:rsid w:val="004D4156"/>
    <w:rsid w:val="004D4333"/>
    <w:rsid w:val="004D6531"/>
    <w:rsid w:val="004E011D"/>
    <w:rsid w:val="004E0D15"/>
    <w:rsid w:val="004E1AC6"/>
    <w:rsid w:val="004E2434"/>
    <w:rsid w:val="004E26E2"/>
    <w:rsid w:val="004E3070"/>
    <w:rsid w:val="004E32FB"/>
    <w:rsid w:val="004E4B5B"/>
    <w:rsid w:val="004E5779"/>
    <w:rsid w:val="004E5E51"/>
    <w:rsid w:val="004E668A"/>
    <w:rsid w:val="004E7E07"/>
    <w:rsid w:val="004F32E1"/>
    <w:rsid w:val="004F34F2"/>
    <w:rsid w:val="004F3D9B"/>
    <w:rsid w:val="004F4632"/>
    <w:rsid w:val="004F46CE"/>
    <w:rsid w:val="004F46D6"/>
    <w:rsid w:val="004F5C1C"/>
    <w:rsid w:val="004F62FF"/>
    <w:rsid w:val="004F69E2"/>
    <w:rsid w:val="004F6CFB"/>
    <w:rsid w:val="004F6EA8"/>
    <w:rsid w:val="004F70A7"/>
    <w:rsid w:val="005019FE"/>
    <w:rsid w:val="00502C28"/>
    <w:rsid w:val="00503D06"/>
    <w:rsid w:val="00504229"/>
    <w:rsid w:val="00504370"/>
    <w:rsid w:val="00505434"/>
    <w:rsid w:val="005063FD"/>
    <w:rsid w:val="005069C2"/>
    <w:rsid w:val="00507747"/>
    <w:rsid w:val="00510452"/>
    <w:rsid w:val="00510AD7"/>
    <w:rsid w:val="00510EB1"/>
    <w:rsid w:val="0051164C"/>
    <w:rsid w:val="00512176"/>
    <w:rsid w:val="005122E9"/>
    <w:rsid w:val="005137DB"/>
    <w:rsid w:val="005142AC"/>
    <w:rsid w:val="0051437A"/>
    <w:rsid w:val="0051449F"/>
    <w:rsid w:val="0051508B"/>
    <w:rsid w:val="0051570C"/>
    <w:rsid w:val="00515A05"/>
    <w:rsid w:val="00515ECA"/>
    <w:rsid w:val="00516007"/>
    <w:rsid w:val="00517111"/>
    <w:rsid w:val="005203B7"/>
    <w:rsid w:val="005208BD"/>
    <w:rsid w:val="0052161C"/>
    <w:rsid w:val="00521FF6"/>
    <w:rsid w:val="0052347F"/>
    <w:rsid w:val="00527260"/>
    <w:rsid w:val="00527681"/>
    <w:rsid w:val="0052771A"/>
    <w:rsid w:val="00527FC5"/>
    <w:rsid w:val="00530245"/>
    <w:rsid w:val="00530967"/>
    <w:rsid w:val="00530DE6"/>
    <w:rsid w:val="00531FAE"/>
    <w:rsid w:val="005343BA"/>
    <w:rsid w:val="0053589B"/>
    <w:rsid w:val="00535CDB"/>
    <w:rsid w:val="00535E49"/>
    <w:rsid w:val="0053659F"/>
    <w:rsid w:val="00537D18"/>
    <w:rsid w:val="00537D95"/>
    <w:rsid w:val="005417AF"/>
    <w:rsid w:val="00543780"/>
    <w:rsid w:val="005442D1"/>
    <w:rsid w:val="005450EB"/>
    <w:rsid w:val="0054574A"/>
    <w:rsid w:val="00545AC2"/>
    <w:rsid w:val="00546646"/>
    <w:rsid w:val="0054665C"/>
    <w:rsid w:val="00547A43"/>
    <w:rsid w:val="00550C47"/>
    <w:rsid w:val="00552694"/>
    <w:rsid w:val="00552D45"/>
    <w:rsid w:val="0055337B"/>
    <w:rsid w:val="0055377C"/>
    <w:rsid w:val="00553860"/>
    <w:rsid w:val="005541F4"/>
    <w:rsid w:val="00554717"/>
    <w:rsid w:val="00555261"/>
    <w:rsid w:val="00556DE6"/>
    <w:rsid w:val="005574AF"/>
    <w:rsid w:val="0055785D"/>
    <w:rsid w:val="005578C6"/>
    <w:rsid w:val="00557A53"/>
    <w:rsid w:val="0056090E"/>
    <w:rsid w:val="005613B3"/>
    <w:rsid w:val="00561ED7"/>
    <w:rsid w:val="00562166"/>
    <w:rsid w:val="00562995"/>
    <w:rsid w:val="00563855"/>
    <w:rsid w:val="005642DD"/>
    <w:rsid w:val="00564453"/>
    <w:rsid w:val="00566025"/>
    <w:rsid w:val="0056611F"/>
    <w:rsid w:val="005666D7"/>
    <w:rsid w:val="005676A0"/>
    <w:rsid w:val="00567ADA"/>
    <w:rsid w:val="005718D7"/>
    <w:rsid w:val="00571AFD"/>
    <w:rsid w:val="00571BEE"/>
    <w:rsid w:val="00571C08"/>
    <w:rsid w:val="00571C69"/>
    <w:rsid w:val="00572232"/>
    <w:rsid w:val="005722E9"/>
    <w:rsid w:val="00572D52"/>
    <w:rsid w:val="00573F62"/>
    <w:rsid w:val="00574588"/>
    <w:rsid w:val="00574619"/>
    <w:rsid w:val="005746F6"/>
    <w:rsid w:val="00575D36"/>
    <w:rsid w:val="005761EE"/>
    <w:rsid w:val="00576C13"/>
    <w:rsid w:val="00576CB6"/>
    <w:rsid w:val="00576CF4"/>
    <w:rsid w:val="00577164"/>
    <w:rsid w:val="00577D9F"/>
    <w:rsid w:val="00580391"/>
    <w:rsid w:val="0058086E"/>
    <w:rsid w:val="005818DE"/>
    <w:rsid w:val="00581AC8"/>
    <w:rsid w:val="00581CC1"/>
    <w:rsid w:val="00584718"/>
    <w:rsid w:val="00584D4C"/>
    <w:rsid w:val="005861DC"/>
    <w:rsid w:val="0058622F"/>
    <w:rsid w:val="00586418"/>
    <w:rsid w:val="00587350"/>
    <w:rsid w:val="005874B8"/>
    <w:rsid w:val="00587BA9"/>
    <w:rsid w:val="0059007C"/>
    <w:rsid w:val="00590699"/>
    <w:rsid w:val="00591A31"/>
    <w:rsid w:val="00591E29"/>
    <w:rsid w:val="00592318"/>
    <w:rsid w:val="00594C44"/>
    <w:rsid w:val="0059556C"/>
    <w:rsid w:val="00596B76"/>
    <w:rsid w:val="00597DD9"/>
    <w:rsid w:val="005A0ACF"/>
    <w:rsid w:val="005A0C34"/>
    <w:rsid w:val="005A2501"/>
    <w:rsid w:val="005A292F"/>
    <w:rsid w:val="005A2FF8"/>
    <w:rsid w:val="005A34B6"/>
    <w:rsid w:val="005A3E34"/>
    <w:rsid w:val="005A44FF"/>
    <w:rsid w:val="005A4BD9"/>
    <w:rsid w:val="005A4D8E"/>
    <w:rsid w:val="005A51C6"/>
    <w:rsid w:val="005A576D"/>
    <w:rsid w:val="005A5BAB"/>
    <w:rsid w:val="005A5CB3"/>
    <w:rsid w:val="005A6604"/>
    <w:rsid w:val="005A78DE"/>
    <w:rsid w:val="005A7E09"/>
    <w:rsid w:val="005B08A6"/>
    <w:rsid w:val="005B0F22"/>
    <w:rsid w:val="005B0F27"/>
    <w:rsid w:val="005B1A31"/>
    <w:rsid w:val="005B2B4F"/>
    <w:rsid w:val="005B2CB5"/>
    <w:rsid w:val="005B3439"/>
    <w:rsid w:val="005B4653"/>
    <w:rsid w:val="005B4E45"/>
    <w:rsid w:val="005B4E85"/>
    <w:rsid w:val="005B5E17"/>
    <w:rsid w:val="005B6419"/>
    <w:rsid w:val="005B6CC1"/>
    <w:rsid w:val="005C1943"/>
    <w:rsid w:val="005C22C2"/>
    <w:rsid w:val="005C501A"/>
    <w:rsid w:val="005C5673"/>
    <w:rsid w:val="005C6D52"/>
    <w:rsid w:val="005C6F67"/>
    <w:rsid w:val="005C7858"/>
    <w:rsid w:val="005C7A9A"/>
    <w:rsid w:val="005C7FCE"/>
    <w:rsid w:val="005D05FD"/>
    <w:rsid w:val="005D11A5"/>
    <w:rsid w:val="005D1A7D"/>
    <w:rsid w:val="005D3508"/>
    <w:rsid w:val="005D48E0"/>
    <w:rsid w:val="005D4BC8"/>
    <w:rsid w:val="005D55D6"/>
    <w:rsid w:val="005D593D"/>
    <w:rsid w:val="005D65FF"/>
    <w:rsid w:val="005D6E43"/>
    <w:rsid w:val="005D717B"/>
    <w:rsid w:val="005D769A"/>
    <w:rsid w:val="005D7FC2"/>
    <w:rsid w:val="005E092E"/>
    <w:rsid w:val="005E1DD8"/>
    <w:rsid w:val="005E1EA0"/>
    <w:rsid w:val="005E1F6F"/>
    <w:rsid w:val="005E4132"/>
    <w:rsid w:val="005E58E1"/>
    <w:rsid w:val="005E5F8B"/>
    <w:rsid w:val="005F0EC7"/>
    <w:rsid w:val="005F105B"/>
    <w:rsid w:val="005F1295"/>
    <w:rsid w:val="005F2075"/>
    <w:rsid w:val="005F2341"/>
    <w:rsid w:val="005F2B48"/>
    <w:rsid w:val="005F3ADE"/>
    <w:rsid w:val="005F432C"/>
    <w:rsid w:val="005F4B41"/>
    <w:rsid w:val="005F4F2A"/>
    <w:rsid w:val="005F5099"/>
    <w:rsid w:val="005F73A6"/>
    <w:rsid w:val="006002FC"/>
    <w:rsid w:val="00600D9B"/>
    <w:rsid w:val="0060128D"/>
    <w:rsid w:val="006015EB"/>
    <w:rsid w:val="006021B4"/>
    <w:rsid w:val="00602BDA"/>
    <w:rsid w:val="0060305B"/>
    <w:rsid w:val="0060308F"/>
    <w:rsid w:val="0060552B"/>
    <w:rsid w:val="00606E04"/>
    <w:rsid w:val="00607B8A"/>
    <w:rsid w:val="00611A97"/>
    <w:rsid w:val="00611B3C"/>
    <w:rsid w:val="00611C5C"/>
    <w:rsid w:val="00612686"/>
    <w:rsid w:val="006131E9"/>
    <w:rsid w:val="0061392C"/>
    <w:rsid w:val="00613C92"/>
    <w:rsid w:val="00615685"/>
    <w:rsid w:val="00616069"/>
    <w:rsid w:val="00616FDD"/>
    <w:rsid w:val="00617E42"/>
    <w:rsid w:val="00617E6C"/>
    <w:rsid w:val="006203EC"/>
    <w:rsid w:val="00622015"/>
    <w:rsid w:val="00622191"/>
    <w:rsid w:val="00622D62"/>
    <w:rsid w:val="0062336F"/>
    <w:rsid w:val="00623D41"/>
    <w:rsid w:val="00624A28"/>
    <w:rsid w:val="00624E5B"/>
    <w:rsid w:val="006264F1"/>
    <w:rsid w:val="00626A29"/>
    <w:rsid w:val="00626AF4"/>
    <w:rsid w:val="00626CB1"/>
    <w:rsid w:val="00626CBB"/>
    <w:rsid w:val="00627894"/>
    <w:rsid w:val="00627FF6"/>
    <w:rsid w:val="00630506"/>
    <w:rsid w:val="00630BC9"/>
    <w:rsid w:val="0063314F"/>
    <w:rsid w:val="0063422F"/>
    <w:rsid w:val="006354FF"/>
    <w:rsid w:val="00635832"/>
    <w:rsid w:val="00635AB6"/>
    <w:rsid w:val="006361B1"/>
    <w:rsid w:val="006365E9"/>
    <w:rsid w:val="00636E18"/>
    <w:rsid w:val="00637228"/>
    <w:rsid w:val="00641532"/>
    <w:rsid w:val="00641E0B"/>
    <w:rsid w:val="0064225E"/>
    <w:rsid w:val="0064298D"/>
    <w:rsid w:val="0064364F"/>
    <w:rsid w:val="006445A3"/>
    <w:rsid w:val="00645115"/>
    <w:rsid w:val="006462F1"/>
    <w:rsid w:val="006464CF"/>
    <w:rsid w:val="00647A7A"/>
    <w:rsid w:val="00650724"/>
    <w:rsid w:val="0065124E"/>
    <w:rsid w:val="006513A0"/>
    <w:rsid w:val="00652C4F"/>
    <w:rsid w:val="0065308E"/>
    <w:rsid w:val="006541D1"/>
    <w:rsid w:val="00654860"/>
    <w:rsid w:val="00654F37"/>
    <w:rsid w:val="00655662"/>
    <w:rsid w:val="00656ABE"/>
    <w:rsid w:val="00657521"/>
    <w:rsid w:val="0066000B"/>
    <w:rsid w:val="0066030A"/>
    <w:rsid w:val="00660931"/>
    <w:rsid w:val="00661C43"/>
    <w:rsid w:val="00662C23"/>
    <w:rsid w:val="0066473E"/>
    <w:rsid w:val="00664F66"/>
    <w:rsid w:val="00665069"/>
    <w:rsid w:val="0066537B"/>
    <w:rsid w:val="00665718"/>
    <w:rsid w:val="00665E8C"/>
    <w:rsid w:val="0066692E"/>
    <w:rsid w:val="00666CC6"/>
    <w:rsid w:val="006677D7"/>
    <w:rsid w:val="00667828"/>
    <w:rsid w:val="00670CDD"/>
    <w:rsid w:val="00670F37"/>
    <w:rsid w:val="00676079"/>
    <w:rsid w:val="00676326"/>
    <w:rsid w:val="006777C7"/>
    <w:rsid w:val="006839E8"/>
    <w:rsid w:val="00683D65"/>
    <w:rsid w:val="00684AB4"/>
    <w:rsid w:val="00685F12"/>
    <w:rsid w:val="00687672"/>
    <w:rsid w:val="00690FB6"/>
    <w:rsid w:val="00691287"/>
    <w:rsid w:val="006919FC"/>
    <w:rsid w:val="00693034"/>
    <w:rsid w:val="0069373F"/>
    <w:rsid w:val="00693FDC"/>
    <w:rsid w:val="006963D2"/>
    <w:rsid w:val="00697FEB"/>
    <w:rsid w:val="006A02C9"/>
    <w:rsid w:val="006A0B4A"/>
    <w:rsid w:val="006A0D71"/>
    <w:rsid w:val="006A0E7E"/>
    <w:rsid w:val="006A0F4A"/>
    <w:rsid w:val="006A1D16"/>
    <w:rsid w:val="006A1EA8"/>
    <w:rsid w:val="006A4300"/>
    <w:rsid w:val="006A4428"/>
    <w:rsid w:val="006A7BEA"/>
    <w:rsid w:val="006A7D62"/>
    <w:rsid w:val="006B120F"/>
    <w:rsid w:val="006B1FE2"/>
    <w:rsid w:val="006B2EBD"/>
    <w:rsid w:val="006B2F86"/>
    <w:rsid w:val="006B3690"/>
    <w:rsid w:val="006B37A6"/>
    <w:rsid w:val="006B3C0D"/>
    <w:rsid w:val="006C0355"/>
    <w:rsid w:val="006C090C"/>
    <w:rsid w:val="006C13D5"/>
    <w:rsid w:val="006C3A40"/>
    <w:rsid w:val="006C3F79"/>
    <w:rsid w:val="006C4E8E"/>
    <w:rsid w:val="006C53A0"/>
    <w:rsid w:val="006C5E9B"/>
    <w:rsid w:val="006C6D77"/>
    <w:rsid w:val="006C7240"/>
    <w:rsid w:val="006C74D6"/>
    <w:rsid w:val="006C7663"/>
    <w:rsid w:val="006D0CAC"/>
    <w:rsid w:val="006D0EE8"/>
    <w:rsid w:val="006D12C7"/>
    <w:rsid w:val="006D175B"/>
    <w:rsid w:val="006D1BF7"/>
    <w:rsid w:val="006D23EF"/>
    <w:rsid w:val="006D457D"/>
    <w:rsid w:val="006D59F8"/>
    <w:rsid w:val="006D61DA"/>
    <w:rsid w:val="006D6AF7"/>
    <w:rsid w:val="006D6EBB"/>
    <w:rsid w:val="006D781E"/>
    <w:rsid w:val="006D7F80"/>
    <w:rsid w:val="006D7FC7"/>
    <w:rsid w:val="006E00DA"/>
    <w:rsid w:val="006E04F7"/>
    <w:rsid w:val="006E0941"/>
    <w:rsid w:val="006E0B68"/>
    <w:rsid w:val="006E0EAD"/>
    <w:rsid w:val="006E1DC5"/>
    <w:rsid w:val="006E2EFD"/>
    <w:rsid w:val="006E3420"/>
    <w:rsid w:val="006E39D7"/>
    <w:rsid w:val="006E3BD0"/>
    <w:rsid w:val="006E3FA9"/>
    <w:rsid w:val="006E4444"/>
    <w:rsid w:val="006E4D14"/>
    <w:rsid w:val="006E6866"/>
    <w:rsid w:val="006E702B"/>
    <w:rsid w:val="006E7DC6"/>
    <w:rsid w:val="006F01FC"/>
    <w:rsid w:val="006F0349"/>
    <w:rsid w:val="006F08E1"/>
    <w:rsid w:val="006F0E10"/>
    <w:rsid w:val="006F13D2"/>
    <w:rsid w:val="006F1A53"/>
    <w:rsid w:val="006F2196"/>
    <w:rsid w:val="006F2B29"/>
    <w:rsid w:val="006F3620"/>
    <w:rsid w:val="006F3D73"/>
    <w:rsid w:val="006F5A87"/>
    <w:rsid w:val="006F74BF"/>
    <w:rsid w:val="006F7BDA"/>
    <w:rsid w:val="00700C93"/>
    <w:rsid w:val="00701FC8"/>
    <w:rsid w:val="0070288A"/>
    <w:rsid w:val="00702D07"/>
    <w:rsid w:val="00703676"/>
    <w:rsid w:val="00706655"/>
    <w:rsid w:val="007078D6"/>
    <w:rsid w:val="007106DD"/>
    <w:rsid w:val="00710F87"/>
    <w:rsid w:val="007116F8"/>
    <w:rsid w:val="00712900"/>
    <w:rsid w:val="007133E9"/>
    <w:rsid w:val="007137B3"/>
    <w:rsid w:val="00713BD4"/>
    <w:rsid w:val="00714542"/>
    <w:rsid w:val="00714837"/>
    <w:rsid w:val="00714EF0"/>
    <w:rsid w:val="00714F04"/>
    <w:rsid w:val="00715087"/>
    <w:rsid w:val="00715712"/>
    <w:rsid w:val="007158C7"/>
    <w:rsid w:val="00715D0C"/>
    <w:rsid w:val="0071628B"/>
    <w:rsid w:val="00716F27"/>
    <w:rsid w:val="00717727"/>
    <w:rsid w:val="00717B00"/>
    <w:rsid w:val="00720DE3"/>
    <w:rsid w:val="00721C6A"/>
    <w:rsid w:val="007227EC"/>
    <w:rsid w:val="00722F2C"/>
    <w:rsid w:val="00723293"/>
    <w:rsid w:val="00723439"/>
    <w:rsid w:val="00723CB3"/>
    <w:rsid w:val="00724D46"/>
    <w:rsid w:val="007252D4"/>
    <w:rsid w:val="00727012"/>
    <w:rsid w:val="0072723A"/>
    <w:rsid w:val="00727D29"/>
    <w:rsid w:val="00730E2D"/>
    <w:rsid w:val="0073142D"/>
    <w:rsid w:val="007323B9"/>
    <w:rsid w:val="007330A4"/>
    <w:rsid w:val="00733C05"/>
    <w:rsid w:val="00734568"/>
    <w:rsid w:val="0073460E"/>
    <w:rsid w:val="007349F9"/>
    <w:rsid w:val="00734A12"/>
    <w:rsid w:val="00735CDE"/>
    <w:rsid w:val="00736EAE"/>
    <w:rsid w:val="00737F9B"/>
    <w:rsid w:val="007402C2"/>
    <w:rsid w:val="0074044C"/>
    <w:rsid w:val="007405B1"/>
    <w:rsid w:val="007419ED"/>
    <w:rsid w:val="00742174"/>
    <w:rsid w:val="00742C4C"/>
    <w:rsid w:val="007431F0"/>
    <w:rsid w:val="00743577"/>
    <w:rsid w:val="007435D3"/>
    <w:rsid w:val="00744220"/>
    <w:rsid w:val="00744C66"/>
    <w:rsid w:val="007464CC"/>
    <w:rsid w:val="00747238"/>
    <w:rsid w:val="00747B4B"/>
    <w:rsid w:val="00750679"/>
    <w:rsid w:val="00751EDA"/>
    <w:rsid w:val="00754851"/>
    <w:rsid w:val="007575D0"/>
    <w:rsid w:val="00757649"/>
    <w:rsid w:val="007609D5"/>
    <w:rsid w:val="00760C75"/>
    <w:rsid w:val="007611AD"/>
    <w:rsid w:val="0076126B"/>
    <w:rsid w:val="007613B3"/>
    <w:rsid w:val="00762FBA"/>
    <w:rsid w:val="00763FB6"/>
    <w:rsid w:val="0076473F"/>
    <w:rsid w:val="00764748"/>
    <w:rsid w:val="00765515"/>
    <w:rsid w:val="00766F28"/>
    <w:rsid w:val="007713E8"/>
    <w:rsid w:val="00771967"/>
    <w:rsid w:val="00771AA1"/>
    <w:rsid w:val="0077322C"/>
    <w:rsid w:val="00774715"/>
    <w:rsid w:val="007747EE"/>
    <w:rsid w:val="00774999"/>
    <w:rsid w:val="00774F98"/>
    <w:rsid w:val="00776623"/>
    <w:rsid w:val="007768F5"/>
    <w:rsid w:val="0077735A"/>
    <w:rsid w:val="0078095B"/>
    <w:rsid w:val="00780D10"/>
    <w:rsid w:val="007813D1"/>
    <w:rsid w:val="00782158"/>
    <w:rsid w:val="007821BC"/>
    <w:rsid w:val="007826E0"/>
    <w:rsid w:val="0078271A"/>
    <w:rsid w:val="00783194"/>
    <w:rsid w:val="00783455"/>
    <w:rsid w:val="007835D5"/>
    <w:rsid w:val="0078383A"/>
    <w:rsid w:val="00783BA7"/>
    <w:rsid w:val="007853F8"/>
    <w:rsid w:val="0078687A"/>
    <w:rsid w:val="00786AA2"/>
    <w:rsid w:val="00786BB9"/>
    <w:rsid w:val="00786FE5"/>
    <w:rsid w:val="007870B3"/>
    <w:rsid w:val="00787297"/>
    <w:rsid w:val="007877DC"/>
    <w:rsid w:val="0079039B"/>
    <w:rsid w:val="007908E2"/>
    <w:rsid w:val="00793842"/>
    <w:rsid w:val="007953B5"/>
    <w:rsid w:val="00795F3C"/>
    <w:rsid w:val="00796271"/>
    <w:rsid w:val="00796431"/>
    <w:rsid w:val="007964DC"/>
    <w:rsid w:val="00797D07"/>
    <w:rsid w:val="00797EC1"/>
    <w:rsid w:val="007A03B9"/>
    <w:rsid w:val="007A06C5"/>
    <w:rsid w:val="007A0B4E"/>
    <w:rsid w:val="007A117C"/>
    <w:rsid w:val="007A2635"/>
    <w:rsid w:val="007A3BFB"/>
    <w:rsid w:val="007A69A5"/>
    <w:rsid w:val="007A6B52"/>
    <w:rsid w:val="007A6C81"/>
    <w:rsid w:val="007A7B10"/>
    <w:rsid w:val="007B02A8"/>
    <w:rsid w:val="007B0B30"/>
    <w:rsid w:val="007B129D"/>
    <w:rsid w:val="007B219A"/>
    <w:rsid w:val="007B31A6"/>
    <w:rsid w:val="007B4508"/>
    <w:rsid w:val="007B5E3D"/>
    <w:rsid w:val="007B6B28"/>
    <w:rsid w:val="007B79F6"/>
    <w:rsid w:val="007B7B44"/>
    <w:rsid w:val="007C1271"/>
    <w:rsid w:val="007C12F0"/>
    <w:rsid w:val="007C15B2"/>
    <w:rsid w:val="007C4747"/>
    <w:rsid w:val="007C4C83"/>
    <w:rsid w:val="007C525A"/>
    <w:rsid w:val="007C533A"/>
    <w:rsid w:val="007C591A"/>
    <w:rsid w:val="007C6206"/>
    <w:rsid w:val="007C6225"/>
    <w:rsid w:val="007C64E2"/>
    <w:rsid w:val="007C7C72"/>
    <w:rsid w:val="007D065D"/>
    <w:rsid w:val="007D1196"/>
    <w:rsid w:val="007D1E88"/>
    <w:rsid w:val="007D275E"/>
    <w:rsid w:val="007D2928"/>
    <w:rsid w:val="007D37BA"/>
    <w:rsid w:val="007D3850"/>
    <w:rsid w:val="007D3F75"/>
    <w:rsid w:val="007D4025"/>
    <w:rsid w:val="007D66F0"/>
    <w:rsid w:val="007D73E5"/>
    <w:rsid w:val="007D750A"/>
    <w:rsid w:val="007D7523"/>
    <w:rsid w:val="007E0084"/>
    <w:rsid w:val="007E0678"/>
    <w:rsid w:val="007E0A18"/>
    <w:rsid w:val="007E0EF4"/>
    <w:rsid w:val="007E1035"/>
    <w:rsid w:val="007E18D1"/>
    <w:rsid w:val="007E199C"/>
    <w:rsid w:val="007E2A76"/>
    <w:rsid w:val="007E4D07"/>
    <w:rsid w:val="007E581F"/>
    <w:rsid w:val="007E722A"/>
    <w:rsid w:val="007E72EF"/>
    <w:rsid w:val="007E770A"/>
    <w:rsid w:val="007E7968"/>
    <w:rsid w:val="007E7C0D"/>
    <w:rsid w:val="007F0CB0"/>
    <w:rsid w:val="007F1600"/>
    <w:rsid w:val="007F166D"/>
    <w:rsid w:val="007F1EDF"/>
    <w:rsid w:val="007F2054"/>
    <w:rsid w:val="007F299B"/>
    <w:rsid w:val="007F365B"/>
    <w:rsid w:val="007F3B50"/>
    <w:rsid w:val="007F4023"/>
    <w:rsid w:val="007F40D6"/>
    <w:rsid w:val="007F41A0"/>
    <w:rsid w:val="007F5346"/>
    <w:rsid w:val="007F690B"/>
    <w:rsid w:val="007F742B"/>
    <w:rsid w:val="007F7CBC"/>
    <w:rsid w:val="00800C45"/>
    <w:rsid w:val="0080130F"/>
    <w:rsid w:val="008026FE"/>
    <w:rsid w:val="00802F9F"/>
    <w:rsid w:val="00803E55"/>
    <w:rsid w:val="00804358"/>
    <w:rsid w:val="00804F92"/>
    <w:rsid w:val="00807F85"/>
    <w:rsid w:val="0081060D"/>
    <w:rsid w:val="00810A52"/>
    <w:rsid w:val="00810DCF"/>
    <w:rsid w:val="008110C4"/>
    <w:rsid w:val="00811527"/>
    <w:rsid w:val="00811F2C"/>
    <w:rsid w:val="00811FE2"/>
    <w:rsid w:val="008134F5"/>
    <w:rsid w:val="00814399"/>
    <w:rsid w:val="00815A51"/>
    <w:rsid w:val="008208F2"/>
    <w:rsid w:val="00820A66"/>
    <w:rsid w:val="00820F38"/>
    <w:rsid w:val="00822D27"/>
    <w:rsid w:val="008242DA"/>
    <w:rsid w:val="00824A84"/>
    <w:rsid w:val="00826371"/>
    <w:rsid w:val="0082668B"/>
    <w:rsid w:val="0082687A"/>
    <w:rsid w:val="008272AC"/>
    <w:rsid w:val="00830214"/>
    <w:rsid w:val="00830902"/>
    <w:rsid w:val="00832118"/>
    <w:rsid w:val="00832C2F"/>
    <w:rsid w:val="00833EC7"/>
    <w:rsid w:val="00834366"/>
    <w:rsid w:val="008358AE"/>
    <w:rsid w:val="008363D1"/>
    <w:rsid w:val="00836C3B"/>
    <w:rsid w:val="00840749"/>
    <w:rsid w:val="00840F7C"/>
    <w:rsid w:val="008412E1"/>
    <w:rsid w:val="008413A8"/>
    <w:rsid w:val="00842443"/>
    <w:rsid w:val="00843285"/>
    <w:rsid w:val="00843286"/>
    <w:rsid w:val="00843386"/>
    <w:rsid w:val="00844479"/>
    <w:rsid w:val="00844C79"/>
    <w:rsid w:val="00846122"/>
    <w:rsid w:val="008466C4"/>
    <w:rsid w:val="00850FDB"/>
    <w:rsid w:val="008510D6"/>
    <w:rsid w:val="008522B5"/>
    <w:rsid w:val="00853C4A"/>
    <w:rsid w:val="00854190"/>
    <w:rsid w:val="00854682"/>
    <w:rsid w:val="00856359"/>
    <w:rsid w:val="00856DA4"/>
    <w:rsid w:val="00857078"/>
    <w:rsid w:val="00857A3C"/>
    <w:rsid w:val="00860613"/>
    <w:rsid w:val="00861279"/>
    <w:rsid w:val="008612B4"/>
    <w:rsid w:val="00862A90"/>
    <w:rsid w:val="00863D31"/>
    <w:rsid w:val="0086454A"/>
    <w:rsid w:val="00866E95"/>
    <w:rsid w:val="00870102"/>
    <w:rsid w:val="00870456"/>
    <w:rsid w:val="008721A5"/>
    <w:rsid w:val="00872847"/>
    <w:rsid w:val="00872C9B"/>
    <w:rsid w:val="00872E78"/>
    <w:rsid w:val="00872FDB"/>
    <w:rsid w:val="00873451"/>
    <w:rsid w:val="00873471"/>
    <w:rsid w:val="00873C14"/>
    <w:rsid w:val="0087619E"/>
    <w:rsid w:val="00877706"/>
    <w:rsid w:val="00877F7D"/>
    <w:rsid w:val="008811FC"/>
    <w:rsid w:val="00881D54"/>
    <w:rsid w:val="008825CE"/>
    <w:rsid w:val="0088460D"/>
    <w:rsid w:val="008857AA"/>
    <w:rsid w:val="00885FA2"/>
    <w:rsid w:val="0088688E"/>
    <w:rsid w:val="00887608"/>
    <w:rsid w:val="00887ABB"/>
    <w:rsid w:val="00887FD1"/>
    <w:rsid w:val="008900AF"/>
    <w:rsid w:val="008906E6"/>
    <w:rsid w:val="00890AD0"/>
    <w:rsid w:val="00890B66"/>
    <w:rsid w:val="00891109"/>
    <w:rsid w:val="00891BA0"/>
    <w:rsid w:val="00891BF0"/>
    <w:rsid w:val="00891F38"/>
    <w:rsid w:val="00893E72"/>
    <w:rsid w:val="00896BC2"/>
    <w:rsid w:val="00896C06"/>
    <w:rsid w:val="008A072D"/>
    <w:rsid w:val="008A1815"/>
    <w:rsid w:val="008A1C42"/>
    <w:rsid w:val="008A2D63"/>
    <w:rsid w:val="008A3348"/>
    <w:rsid w:val="008A3889"/>
    <w:rsid w:val="008A4BAF"/>
    <w:rsid w:val="008A5CE1"/>
    <w:rsid w:val="008A5EE6"/>
    <w:rsid w:val="008A6398"/>
    <w:rsid w:val="008B048B"/>
    <w:rsid w:val="008B08D3"/>
    <w:rsid w:val="008B19B7"/>
    <w:rsid w:val="008B19E5"/>
    <w:rsid w:val="008B1C16"/>
    <w:rsid w:val="008B2AC1"/>
    <w:rsid w:val="008B2D32"/>
    <w:rsid w:val="008B2E9A"/>
    <w:rsid w:val="008B2EB5"/>
    <w:rsid w:val="008B3ADE"/>
    <w:rsid w:val="008B44C3"/>
    <w:rsid w:val="008B5255"/>
    <w:rsid w:val="008B5613"/>
    <w:rsid w:val="008B7050"/>
    <w:rsid w:val="008B7162"/>
    <w:rsid w:val="008C1507"/>
    <w:rsid w:val="008C19A3"/>
    <w:rsid w:val="008C2501"/>
    <w:rsid w:val="008C383B"/>
    <w:rsid w:val="008C3A5F"/>
    <w:rsid w:val="008C44A7"/>
    <w:rsid w:val="008C5671"/>
    <w:rsid w:val="008C59BA"/>
    <w:rsid w:val="008C5D4D"/>
    <w:rsid w:val="008C6671"/>
    <w:rsid w:val="008C739D"/>
    <w:rsid w:val="008C7707"/>
    <w:rsid w:val="008D1695"/>
    <w:rsid w:val="008D3273"/>
    <w:rsid w:val="008D3CA0"/>
    <w:rsid w:val="008D4696"/>
    <w:rsid w:val="008D6805"/>
    <w:rsid w:val="008D6CA8"/>
    <w:rsid w:val="008D733D"/>
    <w:rsid w:val="008E0A95"/>
    <w:rsid w:val="008E136A"/>
    <w:rsid w:val="008E14A5"/>
    <w:rsid w:val="008E2336"/>
    <w:rsid w:val="008E27A7"/>
    <w:rsid w:val="008E33F9"/>
    <w:rsid w:val="008E34A2"/>
    <w:rsid w:val="008E34AE"/>
    <w:rsid w:val="008E4D1F"/>
    <w:rsid w:val="008E694D"/>
    <w:rsid w:val="008E78B4"/>
    <w:rsid w:val="008F047E"/>
    <w:rsid w:val="008F2841"/>
    <w:rsid w:val="008F2959"/>
    <w:rsid w:val="008F399F"/>
    <w:rsid w:val="008F39F1"/>
    <w:rsid w:val="008F432C"/>
    <w:rsid w:val="008F7ADB"/>
    <w:rsid w:val="009001B0"/>
    <w:rsid w:val="00900940"/>
    <w:rsid w:val="0090288E"/>
    <w:rsid w:val="009038F9"/>
    <w:rsid w:val="00905028"/>
    <w:rsid w:val="009055D6"/>
    <w:rsid w:val="00905AAB"/>
    <w:rsid w:val="009068C3"/>
    <w:rsid w:val="00906F53"/>
    <w:rsid w:val="0090775D"/>
    <w:rsid w:val="00910432"/>
    <w:rsid w:val="0091050C"/>
    <w:rsid w:val="00911865"/>
    <w:rsid w:val="00911A8D"/>
    <w:rsid w:val="009139AF"/>
    <w:rsid w:val="009148EC"/>
    <w:rsid w:val="00914BFD"/>
    <w:rsid w:val="00914CD2"/>
    <w:rsid w:val="00915EF9"/>
    <w:rsid w:val="009174F6"/>
    <w:rsid w:val="00917A99"/>
    <w:rsid w:val="00921BFB"/>
    <w:rsid w:val="00921EF9"/>
    <w:rsid w:val="00922AFA"/>
    <w:rsid w:val="00922BF2"/>
    <w:rsid w:val="009234FD"/>
    <w:rsid w:val="00923665"/>
    <w:rsid w:val="00924258"/>
    <w:rsid w:val="00924973"/>
    <w:rsid w:val="00924ED5"/>
    <w:rsid w:val="0092631A"/>
    <w:rsid w:val="009311DF"/>
    <w:rsid w:val="009314B6"/>
    <w:rsid w:val="0093152E"/>
    <w:rsid w:val="009315A3"/>
    <w:rsid w:val="00931779"/>
    <w:rsid w:val="00931E42"/>
    <w:rsid w:val="0093252C"/>
    <w:rsid w:val="0093283A"/>
    <w:rsid w:val="0093430F"/>
    <w:rsid w:val="00935AC3"/>
    <w:rsid w:val="00935EAC"/>
    <w:rsid w:val="00937529"/>
    <w:rsid w:val="00940DF7"/>
    <w:rsid w:val="00940F2E"/>
    <w:rsid w:val="00942405"/>
    <w:rsid w:val="00942818"/>
    <w:rsid w:val="00942AD5"/>
    <w:rsid w:val="00942F66"/>
    <w:rsid w:val="00943510"/>
    <w:rsid w:val="00943A66"/>
    <w:rsid w:val="00944371"/>
    <w:rsid w:val="00944529"/>
    <w:rsid w:val="00944CB3"/>
    <w:rsid w:val="00944D10"/>
    <w:rsid w:val="009450BA"/>
    <w:rsid w:val="009454B6"/>
    <w:rsid w:val="00946929"/>
    <w:rsid w:val="00946D29"/>
    <w:rsid w:val="009474F2"/>
    <w:rsid w:val="00950E7E"/>
    <w:rsid w:val="00952AEF"/>
    <w:rsid w:val="00955C33"/>
    <w:rsid w:val="0095625A"/>
    <w:rsid w:val="00956446"/>
    <w:rsid w:val="00957B4C"/>
    <w:rsid w:val="009603BF"/>
    <w:rsid w:val="00960F24"/>
    <w:rsid w:val="00960FAF"/>
    <w:rsid w:val="0096172B"/>
    <w:rsid w:val="00961C91"/>
    <w:rsid w:val="00962AB8"/>
    <w:rsid w:val="00962CB7"/>
    <w:rsid w:val="00962E64"/>
    <w:rsid w:val="00963AA3"/>
    <w:rsid w:val="00963B80"/>
    <w:rsid w:val="00966080"/>
    <w:rsid w:val="0096628F"/>
    <w:rsid w:val="009664DD"/>
    <w:rsid w:val="00966F48"/>
    <w:rsid w:val="0096744E"/>
    <w:rsid w:val="009704A0"/>
    <w:rsid w:val="00970792"/>
    <w:rsid w:val="00970EB5"/>
    <w:rsid w:val="00971E1A"/>
    <w:rsid w:val="00971EE1"/>
    <w:rsid w:val="00973197"/>
    <w:rsid w:val="00973E14"/>
    <w:rsid w:val="009753FB"/>
    <w:rsid w:val="00975439"/>
    <w:rsid w:val="009756E8"/>
    <w:rsid w:val="00977317"/>
    <w:rsid w:val="009802E6"/>
    <w:rsid w:val="009804C2"/>
    <w:rsid w:val="00980C11"/>
    <w:rsid w:val="00981086"/>
    <w:rsid w:val="0098257D"/>
    <w:rsid w:val="0098302F"/>
    <w:rsid w:val="009831C8"/>
    <w:rsid w:val="00983D28"/>
    <w:rsid w:val="0098474E"/>
    <w:rsid w:val="009857EB"/>
    <w:rsid w:val="00986110"/>
    <w:rsid w:val="009869D5"/>
    <w:rsid w:val="00987232"/>
    <w:rsid w:val="009877E3"/>
    <w:rsid w:val="00990EC7"/>
    <w:rsid w:val="00991B95"/>
    <w:rsid w:val="00991D3E"/>
    <w:rsid w:val="00992840"/>
    <w:rsid w:val="00994C6F"/>
    <w:rsid w:val="00994CC4"/>
    <w:rsid w:val="00995379"/>
    <w:rsid w:val="009968AC"/>
    <w:rsid w:val="00996911"/>
    <w:rsid w:val="00996DB9"/>
    <w:rsid w:val="009976E7"/>
    <w:rsid w:val="009A044E"/>
    <w:rsid w:val="009A10AD"/>
    <w:rsid w:val="009A10DD"/>
    <w:rsid w:val="009A11ED"/>
    <w:rsid w:val="009A1795"/>
    <w:rsid w:val="009A1CB0"/>
    <w:rsid w:val="009A2547"/>
    <w:rsid w:val="009A4D66"/>
    <w:rsid w:val="009A5821"/>
    <w:rsid w:val="009A63A6"/>
    <w:rsid w:val="009A65F0"/>
    <w:rsid w:val="009A67A1"/>
    <w:rsid w:val="009A7026"/>
    <w:rsid w:val="009A702B"/>
    <w:rsid w:val="009A7D0C"/>
    <w:rsid w:val="009A7F30"/>
    <w:rsid w:val="009B069B"/>
    <w:rsid w:val="009B097A"/>
    <w:rsid w:val="009B10E0"/>
    <w:rsid w:val="009B18EB"/>
    <w:rsid w:val="009B27DF"/>
    <w:rsid w:val="009B36AF"/>
    <w:rsid w:val="009B393A"/>
    <w:rsid w:val="009B5A7A"/>
    <w:rsid w:val="009B7972"/>
    <w:rsid w:val="009B7A5A"/>
    <w:rsid w:val="009C0DD6"/>
    <w:rsid w:val="009C1B29"/>
    <w:rsid w:val="009C1C07"/>
    <w:rsid w:val="009C1F84"/>
    <w:rsid w:val="009C38DF"/>
    <w:rsid w:val="009C40F8"/>
    <w:rsid w:val="009C5A3E"/>
    <w:rsid w:val="009C6CC1"/>
    <w:rsid w:val="009D05F1"/>
    <w:rsid w:val="009D089E"/>
    <w:rsid w:val="009D094F"/>
    <w:rsid w:val="009D0BF3"/>
    <w:rsid w:val="009D0E88"/>
    <w:rsid w:val="009D1003"/>
    <w:rsid w:val="009D24D7"/>
    <w:rsid w:val="009D256E"/>
    <w:rsid w:val="009D2DB6"/>
    <w:rsid w:val="009D2EAF"/>
    <w:rsid w:val="009D2F47"/>
    <w:rsid w:val="009D2FB9"/>
    <w:rsid w:val="009D3067"/>
    <w:rsid w:val="009D39EE"/>
    <w:rsid w:val="009D3B45"/>
    <w:rsid w:val="009D4E78"/>
    <w:rsid w:val="009D5487"/>
    <w:rsid w:val="009D55B8"/>
    <w:rsid w:val="009D5F35"/>
    <w:rsid w:val="009D674E"/>
    <w:rsid w:val="009D6791"/>
    <w:rsid w:val="009D7835"/>
    <w:rsid w:val="009D7CDF"/>
    <w:rsid w:val="009D7EFC"/>
    <w:rsid w:val="009E05AC"/>
    <w:rsid w:val="009E1649"/>
    <w:rsid w:val="009E172B"/>
    <w:rsid w:val="009E1B55"/>
    <w:rsid w:val="009E204D"/>
    <w:rsid w:val="009E253A"/>
    <w:rsid w:val="009E25F5"/>
    <w:rsid w:val="009E39C0"/>
    <w:rsid w:val="009E4CE0"/>
    <w:rsid w:val="009E523E"/>
    <w:rsid w:val="009E5367"/>
    <w:rsid w:val="009E7B93"/>
    <w:rsid w:val="009F0062"/>
    <w:rsid w:val="009F0349"/>
    <w:rsid w:val="009F1E76"/>
    <w:rsid w:val="009F2FEB"/>
    <w:rsid w:val="009F3268"/>
    <w:rsid w:val="009F4230"/>
    <w:rsid w:val="009F4860"/>
    <w:rsid w:val="009F5F2C"/>
    <w:rsid w:val="009F6749"/>
    <w:rsid w:val="009F6A7F"/>
    <w:rsid w:val="009F6C56"/>
    <w:rsid w:val="00A0021A"/>
    <w:rsid w:val="00A0178C"/>
    <w:rsid w:val="00A01D67"/>
    <w:rsid w:val="00A02A33"/>
    <w:rsid w:val="00A02F5D"/>
    <w:rsid w:val="00A031CC"/>
    <w:rsid w:val="00A0323B"/>
    <w:rsid w:val="00A04192"/>
    <w:rsid w:val="00A04474"/>
    <w:rsid w:val="00A0482C"/>
    <w:rsid w:val="00A0762A"/>
    <w:rsid w:val="00A0776D"/>
    <w:rsid w:val="00A0778F"/>
    <w:rsid w:val="00A1004D"/>
    <w:rsid w:val="00A1182A"/>
    <w:rsid w:val="00A13922"/>
    <w:rsid w:val="00A13DB8"/>
    <w:rsid w:val="00A13F1D"/>
    <w:rsid w:val="00A1482D"/>
    <w:rsid w:val="00A14AA1"/>
    <w:rsid w:val="00A155ED"/>
    <w:rsid w:val="00A15F37"/>
    <w:rsid w:val="00A16191"/>
    <w:rsid w:val="00A163E3"/>
    <w:rsid w:val="00A220C0"/>
    <w:rsid w:val="00A22229"/>
    <w:rsid w:val="00A2295F"/>
    <w:rsid w:val="00A22A52"/>
    <w:rsid w:val="00A23246"/>
    <w:rsid w:val="00A24A2E"/>
    <w:rsid w:val="00A25889"/>
    <w:rsid w:val="00A2710F"/>
    <w:rsid w:val="00A3034C"/>
    <w:rsid w:val="00A325EE"/>
    <w:rsid w:val="00A338A1"/>
    <w:rsid w:val="00A349CB"/>
    <w:rsid w:val="00A34E5A"/>
    <w:rsid w:val="00A3508F"/>
    <w:rsid w:val="00A35D8A"/>
    <w:rsid w:val="00A362BC"/>
    <w:rsid w:val="00A364F7"/>
    <w:rsid w:val="00A36DDD"/>
    <w:rsid w:val="00A378ED"/>
    <w:rsid w:val="00A425BA"/>
    <w:rsid w:val="00A42EEB"/>
    <w:rsid w:val="00A430E2"/>
    <w:rsid w:val="00A4316F"/>
    <w:rsid w:val="00A44A0C"/>
    <w:rsid w:val="00A454B6"/>
    <w:rsid w:val="00A4559F"/>
    <w:rsid w:val="00A45FC0"/>
    <w:rsid w:val="00A472F8"/>
    <w:rsid w:val="00A50571"/>
    <w:rsid w:val="00A50AEA"/>
    <w:rsid w:val="00A5314F"/>
    <w:rsid w:val="00A53F81"/>
    <w:rsid w:val="00A54055"/>
    <w:rsid w:val="00A54B25"/>
    <w:rsid w:val="00A55882"/>
    <w:rsid w:val="00A5590F"/>
    <w:rsid w:val="00A569E0"/>
    <w:rsid w:val="00A56B6B"/>
    <w:rsid w:val="00A60311"/>
    <w:rsid w:val="00A60546"/>
    <w:rsid w:val="00A61107"/>
    <w:rsid w:val="00A63EEE"/>
    <w:rsid w:val="00A6445C"/>
    <w:rsid w:val="00A66F1E"/>
    <w:rsid w:val="00A6760A"/>
    <w:rsid w:val="00A676D3"/>
    <w:rsid w:val="00A679AD"/>
    <w:rsid w:val="00A71142"/>
    <w:rsid w:val="00A711B7"/>
    <w:rsid w:val="00A7149F"/>
    <w:rsid w:val="00A72C93"/>
    <w:rsid w:val="00A72DB7"/>
    <w:rsid w:val="00A72FF3"/>
    <w:rsid w:val="00A7410C"/>
    <w:rsid w:val="00A754A0"/>
    <w:rsid w:val="00A76082"/>
    <w:rsid w:val="00A7784F"/>
    <w:rsid w:val="00A80A07"/>
    <w:rsid w:val="00A811D6"/>
    <w:rsid w:val="00A81F02"/>
    <w:rsid w:val="00A82860"/>
    <w:rsid w:val="00A82F07"/>
    <w:rsid w:val="00A832BA"/>
    <w:rsid w:val="00A8331B"/>
    <w:rsid w:val="00A84963"/>
    <w:rsid w:val="00A84D9C"/>
    <w:rsid w:val="00A85048"/>
    <w:rsid w:val="00A86552"/>
    <w:rsid w:val="00A86CD7"/>
    <w:rsid w:val="00A86D7C"/>
    <w:rsid w:val="00A8750A"/>
    <w:rsid w:val="00A9017B"/>
    <w:rsid w:val="00A90878"/>
    <w:rsid w:val="00A91266"/>
    <w:rsid w:val="00A9266A"/>
    <w:rsid w:val="00A9310D"/>
    <w:rsid w:val="00A9367D"/>
    <w:rsid w:val="00A950F4"/>
    <w:rsid w:val="00A9567A"/>
    <w:rsid w:val="00A96783"/>
    <w:rsid w:val="00A97098"/>
    <w:rsid w:val="00A97337"/>
    <w:rsid w:val="00A97B08"/>
    <w:rsid w:val="00A97D41"/>
    <w:rsid w:val="00A97F5A"/>
    <w:rsid w:val="00A97F92"/>
    <w:rsid w:val="00AA253F"/>
    <w:rsid w:val="00AA25AC"/>
    <w:rsid w:val="00AA28D2"/>
    <w:rsid w:val="00AA2D58"/>
    <w:rsid w:val="00AA4A27"/>
    <w:rsid w:val="00AA4C06"/>
    <w:rsid w:val="00AA5C1F"/>
    <w:rsid w:val="00AA62A7"/>
    <w:rsid w:val="00AA7E5F"/>
    <w:rsid w:val="00AB0ED1"/>
    <w:rsid w:val="00AB16F3"/>
    <w:rsid w:val="00AB23B0"/>
    <w:rsid w:val="00AB2567"/>
    <w:rsid w:val="00AB3537"/>
    <w:rsid w:val="00AB365A"/>
    <w:rsid w:val="00AB3A63"/>
    <w:rsid w:val="00AB4201"/>
    <w:rsid w:val="00AB453D"/>
    <w:rsid w:val="00AB48D1"/>
    <w:rsid w:val="00AB4CFC"/>
    <w:rsid w:val="00AB58F2"/>
    <w:rsid w:val="00AB5E9F"/>
    <w:rsid w:val="00AB61EF"/>
    <w:rsid w:val="00AB689B"/>
    <w:rsid w:val="00AB7541"/>
    <w:rsid w:val="00AB7CDE"/>
    <w:rsid w:val="00AC0AAA"/>
    <w:rsid w:val="00AC1771"/>
    <w:rsid w:val="00AC1934"/>
    <w:rsid w:val="00AC277A"/>
    <w:rsid w:val="00AC41F9"/>
    <w:rsid w:val="00AC4EEC"/>
    <w:rsid w:val="00AC6C46"/>
    <w:rsid w:val="00AC6D5D"/>
    <w:rsid w:val="00AC6F64"/>
    <w:rsid w:val="00AC706B"/>
    <w:rsid w:val="00AC7487"/>
    <w:rsid w:val="00AC7B00"/>
    <w:rsid w:val="00AD03D9"/>
    <w:rsid w:val="00AD20AF"/>
    <w:rsid w:val="00AD25AD"/>
    <w:rsid w:val="00AD3A59"/>
    <w:rsid w:val="00AD3BBF"/>
    <w:rsid w:val="00AD613B"/>
    <w:rsid w:val="00AE079E"/>
    <w:rsid w:val="00AE0D0C"/>
    <w:rsid w:val="00AE1BA9"/>
    <w:rsid w:val="00AE2387"/>
    <w:rsid w:val="00AE4002"/>
    <w:rsid w:val="00AE6E19"/>
    <w:rsid w:val="00AE724E"/>
    <w:rsid w:val="00AE76A8"/>
    <w:rsid w:val="00AF09A0"/>
    <w:rsid w:val="00AF1091"/>
    <w:rsid w:val="00AF18A6"/>
    <w:rsid w:val="00AF18CA"/>
    <w:rsid w:val="00AF1CFD"/>
    <w:rsid w:val="00AF2306"/>
    <w:rsid w:val="00AF2617"/>
    <w:rsid w:val="00AF2AE5"/>
    <w:rsid w:val="00AF2B00"/>
    <w:rsid w:val="00AF3AD9"/>
    <w:rsid w:val="00AF4640"/>
    <w:rsid w:val="00AF5145"/>
    <w:rsid w:val="00AF58F3"/>
    <w:rsid w:val="00AF5ABA"/>
    <w:rsid w:val="00B00317"/>
    <w:rsid w:val="00B0149D"/>
    <w:rsid w:val="00B014EC"/>
    <w:rsid w:val="00B04FE2"/>
    <w:rsid w:val="00B05126"/>
    <w:rsid w:val="00B05777"/>
    <w:rsid w:val="00B05B5E"/>
    <w:rsid w:val="00B06527"/>
    <w:rsid w:val="00B10C3C"/>
    <w:rsid w:val="00B11271"/>
    <w:rsid w:val="00B112A5"/>
    <w:rsid w:val="00B116FF"/>
    <w:rsid w:val="00B118CF"/>
    <w:rsid w:val="00B12833"/>
    <w:rsid w:val="00B12D4B"/>
    <w:rsid w:val="00B140E9"/>
    <w:rsid w:val="00B14557"/>
    <w:rsid w:val="00B1471D"/>
    <w:rsid w:val="00B15438"/>
    <w:rsid w:val="00B17281"/>
    <w:rsid w:val="00B2131B"/>
    <w:rsid w:val="00B21BF3"/>
    <w:rsid w:val="00B222E2"/>
    <w:rsid w:val="00B230A8"/>
    <w:rsid w:val="00B2310C"/>
    <w:rsid w:val="00B23328"/>
    <w:rsid w:val="00B233EC"/>
    <w:rsid w:val="00B23B81"/>
    <w:rsid w:val="00B242B1"/>
    <w:rsid w:val="00B24E54"/>
    <w:rsid w:val="00B25994"/>
    <w:rsid w:val="00B27646"/>
    <w:rsid w:val="00B31A01"/>
    <w:rsid w:val="00B31E3C"/>
    <w:rsid w:val="00B32C18"/>
    <w:rsid w:val="00B33037"/>
    <w:rsid w:val="00B33732"/>
    <w:rsid w:val="00B3483B"/>
    <w:rsid w:val="00B35C7E"/>
    <w:rsid w:val="00B36448"/>
    <w:rsid w:val="00B377F6"/>
    <w:rsid w:val="00B416B1"/>
    <w:rsid w:val="00B418F4"/>
    <w:rsid w:val="00B426A2"/>
    <w:rsid w:val="00B43376"/>
    <w:rsid w:val="00B44209"/>
    <w:rsid w:val="00B44CCC"/>
    <w:rsid w:val="00B44EAC"/>
    <w:rsid w:val="00B465C8"/>
    <w:rsid w:val="00B472C9"/>
    <w:rsid w:val="00B47F43"/>
    <w:rsid w:val="00B506AC"/>
    <w:rsid w:val="00B50773"/>
    <w:rsid w:val="00B50D1B"/>
    <w:rsid w:val="00B50E2C"/>
    <w:rsid w:val="00B51364"/>
    <w:rsid w:val="00B517ED"/>
    <w:rsid w:val="00B52041"/>
    <w:rsid w:val="00B52F1D"/>
    <w:rsid w:val="00B53170"/>
    <w:rsid w:val="00B536A8"/>
    <w:rsid w:val="00B53B00"/>
    <w:rsid w:val="00B54AE6"/>
    <w:rsid w:val="00B54F8C"/>
    <w:rsid w:val="00B551CF"/>
    <w:rsid w:val="00B56D06"/>
    <w:rsid w:val="00B5765A"/>
    <w:rsid w:val="00B60C22"/>
    <w:rsid w:val="00B616A0"/>
    <w:rsid w:val="00B620CA"/>
    <w:rsid w:val="00B6232A"/>
    <w:rsid w:val="00B62B8F"/>
    <w:rsid w:val="00B6475C"/>
    <w:rsid w:val="00B649F7"/>
    <w:rsid w:val="00B667C6"/>
    <w:rsid w:val="00B66DB7"/>
    <w:rsid w:val="00B67ADB"/>
    <w:rsid w:val="00B70A7F"/>
    <w:rsid w:val="00B716B3"/>
    <w:rsid w:val="00B719C9"/>
    <w:rsid w:val="00B71C25"/>
    <w:rsid w:val="00B71D4B"/>
    <w:rsid w:val="00B7214B"/>
    <w:rsid w:val="00B73636"/>
    <w:rsid w:val="00B7370E"/>
    <w:rsid w:val="00B73C08"/>
    <w:rsid w:val="00B7439C"/>
    <w:rsid w:val="00B743D7"/>
    <w:rsid w:val="00B7657E"/>
    <w:rsid w:val="00B76793"/>
    <w:rsid w:val="00B76C42"/>
    <w:rsid w:val="00B76CBC"/>
    <w:rsid w:val="00B770C9"/>
    <w:rsid w:val="00B80C63"/>
    <w:rsid w:val="00B819ED"/>
    <w:rsid w:val="00B8390E"/>
    <w:rsid w:val="00B83CA3"/>
    <w:rsid w:val="00B84219"/>
    <w:rsid w:val="00B84275"/>
    <w:rsid w:val="00B84382"/>
    <w:rsid w:val="00B85068"/>
    <w:rsid w:val="00B85154"/>
    <w:rsid w:val="00B85546"/>
    <w:rsid w:val="00B85D8E"/>
    <w:rsid w:val="00B87377"/>
    <w:rsid w:val="00B87EA2"/>
    <w:rsid w:val="00B913AA"/>
    <w:rsid w:val="00B91481"/>
    <w:rsid w:val="00B91B01"/>
    <w:rsid w:val="00B9205C"/>
    <w:rsid w:val="00B925BA"/>
    <w:rsid w:val="00B9335D"/>
    <w:rsid w:val="00B94400"/>
    <w:rsid w:val="00B95673"/>
    <w:rsid w:val="00B961C8"/>
    <w:rsid w:val="00B96C2A"/>
    <w:rsid w:val="00B96FD4"/>
    <w:rsid w:val="00B97971"/>
    <w:rsid w:val="00BA04E1"/>
    <w:rsid w:val="00BA18D1"/>
    <w:rsid w:val="00BA19E0"/>
    <w:rsid w:val="00BA1F8A"/>
    <w:rsid w:val="00BA258C"/>
    <w:rsid w:val="00BA321E"/>
    <w:rsid w:val="00BA3EDB"/>
    <w:rsid w:val="00BA4441"/>
    <w:rsid w:val="00BA46B0"/>
    <w:rsid w:val="00BA47DA"/>
    <w:rsid w:val="00BA4E91"/>
    <w:rsid w:val="00BA5E59"/>
    <w:rsid w:val="00BA6D0B"/>
    <w:rsid w:val="00BA75F2"/>
    <w:rsid w:val="00BB0F17"/>
    <w:rsid w:val="00BB1A4D"/>
    <w:rsid w:val="00BB228F"/>
    <w:rsid w:val="00BB304B"/>
    <w:rsid w:val="00BB347F"/>
    <w:rsid w:val="00BB36ED"/>
    <w:rsid w:val="00BB50DE"/>
    <w:rsid w:val="00BB641A"/>
    <w:rsid w:val="00BB6DED"/>
    <w:rsid w:val="00BB79A4"/>
    <w:rsid w:val="00BB7A89"/>
    <w:rsid w:val="00BB7CBB"/>
    <w:rsid w:val="00BC08D4"/>
    <w:rsid w:val="00BC0CB8"/>
    <w:rsid w:val="00BC0EE4"/>
    <w:rsid w:val="00BC1B82"/>
    <w:rsid w:val="00BC1D46"/>
    <w:rsid w:val="00BC21D7"/>
    <w:rsid w:val="00BC4A61"/>
    <w:rsid w:val="00BC52EB"/>
    <w:rsid w:val="00BC5978"/>
    <w:rsid w:val="00BC5A14"/>
    <w:rsid w:val="00BD0100"/>
    <w:rsid w:val="00BD297C"/>
    <w:rsid w:val="00BD2BB6"/>
    <w:rsid w:val="00BD4509"/>
    <w:rsid w:val="00BD483C"/>
    <w:rsid w:val="00BD4931"/>
    <w:rsid w:val="00BD499A"/>
    <w:rsid w:val="00BD532D"/>
    <w:rsid w:val="00BD6F03"/>
    <w:rsid w:val="00BD6FDA"/>
    <w:rsid w:val="00BD77B5"/>
    <w:rsid w:val="00BD7A55"/>
    <w:rsid w:val="00BE00E4"/>
    <w:rsid w:val="00BE0270"/>
    <w:rsid w:val="00BE0809"/>
    <w:rsid w:val="00BE0965"/>
    <w:rsid w:val="00BE0D73"/>
    <w:rsid w:val="00BE0DD9"/>
    <w:rsid w:val="00BE180E"/>
    <w:rsid w:val="00BE19CD"/>
    <w:rsid w:val="00BE21A8"/>
    <w:rsid w:val="00BE2827"/>
    <w:rsid w:val="00BE2CB6"/>
    <w:rsid w:val="00BE331A"/>
    <w:rsid w:val="00BE391E"/>
    <w:rsid w:val="00BE4444"/>
    <w:rsid w:val="00BE48B7"/>
    <w:rsid w:val="00BE4C20"/>
    <w:rsid w:val="00BE53BC"/>
    <w:rsid w:val="00BE5574"/>
    <w:rsid w:val="00BE5CDB"/>
    <w:rsid w:val="00BE5DF3"/>
    <w:rsid w:val="00BE61B0"/>
    <w:rsid w:val="00BE6BFF"/>
    <w:rsid w:val="00BE74B4"/>
    <w:rsid w:val="00BE74D9"/>
    <w:rsid w:val="00BF01E3"/>
    <w:rsid w:val="00BF0B84"/>
    <w:rsid w:val="00BF19A0"/>
    <w:rsid w:val="00BF2280"/>
    <w:rsid w:val="00BF4843"/>
    <w:rsid w:val="00BF4B69"/>
    <w:rsid w:val="00BF5F81"/>
    <w:rsid w:val="00BF6456"/>
    <w:rsid w:val="00BF6462"/>
    <w:rsid w:val="00BF6F8D"/>
    <w:rsid w:val="00BF7738"/>
    <w:rsid w:val="00C00471"/>
    <w:rsid w:val="00C011B3"/>
    <w:rsid w:val="00C014C6"/>
    <w:rsid w:val="00C01839"/>
    <w:rsid w:val="00C01BF8"/>
    <w:rsid w:val="00C02043"/>
    <w:rsid w:val="00C04F50"/>
    <w:rsid w:val="00C05E06"/>
    <w:rsid w:val="00C06FED"/>
    <w:rsid w:val="00C0702F"/>
    <w:rsid w:val="00C076D3"/>
    <w:rsid w:val="00C1041E"/>
    <w:rsid w:val="00C1044E"/>
    <w:rsid w:val="00C10EB9"/>
    <w:rsid w:val="00C11E3B"/>
    <w:rsid w:val="00C1233D"/>
    <w:rsid w:val="00C12AFA"/>
    <w:rsid w:val="00C12E9A"/>
    <w:rsid w:val="00C1412B"/>
    <w:rsid w:val="00C15578"/>
    <w:rsid w:val="00C15648"/>
    <w:rsid w:val="00C16E21"/>
    <w:rsid w:val="00C17244"/>
    <w:rsid w:val="00C2000C"/>
    <w:rsid w:val="00C2020E"/>
    <w:rsid w:val="00C20265"/>
    <w:rsid w:val="00C20ECB"/>
    <w:rsid w:val="00C2112F"/>
    <w:rsid w:val="00C21CA1"/>
    <w:rsid w:val="00C21D7D"/>
    <w:rsid w:val="00C21FB0"/>
    <w:rsid w:val="00C24142"/>
    <w:rsid w:val="00C257EC"/>
    <w:rsid w:val="00C25B6F"/>
    <w:rsid w:val="00C25CA5"/>
    <w:rsid w:val="00C2605E"/>
    <w:rsid w:val="00C2648E"/>
    <w:rsid w:val="00C26B97"/>
    <w:rsid w:val="00C27BE2"/>
    <w:rsid w:val="00C30194"/>
    <w:rsid w:val="00C30F85"/>
    <w:rsid w:val="00C31129"/>
    <w:rsid w:val="00C313E7"/>
    <w:rsid w:val="00C3210B"/>
    <w:rsid w:val="00C34EEE"/>
    <w:rsid w:val="00C3561D"/>
    <w:rsid w:val="00C3654D"/>
    <w:rsid w:val="00C369FE"/>
    <w:rsid w:val="00C410EB"/>
    <w:rsid w:val="00C4196A"/>
    <w:rsid w:val="00C41CF2"/>
    <w:rsid w:val="00C41E47"/>
    <w:rsid w:val="00C42F00"/>
    <w:rsid w:val="00C43453"/>
    <w:rsid w:val="00C44924"/>
    <w:rsid w:val="00C45097"/>
    <w:rsid w:val="00C45C93"/>
    <w:rsid w:val="00C461EB"/>
    <w:rsid w:val="00C50077"/>
    <w:rsid w:val="00C51720"/>
    <w:rsid w:val="00C520D7"/>
    <w:rsid w:val="00C52B35"/>
    <w:rsid w:val="00C5372C"/>
    <w:rsid w:val="00C53769"/>
    <w:rsid w:val="00C53EEF"/>
    <w:rsid w:val="00C55CD2"/>
    <w:rsid w:val="00C55E91"/>
    <w:rsid w:val="00C562B4"/>
    <w:rsid w:val="00C56832"/>
    <w:rsid w:val="00C56C08"/>
    <w:rsid w:val="00C57869"/>
    <w:rsid w:val="00C60DF5"/>
    <w:rsid w:val="00C60FED"/>
    <w:rsid w:val="00C627A3"/>
    <w:rsid w:val="00C64C2F"/>
    <w:rsid w:val="00C6528A"/>
    <w:rsid w:val="00C6546A"/>
    <w:rsid w:val="00C66586"/>
    <w:rsid w:val="00C665F2"/>
    <w:rsid w:val="00C6749F"/>
    <w:rsid w:val="00C676D3"/>
    <w:rsid w:val="00C7054B"/>
    <w:rsid w:val="00C71439"/>
    <w:rsid w:val="00C72AE9"/>
    <w:rsid w:val="00C7375A"/>
    <w:rsid w:val="00C74048"/>
    <w:rsid w:val="00C74654"/>
    <w:rsid w:val="00C74775"/>
    <w:rsid w:val="00C74F0F"/>
    <w:rsid w:val="00C754A8"/>
    <w:rsid w:val="00C7556D"/>
    <w:rsid w:val="00C75F55"/>
    <w:rsid w:val="00C76725"/>
    <w:rsid w:val="00C81867"/>
    <w:rsid w:val="00C81AAE"/>
    <w:rsid w:val="00C81EBC"/>
    <w:rsid w:val="00C847AA"/>
    <w:rsid w:val="00C84C3A"/>
    <w:rsid w:val="00C86300"/>
    <w:rsid w:val="00C8679C"/>
    <w:rsid w:val="00C8685C"/>
    <w:rsid w:val="00C87645"/>
    <w:rsid w:val="00C87795"/>
    <w:rsid w:val="00C8788F"/>
    <w:rsid w:val="00C878A2"/>
    <w:rsid w:val="00C93936"/>
    <w:rsid w:val="00C948E7"/>
    <w:rsid w:val="00C963E5"/>
    <w:rsid w:val="00C967BE"/>
    <w:rsid w:val="00C96E4A"/>
    <w:rsid w:val="00C97546"/>
    <w:rsid w:val="00C975A8"/>
    <w:rsid w:val="00C97688"/>
    <w:rsid w:val="00C97773"/>
    <w:rsid w:val="00C9786B"/>
    <w:rsid w:val="00C97D39"/>
    <w:rsid w:val="00CA1482"/>
    <w:rsid w:val="00CA1957"/>
    <w:rsid w:val="00CA2159"/>
    <w:rsid w:val="00CA21E3"/>
    <w:rsid w:val="00CA2ACE"/>
    <w:rsid w:val="00CA3B1F"/>
    <w:rsid w:val="00CA3B41"/>
    <w:rsid w:val="00CA3BA7"/>
    <w:rsid w:val="00CA3D0C"/>
    <w:rsid w:val="00CA7866"/>
    <w:rsid w:val="00CA7F24"/>
    <w:rsid w:val="00CB0C31"/>
    <w:rsid w:val="00CB0D84"/>
    <w:rsid w:val="00CB1580"/>
    <w:rsid w:val="00CB1A38"/>
    <w:rsid w:val="00CB21B3"/>
    <w:rsid w:val="00CB4072"/>
    <w:rsid w:val="00CB484D"/>
    <w:rsid w:val="00CB517A"/>
    <w:rsid w:val="00CB61C9"/>
    <w:rsid w:val="00CB62EE"/>
    <w:rsid w:val="00CB7176"/>
    <w:rsid w:val="00CB730C"/>
    <w:rsid w:val="00CC0F4A"/>
    <w:rsid w:val="00CC0F68"/>
    <w:rsid w:val="00CC22B1"/>
    <w:rsid w:val="00CC2A03"/>
    <w:rsid w:val="00CC2C93"/>
    <w:rsid w:val="00CC2DC4"/>
    <w:rsid w:val="00CC384C"/>
    <w:rsid w:val="00CC3988"/>
    <w:rsid w:val="00CC52C9"/>
    <w:rsid w:val="00CC53F4"/>
    <w:rsid w:val="00CC5AF3"/>
    <w:rsid w:val="00CC68BF"/>
    <w:rsid w:val="00CC6958"/>
    <w:rsid w:val="00CC7C45"/>
    <w:rsid w:val="00CD13B1"/>
    <w:rsid w:val="00CD2107"/>
    <w:rsid w:val="00CD28EC"/>
    <w:rsid w:val="00CD2DC8"/>
    <w:rsid w:val="00CD561D"/>
    <w:rsid w:val="00CD6EF5"/>
    <w:rsid w:val="00CE052C"/>
    <w:rsid w:val="00CE0CE1"/>
    <w:rsid w:val="00CE20E9"/>
    <w:rsid w:val="00CE3DD3"/>
    <w:rsid w:val="00CE4053"/>
    <w:rsid w:val="00CE4954"/>
    <w:rsid w:val="00CE5016"/>
    <w:rsid w:val="00CE596E"/>
    <w:rsid w:val="00CE5FEF"/>
    <w:rsid w:val="00CF1160"/>
    <w:rsid w:val="00CF3482"/>
    <w:rsid w:val="00CF4940"/>
    <w:rsid w:val="00CF4CD4"/>
    <w:rsid w:val="00CF5293"/>
    <w:rsid w:val="00CF72AC"/>
    <w:rsid w:val="00D0011E"/>
    <w:rsid w:val="00D004E5"/>
    <w:rsid w:val="00D0136A"/>
    <w:rsid w:val="00D0142A"/>
    <w:rsid w:val="00D0150B"/>
    <w:rsid w:val="00D0280B"/>
    <w:rsid w:val="00D038D7"/>
    <w:rsid w:val="00D052E6"/>
    <w:rsid w:val="00D05DDB"/>
    <w:rsid w:val="00D073F9"/>
    <w:rsid w:val="00D07DD7"/>
    <w:rsid w:val="00D10717"/>
    <w:rsid w:val="00D1147F"/>
    <w:rsid w:val="00D13DF1"/>
    <w:rsid w:val="00D13EDA"/>
    <w:rsid w:val="00D15061"/>
    <w:rsid w:val="00D15D74"/>
    <w:rsid w:val="00D1722E"/>
    <w:rsid w:val="00D176B7"/>
    <w:rsid w:val="00D20B08"/>
    <w:rsid w:val="00D2261D"/>
    <w:rsid w:val="00D228B8"/>
    <w:rsid w:val="00D24515"/>
    <w:rsid w:val="00D24E61"/>
    <w:rsid w:val="00D2526B"/>
    <w:rsid w:val="00D266A9"/>
    <w:rsid w:val="00D27660"/>
    <w:rsid w:val="00D30E94"/>
    <w:rsid w:val="00D31401"/>
    <w:rsid w:val="00D324DA"/>
    <w:rsid w:val="00D3266B"/>
    <w:rsid w:val="00D32A14"/>
    <w:rsid w:val="00D32B43"/>
    <w:rsid w:val="00D33571"/>
    <w:rsid w:val="00D339A1"/>
    <w:rsid w:val="00D33CFC"/>
    <w:rsid w:val="00D344F3"/>
    <w:rsid w:val="00D3524B"/>
    <w:rsid w:val="00D357A4"/>
    <w:rsid w:val="00D36238"/>
    <w:rsid w:val="00D36EB1"/>
    <w:rsid w:val="00D375AE"/>
    <w:rsid w:val="00D4029D"/>
    <w:rsid w:val="00D44DF2"/>
    <w:rsid w:val="00D44EDE"/>
    <w:rsid w:val="00D451A5"/>
    <w:rsid w:val="00D451C1"/>
    <w:rsid w:val="00D45283"/>
    <w:rsid w:val="00D4541B"/>
    <w:rsid w:val="00D477C3"/>
    <w:rsid w:val="00D47CB0"/>
    <w:rsid w:val="00D47DE7"/>
    <w:rsid w:val="00D51271"/>
    <w:rsid w:val="00D51828"/>
    <w:rsid w:val="00D53179"/>
    <w:rsid w:val="00D53DC5"/>
    <w:rsid w:val="00D5465D"/>
    <w:rsid w:val="00D5517C"/>
    <w:rsid w:val="00D55406"/>
    <w:rsid w:val="00D55E9A"/>
    <w:rsid w:val="00D5615B"/>
    <w:rsid w:val="00D56E84"/>
    <w:rsid w:val="00D60759"/>
    <w:rsid w:val="00D6293F"/>
    <w:rsid w:val="00D662E4"/>
    <w:rsid w:val="00D670D3"/>
    <w:rsid w:val="00D67470"/>
    <w:rsid w:val="00D6792F"/>
    <w:rsid w:val="00D67B99"/>
    <w:rsid w:val="00D67FC9"/>
    <w:rsid w:val="00D70639"/>
    <w:rsid w:val="00D709B5"/>
    <w:rsid w:val="00D729D1"/>
    <w:rsid w:val="00D72B2A"/>
    <w:rsid w:val="00D736FB"/>
    <w:rsid w:val="00D73AAF"/>
    <w:rsid w:val="00D73B35"/>
    <w:rsid w:val="00D74B08"/>
    <w:rsid w:val="00D75B0B"/>
    <w:rsid w:val="00D77388"/>
    <w:rsid w:val="00D775D2"/>
    <w:rsid w:val="00D77855"/>
    <w:rsid w:val="00D80D94"/>
    <w:rsid w:val="00D8118D"/>
    <w:rsid w:val="00D82637"/>
    <w:rsid w:val="00D83283"/>
    <w:rsid w:val="00D83860"/>
    <w:rsid w:val="00D83D34"/>
    <w:rsid w:val="00D85155"/>
    <w:rsid w:val="00D85F3F"/>
    <w:rsid w:val="00D86169"/>
    <w:rsid w:val="00D8652F"/>
    <w:rsid w:val="00D86BF7"/>
    <w:rsid w:val="00D875E3"/>
    <w:rsid w:val="00D91421"/>
    <w:rsid w:val="00D91CBD"/>
    <w:rsid w:val="00D926E9"/>
    <w:rsid w:val="00D92B66"/>
    <w:rsid w:val="00D9348C"/>
    <w:rsid w:val="00D93CC1"/>
    <w:rsid w:val="00D93EB9"/>
    <w:rsid w:val="00D942A3"/>
    <w:rsid w:val="00D95384"/>
    <w:rsid w:val="00D9583F"/>
    <w:rsid w:val="00D96C34"/>
    <w:rsid w:val="00D970E9"/>
    <w:rsid w:val="00D97E49"/>
    <w:rsid w:val="00DA073F"/>
    <w:rsid w:val="00DA08BF"/>
    <w:rsid w:val="00DA12F6"/>
    <w:rsid w:val="00DA1419"/>
    <w:rsid w:val="00DA2603"/>
    <w:rsid w:val="00DA2818"/>
    <w:rsid w:val="00DA2876"/>
    <w:rsid w:val="00DA40F8"/>
    <w:rsid w:val="00DA4875"/>
    <w:rsid w:val="00DA4917"/>
    <w:rsid w:val="00DA4E73"/>
    <w:rsid w:val="00DA5117"/>
    <w:rsid w:val="00DA61B6"/>
    <w:rsid w:val="00DA68C1"/>
    <w:rsid w:val="00DA71E0"/>
    <w:rsid w:val="00DA7808"/>
    <w:rsid w:val="00DB35F8"/>
    <w:rsid w:val="00DB57B7"/>
    <w:rsid w:val="00DB67E5"/>
    <w:rsid w:val="00DB68CD"/>
    <w:rsid w:val="00DB73AB"/>
    <w:rsid w:val="00DB761D"/>
    <w:rsid w:val="00DB7C28"/>
    <w:rsid w:val="00DC13F9"/>
    <w:rsid w:val="00DC1D72"/>
    <w:rsid w:val="00DC2E2C"/>
    <w:rsid w:val="00DC4E8F"/>
    <w:rsid w:val="00DC545A"/>
    <w:rsid w:val="00DC585F"/>
    <w:rsid w:val="00DC77F2"/>
    <w:rsid w:val="00DC78DB"/>
    <w:rsid w:val="00DC7F7D"/>
    <w:rsid w:val="00DD028A"/>
    <w:rsid w:val="00DD08C1"/>
    <w:rsid w:val="00DD19C8"/>
    <w:rsid w:val="00DD2278"/>
    <w:rsid w:val="00DD4F3E"/>
    <w:rsid w:val="00DD67A9"/>
    <w:rsid w:val="00DD6EA5"/>
    <w:rsid w:val="00DD75C0"/>
    <w:rsid w:val="00DD7C85"/>
    <w:rsid w:val="00DE2574"/>
    <w:rsid w:val="00DE2C5D"/>
    <w:rsid w:val="00DE36B6"/>
    <w:rsid w:val="00DE4BD0"/>
    <w:rsid w:val="00DE58C9"/>
    <w:rsid w:val="00DE58D7"/>
    <w:rsid w:val="00DE62BC"/>
    <w:rsid w:val="00DE7572"/>
    <w:rsid w:val="00DE7BEA"/>
    <w:rsid w:val="00DE7DAF"/>
    <w:rsid w:val="00DF154D"/>
    <w:rsid w:val="00DF16FC"/>
    <w:rsid w:val="00DF19F6"/>
    <w:rsid w:val="00DF376E"/>
    <w:rsid w:val="00DF431A"/>
    <w:rsid w:val="00DF62C6"/>
    <w:rsid w:val="00DF6D21"/>
    <w:rsid w:val="00DF7C00"/>
    <w:rsid w:val="00E00BBD"/>
    <w:rsid w:val="00E01F2F"/>
    <w:rsid w:val="00E02136"/>
    <w:rsid w:val="00E02157"/>
    <w:rsid w:val="00E0219A"/>
    <w:rsid w:val="00E02370"/>
    <w:rsid w:val="00E02392"/>
    <w:rsid w:val="00E02F84"/>
    <w:rsid w:val="00E03E17"/>
    <w:rsid w:val="00E042FF"/>
    <w:rsid w:val="00E05C13"/>
    <w:rsid w:val="00E05C1A"/>
    <w:rsid w:val="00E064CA"/>
    <w:rsid w:val="00E065B2"/>
    <w:rsid w:val="00E06813"/>
    <w:rsid w:val="00E10053"/>
    <w:rsid w:val="00E111E4"/>
    <w:rsid w:val="00E11521"/>
    <w:rsid w:val="00E127AF"/>
    <w:rsid w:val="00E13B47"/>
    <w:rsid w:val="00E15933"/>
    <w:rsid w:val="00E15B99"/>
    <w:rsid w:val="00E16FAA"/>
    <w:rsid w:val="00E171C2"/>
    <w:rsid w:val="00E20598"/>
    <w:rsid w:val="00E20664"/>
    <w:rsid w:val="00E2148E"/>
    <w:rsid w:val="00E21C56"/>
    <w:rsid w:val="00E22425"/>
    <w:rsid w:val="00E23F67"/>
    <w:rsid w:val="00E24926"/>
    <w:rsid w:val="00E24E04"/>
    <w:rsid w:val="00E2580D"/>
    <w:rsid w:val="00E2583C"/>
    <w:rsid w:val="00E2789E"/>
    <w:rsid w:val="00E27F2F"/>
    <w:rsid w:val="00E30294"/>
    <w:rsid w:val="00E315D6"/>
    <w:rsid w:val="00E3258F"/>
    <w:rsid w:val="00E330AB"/>
    <w:rsid w:val="00E3317B"/>
    <w:rsid w:val="00E3386F"/>
    <w:rsid w:val="00E341F0"/>
    <w:rsid w:val="00E350BD"/>
    <w:rsid w:val="00E3540A"/>
    <w:rsid w:val="00E35AE0"/>
    <w:rsid w:val="00E36335"/>
    <w:rsid w:val="00E373B4"/>
    <w:rsid w:val="00E37B5C"/>
    <w:rsid w:val="00E37CF8"/>
    <w:rsid w:val="00E407AC"/>
    <w:rsid w:val="00E413A5"/>
    <w:rsid w:val="00E41AF8"/>
    <w:rsid w:val="00E4296A"/>
    <w:rsid w:val="00E43380"/>
    <w:rsid w:val="00E44274"/>
    <w:rsid w:val="00E44603"/>
    <w:rsid w:val="00E44F24"/>
    <w:rsid w:val="00E455B4"/>
    <w:rsid w:val="00E46FA7"/>
    <w:rsid w:val="00E46FBA"/>
    <w:rsid w:val="00E47328"/>
    <w:rsid w:val="00E479DF"/>
    <w:rsid w:val="00E505D8"/>
    <w:rsid w:val="00E50B83"/>
    <w:rsid w:val="00E51530"/>
    <w:rsid w:val="00E5252F"/>
    <w:rsid w:val="00E528C6"/>
    <w:rsid w:val="00E52B26"/>
    <w:rsid w:val="00E535BD"/>
    <w:rsid w:val="00E54596"/>
    <w:rsid w:val="00E55578"/>
    <w:rsid w:val="00E56000"/>
    <w:rsid w:val="00E56378"/>
    <w:rsid w:val="00E57208"/>
    <w:rsid w:val="00E57457"/>
    <w:rsid w:val="00E60175"/>
    <w:rsid w:val="00E6160E"/>
    <w:rsid w:val="00E63F00"/>
    <w:rsid w:val="00E642DC"/>
    <w:rsid w:val="00E64E57"/>
    <w:rsid w:val="00E64F71"/>
    <w:rsid w:val="00E64FC2"/>
    <w:rsid w:val="00E65240"/>
    <w:rsid w:val="00E67590"/>
    <w:rsid w:val="00E67A1A"/>
    <w:rsid w:val="00E703B1"/>
    <w:rsid w:val="00E7045C"/>
    <w:rsid w:val="00E718EA"/>
    <w:rsid w:val="00E71A6E"/>
    <w:rsid w:val="00E72E55"/>
    <w:rsid w:val="00E733D4"/>
    <w:rsid w:val="00E74228"/>
    <w:rsid w:val="00E74759"/>
    <w:rsid w:val="00E74A24"/>
    <w:rsid w:val="00E74E48"/>
    <w:rsid w:val="00E76B64"/>
    <w:rsid w:val="00E76BBE"/>
    <w:rsid w:val="00E77101"/>
    <w:rsid w:val="00E808C9"/>
    <w:rsid w:val="00E80943"/>
    <w:rsid w:val="00E8112D"/>
    <w:rsid w:val="00E81135"/>
    <w:rsid w:val="00E8148D"/>
    <w:rsid w:val="00E818C3"/>
    <w:rsid w:val="00E82DCF"/>
    <w:rsid w:val="00E84DC4"/>
    <w:rsid w:val="00E8561A"/>
    <w:rsid w:val="00E85DE8"/>
    <w:rsid w:val="00E86672"/>
    <w:rsid w:val="00E86E0C"/>
    <w:rsid w:val="00E87FB1"/>
    <w:rsid w:val="00E900CF"/>
    <w:rsid w:val="00E908C6"/>
    <w:rsid w:val="00E93450"/>
    <w:rsid w:val="00E9372A"/>
    <w:rsid w:val="00E93AFD"/>
    <w:rsid w:val="00E95441"/>
    <w:rsid w:val="00E97970"/>
    <w:rsid w:val="00E979A5"/>
    <w:rsid w:val="00E97C50"/>
    <w:rsid w:val="00EA03D8"/>
    <w:rsid w:val="00EA0DB1"/>
    <w:rsid w:val="00EA507E"/>
    <w:rsid w:val="00EA5747"/>
    <w:rsid w:val="00EA73BA"/>
    <w:rsid w:val="00EA7745"/>
    <w:rsid w:val="00EB0F28"/>
    <w:rsid w:val="00EB1892"/>
    <w:rsid w:val="00EB2336"/>
    <w:rsid w:val="00EB3B2C"/>
    <w:rsid w:val="00EB3F96"/>
    <w:rsid w:val="00EB3FA2"/>
    <w:rsid w:val="00EB4281"/>
    <w:rsid w:val="00EB4A81"/>
    <w:rsid w:val="00EB5264"/>
    <w:rsid w:val="00EB52AE"/>
    <w:rsid w:val="00EB60D0"/>
    <w:rsid w:val="00EC03D2"/>
    <w:rsid w:val="00EC0719"/>
    <w:rsid w:val="00EC09D5"/>
    <w:rsid w:val="00EC202F"/>
    <w:rsid w:val="00EC25AB"/>
    <w:rsid w:val="00EC3DF9"/>
    <w:rsid w:val="00EC4F93"/>
    <w:rsid w:val="00EC5679"/>
    <w:rsid w:val="00EC5764"/>
    <w:rsid w:val="00EC5DBE"/>
    <w:rsid w:val="00EC5DE6"/>
    <w:rsid w:val="00EC6C65"/>
    <w:rsid w:val="00ED0FC6"/>
    <w:rsid w:val="00ED1C3D"/>
    <w:rsid w:val="00ED2264"/>
    <w:rsid w:val="00ED23A2"/>
    <w:rsid w:val="00ED2B1D"/>
    <w:rsid w:val="00ED412E"/>
    <w:rsid w:val="00ED41A8"/>
    <w:rsid w:val="00ED44D2"/>
    <w:rsid w:val="00ED452D"/>
    <w:rsid w:val="00ED5035"/>
    <w:rsid w:val="00ED5703"/>
    <w:rsid w:val="00ED5DD6"/>
    <w:rsid w:val="00ED6AF2"/>
    <w:rsid w:val="00ED7BC1"/>
    <w:rsid w:val="00EE04D4"/>
    <w:rsid w:val="00EE0C71"/>
    <w:rsid w:val="00EE29BE"/>
    <w:rsid w:val="00EE3C34"/>
    <w:rsid w:val="00EE3CDA"/>
    <w:rsid w:val="00EF038F"/>
    <w:rsid w:val="00EF07C3"/>
    <w:rsid w:val="00EF1944"/>
    <w:rsid w:val="00EF26AE"/>
    <w:rsid w:val="00EF27B5"/>
    <w:rsid w:val="00EF493E"/>
    <w:rsid w:val="00EF607A"/>
    <w:rsid w:val="00EF6331"/>
    <w:rsid w:val="00EF6482"/>
    <w:rsid w:val="00EF71FF"/>
    <w:rsid w:val="00EF773B"/>
    <w:rsid w:val="00F00241"/>
    <w:rsid w:val="00F00777"/>
    <w:rsid w:val="00F01AED"/>
    <w:rsid w:val="00F02876"/>
    <w:rsid w:val="00F06185"/>
    <w:rsid w:val="00F064C3"/>
    <w:rsid w:val="00F109A7"/>
    <w:rsid w:val="00F10BFD"/>
    <w:rsid w:val="00F10D7E"/>
    <w:rsid w:val="00F11D60"/>
    <w:rsid w:val="00F12451"/>
    <w:rsid w:val="00F12F74"/>
    <w:rsid w:val="00F1303C"/>
    <w:rsid w:val="00F132E8"/>
    <w:rsid w:val="00F14FD4"/>
    <w:rsid w:val="00F15550"/>
    <w:rsid w:val="00F15E8D"/>
    <w:rsid w:val="00F175AF"/>
    <w:rsid w:val="00F205FB"/>
    <w:rsid w:val="00F20DD7"/>
    <w:rsid w:val="00F21CF8"/>
    <w:rsid w:val="00F22A61"/>
    <w:rsid w:val="00F2357B"/>
    <w:rsid w:val="00F23602"/>
    <w:rsid w:val="00F236DC"/>
    <w:rsid w:val="00F2464A"/>
    <w:rsid w:val="00F247BC"/>
    <w:rsid w:val="00F2482C"/>
    <w:rsid w:val="00F25233"/>
    <w:rsid w:val="00F25CBC"/>
    <w:rsid w:val="00F25EAF"/>
    <w:rsid w:val="00F26AC0"/>
    <w:rsid w:val="00F2719D"/>
    <w:rsid w:val="00F27940"/>
    <w:rsid w:val="00F27A13"/>
    <w:rsid w:val="00F27FA1"/>
    <w:rsid w:val="00F3032E"/>
    <w:rsid w:val="00F3124A"/>
    <w:rsid w:val="00F313E8"/>
    <w:rsid w:val="00F31EFE"/>
    <w:rsid w:val="00F3277D"/>
    <w:rsid w:val="00F32822"/>
    <w:rsid w:val="00F3329B"/>
    <w:rsid w:val="00F33D35"/>
    <w:rsid w:val="00F340F0"/>
    <w:rsid w:val="00F343CC"/>
    <w:rsid w:val="00F34F38"/>
    <w:rsid w:val="00F350F7"/>
    <w:rsid w:val="00F35253"/>
    <w:rsid w:val="00F36405"/>
    <w:rsid w:val="00F36950"/>
    <w:rsid w:val="00F371E7"/>
    <w:rsid w:val="00F3733F"/>
    <w:rsid w:val="00F3738F"/>
    <w:rsid w:val="00F37625"/>
    <w:rsid w:val="00F40055"/>
    <w:rsid w:val="00F41E87"/>
    <w:rsid w:val="00F42120"/>
    <w:rsid w:val="00F428F8"/>
    <w:rsid w:val="00F43B83"/>
    <w:rsid w:val="00F44EBF"/>
    <w:rsid w:val="00F45EB3"/>
    <w:rsid w:val="00F47502"/>
    <w:rsid w:val="00F47697"/>
    <w:rsid w:val="00F517F3"/>
    <w:rsid w:val="00F520B3"/>
    <w:rsid w:val="00F53132"/>
    <w:rsid w:val="00F531DC"/>
    <w:rsid w:val="00F538EF"/>
    <w:rsid w:val="00F53F88"/>
    <w:rsid w:val="00F54274"/>
    <w:rsid w:val="00F5456A"/>
    <w:rsid w:val="00F545FC"/>
    <w:rsid w:val="00F547FE"/>
    <w:rsid w:val="00F54E12"/>
    <w:rsid w:val="00F56446"/>
    <w:rsid w:val="00F573F1"/>
    <w:rsid w:val="00F57AF7"/>
    <w:rsid w:val="00F57CAC"/>
    <w:rsid w:val="00F61B21"/>
    <w:rsid w:val="00F61FFC"/>
    <w:rsid w:val="00F625CA"/>
    <w:rsid w:val="00F62A93"/>
    <w:rsid w:val="00F62AF9"/>
    <w:rsid w:val="00F62C6B"/>
    <w:rsid w:val="00F62CDB"/>
    <w:rsid w:val="00F62F06"/>
    <w:rsid w:val="00F644AD"/>
    <w:rsid w:val="00F646BE"/>
    <w:rsid w:val="00F64FF5"/>
    <w:rsid w:val="00F66320"/>
    <w:rsid w:val="00F663A8"/>
    <w:rsid w:val="00F66A76"/>
    <w:rsid w:val="00F674BA"/>
    <w:rsid w:val="00F6767A"/>
    <w:rsid w:val="00F67E6A"/>
    <w:rsid w:val="00F70A48"/>
    <w:rsid w:val="00F70BAD"/>
    <w:rsid w:val="00F71668"/>
    <w:rsid w:val="00F73140"/>
    <w:rsid w:val="00F74364"/>
    <w:rsid w:val="00F74666"/>
    <w:rsid w:val="00F751A4"/>
    <w:rsid w:val="00F7568A"/>
    <w:rsid w:val="00F77C1A"/>
    <w:rsid w:val="00F81073"/>
    <w:rsid w:val="00F812E4"/>
    <w:rsid w:val="00F815BB"/>
    <w:rsid w:val="00F825C9"/>
    <w:rsid w:val="00F8344B"/>
    <w:rsid w:val="00F83EEA"/>
    <w:rsid w:val="00F8461A"/>
    <w:rsid w:val="00F84BEC"/>
    <w:rsid w:val="00F852BE"/>
    <w:rsid w:val="00F8731D"/>
    <w:rsid w:val="00F87CAF"/>
    <w:rsid w:val="00F87FA4"/>
    <w:rsid w:val="00F90063"/>
    <w:rsid w:val="00F90A3D"/>
    <w:rsid w:val="00F90EC0"/>
    <w:rsid w:val="00F91222"/>
    <w:rsid w:val="00F92352"/>
    <w:rsid w:val="00F9267B"/>
    <w:rsid w:val="00F93B7A"/>
    <w:rsid w:val="00F94ACE"/>
    <w:rsid w:val="00F94AE5"/>
    <w:rsid w:val="00F94EAF"/>
    <w:rsid w:val="00F96581"/>
    <w:rsid w:val="00F96AF2"/>
    <w:rsid w:val="00F96F50"/>
    <w:rsid w:val="00F970A7"/>
    <w:rsid w:val="00F9738D"/>
    <w:rsid w:val="00FA1622"/>
    <w:rsid w:val="00FA1A3F"/>
    <w:rsid w:val="00FA2228"/>
    <w:rsid w:val="00FA2A03"/>
    <w:rsid w:val="00FA57BD"/>
    <w:rsid w:val="00FA59C4"/>
    <w:rsid w:val="00FA59C6"/>
    <w:rsid w:val="00FA5A3F"/>
    <w:rsid w:val="00FA5B04"/>
    <w:rsid w:val="00FA5F7E"/>
    <w:rsid w:val="00FA6AEF"/>
    <w:rsid w:val="00FB0167"/>
    <w:rsid w:val="00FB0EBB"/>
    <w:rsid w:val="00FB10F6"/>
    <w:rsid w:val="00FB13A2"/>
    <w:rsid w:val="00FB15EB"/>
    <w:rsid w:val="00FB19EB"/>
    <w:rsid w:val="00FB3A29"/>
    <w:rsid w:val="00FB41AF"/>
    <w:rsid w:val="00FB47DE"/>
    <w:rsid w:val="00FB4A1C"/>
    <w:rsid w:val="00FB60CC"/>
    <w:rsid w:val="00FB60FB"/>
    <w:rsid w:val="00FB6635"/>
    <w:rsid w:val="00FB6B37"/>
    <w:rsid w:val="00FB7510"/>
    <w:rsid w:val="00FC111B"/>
    <w:rsid w:val="00FC1DE5"/>
    <w:rsid w:val="00FC206B"/>
    <w:rsid w:val="00FC23C7"/>
    <w:rsid w:val="00FC2710"/>
    <w:rsid w:val="00FC3E40"/>
    <w:rsid w:val="00FC3FB7"/>
    <w:rsid w:val="00FC4378"/>
    <w:rsid w:val="00FC52C1"/>
    <w:rsid w:val="00FC5A6D"/>
    <w:rsid w:val="00FC5B2A"/>
    <w:rsid w:val="00FC65D0"/>
    <w:rsid w:val="00FC772C"/>
    <w:rsid w:val="00FC7DB1"/>
    <w:rsid w:val="00FD0284"/>
    <w:rsid w:val="00FD0BC0"/>
    <w:rsid w:val="00FD1078"/>
    <w:rsid w:val="00FD12DB"/>
    <w:rsid w:val="00FD1306"/>
    <w:rsid w:val="00FD3713"/>
    <w:rsid w:val="00FD4587"/>
    <w:rsid w:val="00FD57E2"/>
    <w:rsid w:val="00FD5B9B"/>
    <w:rsid w:val="00FD66DD"/>
    <w:rsid w:val="00FD6921"/>
    <w:rsid w:val="00FD77C2"/>
    <w:rsid w:val="00FE175F"/>
    <w:rsid w:val="00FE1F8E"/>
    <w:rsid w:val="00FE2ED7"/>
    <w:rsid w:val="00FE329D"/>
    <w:rsid w:val="00FE34B0"/>
    <w:rsid w:val="00FE3AFB"/>
    <w:rsid w:val="00FE3E6F"/>
    <w:rsid w:val="00FE400F"/>
    <w:rsid w:val="00FE4187"/>
    <w:rsid w:val="00FE58C5"/>
    <w:rsid w:val="00FE5ADE"/>
    <w:rsid w:val="00FE5C0B"/>
    <w:rsid w:val="00FE5E79"/>
    <w:rsid w:val="00FE788D"/>
    <w:rsid w:val="00FE797F"/>
    <w:rsid w:val="00FF052C"/>
    <w:rsid w:val="00FF05CB"/>
    <w:rsid w:val="00FF1B26"/>
    <w:rsid w:val="00FF211E"/>
    <w:rsid w:val="00FF27FB"/>
    <w:rsid w:val="00FF31B0"/>
    <w:rsid w:val="00FF3E5C"/>
    <w:rsid w:val="00FF4658"/>
    <w:rsid w:val="00FF473D"/>
    <w:rsid w:val="00FF4E8A"/>
    <w:rsid w:val="00FF556A"/>
    <w:rsid w:val="00FF5D50"/>
    <w:rsid w:val="00FF609F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8FD0"/>
  <w15:docId w15:val="{A3C56C42-C2BB-4C69-A941-45FEB851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5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74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7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651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2AFA"/>
    <w:rPr>
      <w:b/>
      <w:bCs/>
    </w:rPr>
  </w:style>
  <w:style w:type="paragraph" w:customStyle="1" w:styleId="THnorm">
    <w:name w:val="TH norm"/>
    <w:basedOn w:val="Normln"/>
    <w:rsid w:val="006A7BEA"/>
    <w:pPr>
      <w:tabs>
        <w:tab w:val="left" w:pos="0"/>
      </w:tabs>
      <w:overflowPunct/>
      <w:autoSpaceDE/>
      <w:autoSpaceDN/>
      <w:adjustRightInd/>
      <w:spacing w:after="120"/>
      <w:ind w:firstLine="709"/>
      <w:textAlignment w:val="auto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8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44E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AC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A19E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1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7BD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7BDA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F7BDA"/>
    <w:rPr>
      <w:vertAlign w:val="superscript"/>
    </w:rPr>
  </w:style>
  <w:style w:type="paragraph" w:customStyle="1" w:styleId="xmsonormal">
    <w:name w:val="xmsonormal"/>
    <w:basedOn w:val="Normln"/>
    <w:rsid w:val="000510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xpk-token">
    <w:name w:val="xpk-token"/>
    <w:basedOn w:val="Standardnpsmoodstavce"/>
    <w:rsid w:val="00051022"/>
  </w:style>
  <w:style w:type="paragraph" w:customStyle="1" w:styleId="xmsonormal0">
    <w:name w:val="x_msonormal"/>
    <w:basedOn w:val="Normln"/>
    <w:rsid w:val="00162D23"/>
    <w:pPr>
      <w:overflowPunct/>
      <w:autoSpaceDE/>
      <w:autoSpaceDN/>
      <w:adjustRightInd/>
      <w:jc w:val="left"/>
      <w:textAlignment w:val="auto"/>
    </w:pPr>
    <w:rPr>
      <w:rFonts w:ascii="Calibri" w:eastAsiaTheme="minorHAnsi" w:hAnsi="Calibri" w:cs="Calibri"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A4A27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A4A2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A4A27"/>
    <w:rPr>
      <w:vertAlign w:val="superscript"/>
    </w:rPr>
  </w:style>
  <w:style w:type="paragraph" w:customStyle="1" w:styleId="CBANadpisvTABULCE">
    <w:name w:val="CBA Nadpis v TABULCE"/>
    <w:basedOn w:val="Normln"/>
    <w:qFormat/>
    <w:rsid w:val="0028530F"/>
    <w:pPr>
      <w:spacing w:before="120" w:after="120"/>
      <w:jc w:val="left"/>
    </w:pPr>
    <w:rPr>
      <w:b/>
      <w:bCs/>
      <w:color w:val="13576B"/>
    </w:rPr>
  </w:style>
  <w:style w:type="paragraph" w:customStyle="1" w:styleId="CBAodstavecvTABULCE">
    <w:name w:val="CBA odstavec v TABULCE"/>
    <w:basedOn w:val="Normln"/>
    <w:qFormat/>
    <w:rsid w:val="0028530F"/>
    <w:pPr>
      <w:spacing w:before="120" w:after="120"/>
      <w:jc w:val="left"/>
    </w:pPr>
    <w:rPr>
      <w:color w:val="13576B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177C9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177C9"/>
    <w:rPr>
      <w:rFonts w:ascii="Consolas" w:eastAsia="Times New Roman" w:hAnsi="Consolas" w:cs="Times New Roman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72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23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84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497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1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4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3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1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14">
          <w:marLeft w:val="0"/>
          <w:marRight w:val="1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19184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074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23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9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825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207539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89819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9834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5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20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629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1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445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4498602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4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4" w:color="000000"/>
                                <w:bottom w:val="single" w:sz="2" w:space="0" w:color="000000"/>
                                <w:right w:val="single" w:sz="2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1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2171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5556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820332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327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427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40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62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975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58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2086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9284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4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40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988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912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542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014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35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109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5660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60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1340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3292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7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96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8359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275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amonitor.cz/kategorie/cba-hypomonito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cbaonline.c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0CBE5B95D55468F8CF7D6D1C8CB6B" ma:contentTypeVersion="10" ma:contentTypeDescription="Create a new document." ma:contentTypeScope="" ma:versionID="03de8c559e19055c2732f6aae148e160">
  <xsd:schema xmlns:xsd="http://www.w3.org/2001/XMLSchema" xmlns:xs="http://www.w3.org/2001/XMLSchema" xmlns:p="http://schemas.microsoft.com/office/2006/metadata/properties" xmlns:ns3="b09ec118-0c61-46db-bb00-952e09940a1f" targetNamespace="http://schemas.microsoft.com/office/2006/metadata/properties" ma:root="true" ma:fieldsID="a58f24d30c88e6ff28d70a1926b856b7" ns3:_="">
    <xsd:import namespace="b09ec118-0c61-46db-bb00-952e09940a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ec118-0c61-46db-bb00-952e09940a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9ec118-0c61-46db-bb00-952e09940a1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64796-18D1-44D3-AEB3-40E112819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ec118-0c61-46db-bb00-952e09940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9F6F5-D843-4129-900A-FD170C2ABB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B935B7-8C88-4CAE-A0AA-13A352B0843E}">
  <ds:schemaRefs>
    <ds:schemaRef ds:uri="http://schemas.microsoft.com/office/2006/metadata/properties"/>
    <ds:schemaRef ds:uri="http://schemas.microsoft.com/office/infopath/2007/PartnerControls"/>
    <ds:schemaRef ds:uri="b09ec118-0c61-46db-bb00-952e09940a1f"/>
  </ds:schemaRefs>
</ds:datastoreItem>
</file>

<file path=customXml/itemProps4.xml><?xml version="1.0" encoding="utf-8"?>
<ds:datastoreItem xmlns:ds="http://schemas.openxmlformats.org/officeDocument/2006/customXml" ds:itemID="{90F695EA-D77D-4F66-A87E-5245D7A92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1873</Words>
  <Characters>9573</Characters>
  <Application>Microsoft Office Word</Application>
  <DocSecurity>0</DocSecurity>
  <Lines>290</Lines>
  <Paragraphs>143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vlachova</dc:creator>
  <cp:lastModifiedBy>Duffek, Adam (ČBA)</cp:lastModifiedBy>
  <cp:revision>3</cp:revision>
  <cp:lastPrinted>2024-08-12T11:42:00Z</cp:lastPrinted>
  <dcterms:created xsi:type="dcterms:W3CDTF">2025-03-13T15:01:00Z</dcterms:created>
  <dcterms:modified xsi:type="dcterms:W3CDTF">2025-03-13T15:03:00Z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0x0101004DC0CBE5B95D55468F8CF7D6D1C8CB6B</vt:lpwstr>
  </property>
</Properties>
</file>