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D554" w14:textId="77777777" w:rsidR="003255BD" w:rsidRPr="000A2122" w:rsidRDefault="003255BD">
      <w:pPr>
        <w:rPr>
          <w:rFonts w:ascii="Arial" w:hAnsi="Arial" w:cs="Arial"/>
        </w:rPr>
      </w:pPr>
    </w:p>
    <w:p w14:paraId="331D5D1A" w14:textId="77777777" w:rsidR="003255BD" w:rsidRPr="000A2122" w:rsidRDefault="003255BD">
      <w:pPr>
        <w:rPr>
          <w:rFonts w:ascii="Arial" w:hAnsi="Arial" w:cs="Arial"/>
        </w:rPr>
      </w:pPr>
    </w:p>
    <w:p w14:paraId="26524816" w14:textId="77777777" w:rsidR="003255BD" w:rsidRPr="000A2122" w:rsidRDefault="003255BD" w:rsidP="003255BD">
      <w:pPr>
        <w:rPr>
          <w:rFonts w:ascii="Arial" w:hAnsi="Arial" w:cs="Arial"/>
          <w:b/>
          <w:bCs/>
        </w:rPr>
      </w:pPr>
    </w:p>
    <w:tbl>
      <w:tblPr>
        <w:tblStyle w:val="Mkatabulky"/>
        <w:tblW w:w="9924" w:type="dxa"/>
        <w:tblInd w:w="-449" w:type="dxa"/>
        <w:tblBorders>
          <w:top w:val="none" w:sz="0" w:space="0" w:color="auto"/>
          <w:left w:val="single" w:sz="36" w:space="0" w:color="13576B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3255BD" w:rsidRPr="000A2122" w14:paraId="627BBF5C" w14:textId="77777777" w:rsidTr="00F11E70">
        <w:trPr>
          <w:trHeight w:val="619"/>
        </w:trPr>
        <w:tc>
          <w:tcPr>
            <w:tcW w:w="9924" w:type="dxa"/>
            <w:tcBorders>
              <w:left w:val="single" w:sz="18" w:space="0" w:color="13576B"/>
            </w:tcBorders>
            <w:vAlign w:val="center"/>
          </w:tcPr>
          <w:p w14:paraId="3DA44870" w14:textId="035F5D2E" w:rsidR="003255BD" w:rsidRPr="000A2122" w:rsidRDefault="003255BD" w:rsidP="00F11E70">
            <w:pPr>
              <w:spacing w:line="276" w:lineRule="auto"/>
              <w:rPr>
                <w:rFonts w:ascii="Arial" w:hAnsi="Arial" w:cs="Arial"/>
                <w:b/>
                <w:bCs/>
                <w:color w:val="13576B"/>
                <w:sz w:val="28"/>
                <w:szCs w:val="28"/>
              </w:rPr>
            </w:pPr>
            <w:r w:rsidRPr="000A2122">
              <w:rPr>
                <w:rFonts w:ascii="Arial" w:hAnsi="Arial" w:cs="Arial"/>
                <w:b/>
                <w:bCs/>
                <w:color w:val="13576B"/>
                <w:sz w:val="28"/>
                <w:szCs w:val="28"/>
              </w:rPr>
              <w:t xml:space="preserve">Český realitní trh </w:t>
            </w:r>
            <w:r w:rsidR="00B6130F" w:rsidRPr="000A2122">
              <w:rPr>
                <w:rFonts w:ascii="Arial" w:hAnsi="Arial" w:cs="Arial"/>
                <w:b/>
                <w:bCs/>
                <w:color w:val="13576B"/>
                <w:sz w:val="28"/>
                <w:szCs w:val="28"/>
              </w:rPr>
              <w:t>posílil více než</w:t>
            </w:r>
            <w:r w:rsidR="0070486B">
              <w:rPr>
                <w:rFonts w:ascii="Arial" w:hAnsi="Arial" w:cs="Arial"/>
                <w:b/>
                <w:bCs/>
                <w:color w:val="13576B"/>
                <w:sz w:val="28"/>
                <w:szCs w:val="28"/>
              </w:rPr>
              <w:t xml:space="preserve"> o</w:t>
            </w:r>
            <w:r w:rsidR="00B6130F" w:rsidRPr="000A2122">
              <w:rPr>
                <w:rFonts w:ascii="Arial" w:hAnsi="Arial" w:cs="Arial"/>
                <w:b/>
                <w:bCs/>
                <w:color w:val="13576B"/>
                <w:sz w:val="28"/>
                <w:szCs w:val="28"/>
              </w:rPr>
              <w:t xml:space="preserve"> třetinu</w:t>
            </w:r>
            <w:r w:rsidRPr="000A2122">
              <w:rPr>
                <w:rFonts w:ascii="Arial" w:hAnsi="Arial" w:cs="Arial"/>
                <w:b/>
                <w:bCs/>
                <w:color w:val="13576B"/>
                <w:sz w:val="28"/>
                <w:szCs w:val="28"/>
              </w:rPr>
              <w:t xml:space="preserve"> – </w:t>
            </w:r>
            <w:r w:rsidR="00B6130F" w:rsidRPr="000A2122">
              <w:rPr>
                <w:rFonts w:ascii="Arial" w:hAnsi="Arial" w:cs="Arial"/>
                <w:b/>
                <w:bCs/>
                <w:color w:val="13576B"/>
                <w:sz w:val="28"/>
                <w:szCs w:val="28"/>
              </w:rPr>
              <w:t xml:space="preserve">ceny nemovitostí stouply o </w:t>
            </w:r>
            <w:r w:rsidR="00F1097A" w:rsidRPr="0076410E">
              <w:rPr>
                <w:rFonts w:ascii="Arial" w:hAnsi="Arial" w:cs="Arial"/>
                <w:b/>
                <w:bCs/>
                <w:color w:val="13576B"/>
                <w:sz w:val="28"/>
                <w:szCs w:val="28"/>
              </w:rPr>
              <w:t>10,7 %</w:t>
            </w:r>
          </w:p>
        </w:tc>
      </w:tr>
    </w:tbl>
    <w:p w14:paraId="406921FC" w14:textId="77777777" w:rsidR="003255BD" w:rsidRPr="000A2122" w:rsidRDefault="003255BD" w:rsidP="003255BD">
      <w:pPr>
        <w:rPr>
          <w:rFonts w:ascii="Arial" w:hAnsi="Arial" w:cs="Arial"/>
        </w:rPr>
      </w:pPr>
    </w:p>
    <w:p w14:paraId="1C499A2A" w14:textId="6A0AEC8F" w:rsidR="003255BD" w:rsidRPr="000A2122" w:rsidRDefault="003255BD" w:rsidP="00C75CE1">
      <w:pPr>
        <w:spacing w:after="0"/>
        <w:ind w:left="-454" w:right="-454"/>
        <w:rPr>
          <w:rFonts w:ascii="Arial" w:hAnsi="Arial" w:cs="Arial"/>
          <w:b/>
          <w:bCs/>
        </w:rPr>
      </w:pPr>
      <w:r w:rsidRPr="000A2122">
        <w:rPr>
          <w:rFonts w:ascii="Arial" w:hAnsi="Arial" w:cs="Arial"/>
        </w:rPr>
        <w:t>Praha, 26. února 2025 –</w:t>
      </w:r>
      <w:r w:rsidR="00B6130F" w:rsidRPr="000A2122">
        <w:rPr>
          <w:rFonts w:ascii="Arial" w:hAnsi="Arial" w:cs="Arial"/>
        </w:rPr>
        <w:t xml:space="preserve"> </w:t>
      </w:r>
      <w:r w:rsidR="00C75CE1" w:rsidRPr="000A2122">
        <w:rPr>
          <w:rFonts w:ascii="Arial" w:hAnsi="Arial" w:cs="Arial"/>
          <w:b/>
          <w:bCs/>
        </w:rPr>
        <w:t>Realitní trh v Česku pokračoval</w:t>
      </w:r>
      <w:r w:rsidR="00A40156">
        <w:rPr>
          <w:rFonts w:ascii="Arial" w:hAnsi="Arial" w:cs="Arial"/>
          <w:b/>
          <w:bCs/>
        </w:rPr>
        <w:t xml:space="preserve"> i</w:t>
      </w:r>
      <w:r w:rsidR="00C75CE1" w:rsidRPr="000A2122">
        <w:rPr>
          <w:rFonts w:ascii="Arial" w:hAnsi="Arial" w:cs="Arial"/>
          <w:b/>
          <w:bCs/>
        </w:rPr>
        <w:t xml:space="preserve"> v loňském roce ve výrazném růstu. </w:t>
      </w:r>
      <w:r w:rsidR="00B6130F" w:rsidRPr="000A2122">
        <w:rPr>
          <w:rFonts w:ascii="Arial" w:hAnsi="Arial" w:cs="Arial"/>
          <w:b/>
          <w:bCs/>
        </w:rPr>
        <w:t xml:space="preserve">Prodeje nemovitostí </w:t>
      </w:r>
      <w:r w:rsidR="00C75CE1" w:rsidRPr="000A2122">
        <w:rPr>
          <w:rFonts w:ascii="Arial" w:hAnsi="Arial" w:cs="Arial"/>
          <w:b/>
          <w:bCs/>
        </w:rPr>
        <w:t xml:space="preserve">celkově </w:t>
      </w:r>
      <w:r w:rsidR="00B6130F" w:rsidRPr="0076410E">
        <w:rPr>
          <w:rFonts w:ascii="Arial" w:hAnsi="Arial" w:cs="Arial"/>
          <w:b/>
          <w:bCs/>
        </w:rPr>
        <w:t xml:space="preserve">vzrostly o silných </w:t>
      </w:r>
      <w:r w:rsidR="003F6DBC" w:rsidRPr="0076410E">
        <w:rPr>
          <w:rFonts w:ascii="Arial" w:hAnsi="Arial" w:cs="Arial"/>
          <w:b/>
          <w:bCs/>
        </w:rPr>
        <w:t>34</w:t>
      </w:r>
      <w:r w:rsidR="00B6130F" w:rsidRPr="0076410E">
        <w:rPr>
          <w:rFonts w:ascii="Arial" w:hAnsi="Arial" w:cs="Arial"/>
          <w:b/>
          <w:bCs/>
        </w:rPr>
        <w:t xml:space="preserve"> </w:t>
      </w:r>
      <w:r w:rsidR="00F1097A" w:rsidRPr="0076410E">
        <w:rPr>
          <w:rFonts w:ascii="Arial" w:hAnsi="Arial" w:cs="Arial"/>
          <w:b/>
          <w:bCs/>
        </w:rPr>
        <w:t xml:space="preserve">% </w:t>
      </w:r>
      <w:r w:rsidR="00B6130F" w:rsidRPr="0076410E">
        <w:rPr>
          <w:rFonts w:ascii="Arial" w:hAnsi="Arial" w:cs="Arial"/>
          <w:b/>
          <w:bCs/>
        </w:rPr>
        <w:t>procent.</w:t>
      </w:r>
      <w:r w:rsidR="00C75CE1" w:rsidRPr="000A2122">
        <w:rPr>
          <w:rFonts w:ascii="Arial" w:hAnsi="Arial" w:cs="Arial"/>
          <w:b/>
          <w:bCs/>
        </w:rPr>
        <w:t xml:space="preserve"> U novostaveb šlo dokonce o 51 </w:t>
      </w:r>
      <w:r w:rsidR="00C75CE1" w:rsidRPr="0076410E">
        <w:rPr>
          <w:rFonts w:ascii="Arial" w:hAnsi="Arial" w:cs="Arial"/>
          <w:b/>
          <w:bCs/>
        </w:rPr>
        <w:t xml:space="preserve">procent. </w:t>
      </w:r>
      <w:r w:rsidRPr="0076410E">
        <w:rPr>
          <w:rFonts w:ascii="Arial" w:hAnsi="Arial" w:cs="Arial"/>
          <w:b/>
          <w:bCs/>
        </w:rPr>
        <w:t xml:space="preserve">Trh </w:t>
      </w:r>
      <w:r w:rsidR="002879B7" w:rsidRPr="0076410E">
        <w:rPr>
          <w:rFonts w:ascii="Arial" w:hAnsi="Arial" w:cs="Arial"/>
          <w:b/>
          <w:bCs/>
        </w:rPr>
        <w:t>tak pokračuje</w:t>
      </w:r>
      <w:r w:rsidRPr="0076410E">
        <w:rPr>
          <w:rFonts w:ascii="Arial" w:hAnsi="Arial" w:cs="Arial"/>
          <w:b/>
          <w:bCs/>
        </w:rPr>
        <w:t xml:space="preserve"> po velmi silném růstu </w:t>
      </w:r>
      <w:r w:rsidR="003F6DBC" w:rsidRPr="0076410E">
        <w:rPr>
          <w:rFonts w:ascii="Arial" w:hAnsi="Arial" w:cs="Arial"/>
          <w:b/>
          <w:bCs/>
        </w:rPr>
        <w:t xml:space="preserve">aktivity </w:t>
      </w:r>
      <w:r w:rsidRPr="0076410E">
        <w:rPr>
          <w:rFonts w:ascii="Arial" w:hAnsi="Arial" w:cs="Arial"/>
          <w:b/>
          <w:bCs/>
        </w:rPr>
        <w:t xml:space="preserve">v roce 2023 </w:t>
      </w:r>
      <w:r w:rsidR="002879B7" w:rsidRPr="0076410E">
        <w:rPr>
          <w:rFonts w:ascii="Arial" w:hAnsi="Arial" w:cs="Arial"/>
          <w:b/>
          <w:bCs/>
        </w:rPr>
        <w:t xml:space="preserve">v </w:t>
      </w:r>
      <w:r w:rsidRPr="0076410E">
        <w:rPr>
          <w:rFonts w:ascii="Arial" w:hAnsi="Arial" w:cs="Arial"/>
          <w:b/>
          <w:bCs/>
        </w:rPr>
        <w:t>poměrně rychl</w:t>
      </w:r>
      <w:r w:rsidR="002879B7" w:rsidRPr="0076410E">
        <w:rPr>
          <w:rFonts w:ascii="Arial" w:hAnsi="Arial" w:cs="Arial"/>
          <w:b/>
          <w:bCs/>
        </w:rPr>
        <w:t>ém</w:t>
      </w:r>
      <w:r w:rsidRPr="0076410E">
        <w:rPr>
          <w:rFonts w:ascii="Arial" w:hAnsi="Arial" w:cs="Arial"/>
          <w:b/>
          <w:bCs/>
        </w:rPr>
        <w:t xml:space="preserve"> návrat</w:t>
      </w:r>
      <w:r w:rsidR="002879B7" w:rsidRPr="0076410E">
        <w:rPr>
          <w:rFonts w:ascii="Arial" w:hAnsi="Arial" w:cs="Arial"/>
          <w:b/>
          <w:bCs/>
        </w:rPr>
        <w:t>u</w:t>
      </w:r>
      <w:r w:rsidRPr="0076410E">
        <w:rPr>
          <w:rFonts w:ascii="Arial" w:hAnsi="Arial" w:cs="Arial"/>
          <w:b/>
          <w:bCs/>
        </w:rPr>
        <w:t xml:space="preserve"> do </w:t>
      </w:r>
      <w:r w:rsidR="002879B7" w:rsidRPr="0076410E">
        <w:rPr>
          <w:rFonts w:ascii="Arial" w:hAnsi="Arial" w:cs="Arial"/>
          <w:b/>
          <w:bCs/>
        </w:rPr>
        <w:t xml:space="preserve">hodnot </w:t>
      </w:r>
      <w:r w:rsidRPr="0076410E">
        <w:rPr>
          <w:rFonts w:ascii="Arial" w:hAnsi="Arial" w:cs="Arial"/>
          <w:b/>
          <w:bCs/>
        </w:rPr>
        <w:t>před krizí</w:t>
      </w:r>
      <w:r w:rsidR="0074208F" w:rsidRPr="0076410E">
        <w:rPr>
          <w:rFonts w:ascii="Arial" w:hAnsi="Arial" w:cs="Arial"/>
          <w:b/>
          <w:bCs/>
        </w:rPr>
        <w:t>.</w:t>
      </w:r>
      <w:r w:rsidR="00C75CE1" w:rsidRPr="0076410E">
        <w:rPr>
          <w:rFonts w:ascii="Arial" w:hAnsi="Arial" w:cs="Arial"/>
          <w:b/>
          <w:bCs/>
        </w:rPr>
        <w:t xml:space="preserve"> Ceny nemovitostí stouply v celorepublikovém průměru o </w:t>
      </w:r>
      <w:r w:rsidR="003F6DBC" w:rsidRPr="0076410E">
        <w:rPr>
          <w:rFonts w:ascii="Arial" w:hAnsi="Arial" w:cs="Arial"/>
          <w:b/>
          <w:bCs/>
        </w:rPr>
        <w:t>10,7</w:t>
      </w:r>
      <w:r w:rsidR="00C75CE1" w:rsidRPr="0076410E">
        <w:rPr>
          <w:rFonts w:ascii="Arial" w:hAnsi="Arial" w:cs="Arial"/>
          <w:b/>
          <w:bCs/>
        </w:rPr>
        <w:t xml:space="preserve"> procent. Výrazně posílil taky hypoteční trh, a to o 83 procent. </w:t>
      </w:r>
      <w:r w:rsidR="00A40156" w:rsidRPr="0076410E">
        <w:rPr>
          <w:rFonts w:ascii="Arial" w:hAnsi="Arial" w:cs="Arial"/>
          <w:b/>
          <w:bCs/>
        </w:rPr>
        <w:t>Z</w:t>
      </w:r>
      <w:r w:rsidR="00C75CE1" w:rsidRPr="0076410E">
        <w:rPr>
          <w:rFonts w:ascii="Arial" w:hAnsi="Arial" w:cs="Arial"/>
          <w:b/>
          <w:bCs/>
        </w:rPr>
        <w:t>ájem o úvěry na bydlení tak</w:t>
      </w:r>
      <w:r w:rsidR="00C75CE1" w:rsidRPr="000A2122">
        <w:rPr>
          <w:rFonts w:ascii="Arial" w:hAnsi="Arial" w:cs="Arial"/>
          <w:b/>
          <w:bCs/>
        </w:rPr>
        <w:t xml:space="preserve"> podpořil vysokou aktivitu na trhu nemovitostí. </w:t>
      </w:r>
      <w:r w:rsidR="0074208F" w:rsidRPr="000A2122">
        <w:rPr>
          <w:rFonts w:ascii="Arial" w:hAnsi="Arial" w:cs="Arial"/>
          <w:b/>
          <w:bCs/>
        </w:rPr>
        <w:t xml:space="preserve">Vyplývá to ze statistik České bankovní asociace a společnosti </w:t>
      </w:r>
      <w:proofErr w:type="spellStart"/>
      <w:r w:rsidR="0074208F" w:rsidRPr="000A2122">
        <w:rPr>
          <w:rFonts w:ascii="Arial" w:hAnsi="Arial" w:cs="Arial"/>
          <w:b/>
          <w:bCs/>
        </w:rPr>
        <w:t>Flat</w:t>
      </w:r>
      <w:proofErr w:type="spellEnd"/>
      <w:r w:rsidR="001D4C3D" w:rsidRPr="000A2122">
        <w:rPr>
          <w:rFonts w:ascii="Arial" w:hAnsi="Arial" w:cs="Arial"/>
          <w:b/>
          <w:bCs/>
        </w:rPr>
        <w:t xml:space="preserve"> </w:t>
      </w:r>
      <w:proofErr w:type="spellStart"/>
      <w:r w:rsidR="001D4C3D" w:rsidRPr="000A2122">
        <w:rPr>
          <w:rFonts w:ascii="Arial" w:hAnsi="Arial" w:cs="Arial"/>
          <w:b/>
          <w:bCs/>
        </w:rPr>
        <w:t>Z</w:t>
      </w:r>
      <w:r w:rsidR="0074208F" w:rsidRPr="000A2122">
        <w:rPr>
          <w:rFonts w:ascii="Arial" w:hAnsi="Arial" w:cs="Arial"/>
          <w:b/>
          <w:bCs/>
        </w:rPr>
        <w:t>one</w:t>
      </w:r>
      <w:proofErr w:type="spellEnd"/>
      <w:r w:rsidR="0074208F" w:rsidRPr="000A2122">
        <w:rPr>
          <w:rFonts w:ascii="Arial" w:hAnsi="Arial" w:cs="Arial"/>
          <w:b/>
          <w:bCs/>
        </w:rPr>
        <w:t>.</w:t>
      </w:r>
      <w:r w:rsidR="00A15EEC">
        <w:rPr>
          <w:rFonts w:ascii="Arial" w:hAnsi="Arial" w:cs="Arial"/>
          <w:b/>
          <w:bCs/>
        </w:rPr>
        <w:t xml:space="preserve"> </w:t>
      </w:r>
      <w:r w:rsidR="00C574D0">
        <w:rPr>
          <w:rFonts w:ascii="Arial" w:hAnsi="Arial" w:cs="Arial"/>
          <w:b/>
          <w:bCs/>
        </w:rPr>
        <w:t xml:space="preserve">Z regionálního srovnání vyplývá, že horší dostupnost bydlení v ČR není jen otázkou cen nemovitostí, ale i nižšího růstu mezd domácností. </w:t>
      </w:r>
      <w:r w:rsidR="0074208F" w:rsidRPr="000A2122">
        <w:rPr>
          <w:rFonts w:ascii="Arial" w:hAnsi="Arial" w:cs="Arial"/>
          <w:b/>
          <w:bCs/>
        </w:rPr>
        <w:t xml:space="preserve"> </w:t>
      </w:r>
    </w:p>
    <w:p w14:paraId="21D09FB6" w14:textId="77777777" w:rsidR="00C75CE1" w:rsidRPr="000A2122" w:rsidRDefault="00C75CE1" w:rsidP="00C75CE1">
      <w:pPr>
        <w:spacing w:after="0"/>
        <w:ind w:left="-454" w:right="-454"/>
        <w:rPr>
          <w:rFonts w:ascii="Arial" w:hAnsi="Arial" w:cs="Arial"/>
          <w:b/>
          <w:bCs/>
        </w:rPr>
      </w:pPr>
    </w:p>
    <w:p w14:paraId="105DCFF3" w14:textId="6FF79FEC" w:rsidR="00455441" w:rsidRPr="000A2122" w:rsidRDefault="00B6130F" w:rsidP="003255BD">
      <w:pPr>
        <w:spacing w:after="0"/>
        <w:ind w:left="-454" w:right="-454"/>
        <w:rPr>
          <w:rFonts w:ascii="Arial" w:hAnsi="Arial" w:cs="Arial"/>
          <w:b/>
          <w:bCs/>
        </w:rPr>
      </w:pPr>
      <w:r w:rsidRPr="000A2122">
        <w:rPr>
          <w:rFonts w:ascii="Arial" w:hAnsi="Arial" w:cs="Arial"/>
          <w:b/>
          <w:bCs/>
        </w:rPr>
        <w:t>Ceny nemovitostí vzrostly</w:t>
      </w:r>
      <w:r w:rsidR="00EF7B07" w:rsidRPr="000A2122">
        <w:rPr>
          <w:rFonts w:ascii="Arial" w:hAnsi="Arial" w:cs="Arial"/>
          <w:b/>
          <w:bCs/>
        </w:rPr>
        <w:t xml:space="preserve">, v Praze </w:t>
      </w:r>
      <w:r w:rsidR="00A40156">
        <w:rPr>
          <w:rFonts w:ascii="Arial" w:hAnsi="Arial" w:cs="Arial"/>
          <w:b/>
          <w:bCs/>
        </w:rPr>
        <w:t>nejv</w:t>
      </w:r>
      <w:r w:rsidR="00EF7B07" w:rsidRPr="000A2122">
        <w:rPr>
          <w:rFonts w:ascii="Arial" w:hAnsi="Arial" w:cs="Arial"/>
          <w:b/>
          <w:bCs/>
        </w:rPr>
        <w:t>ýrazně</w:t>
      </w:r>
      <w:r w:rsidR="00A40156">
        <w:rPr>
          <w:rFonts w:ascii="Arial" w:hAnsi="Arial" w:cs="Arial"/>
          <w:b/>
          <w:bCs/>
        </w:rPr>
        <w:t>ji</w:t>
      </w:r>
    </w:p>
    <w:p w14:paraId="1C52F36F" w14:textId="45CD5712" w:rsidR="00C75CE1" w:rsidRPr="000A2122" w:rsidRDefault="00C75CE1" w:rsidP="003255BD">
      <w:pPr>
        <w:spacing w:after="0"/>
        <w:ind w:left="-454" w:right="-454"/>
        <w:rPr>
          <w:rFonts w:ascii="Arial" w:hAnsi="Arial" w:cs="Arial"/>
        </w:rPr>
      </w:pPr>
      <w:r w:rsidRPr="000A2122">
        <w:rPr>
          <w:rFonts w:ascii="Arial" w:hAnsi="Arial" w:cs="Arial"/>
        </w:rPr>
        <w:t>Po propadu cen mezi</w:t>
      </w:r>
      <w:r w:rsidR="00A40156">
        <w:rPr>
          <w:rFonts w:ascii="Arial" w:hAnsi="Arial" w:cs="Arial"/>
        </w:rPr>
        <w:t xml:space="preserve"> lety</w:t>
      </w:r>
      <w:r w:rsidRPr="000A2122">
        <w:rPr>
          <w:rFonts w:ascii="Arial" w:hAnsi="Arial" w:cs="Arial"/>
        </w:rPr>
        <w:t xml:space="preserve"> 2022 a 2023 došlo v loňském roce k poměrně výraznému růstu cen bytů a domů.</w:t>
      </w:r>
      <w:r w:rsidR="00DA73EF" w:rsidRPr="000A2122">
        <w:rPr>
          <w:rFonts w:ascii="Arial" w:hAnsi="Arial" w:cs="Arial"/>
        </w:rPr>
        <w:t xml:space="preserve"> </w:t>
      </w:r>
      <w:r w:rsidR="00DA73EF" w:rsidRPr="000A2122">
        <w:rPr>
          <w:rFonts w:ascii="Arial" w:hAnsi="Arial" w:cs="Arial"/>
          <w:b/>
          <w:bCs/>
        </w:rPr>
        <w:t xml:space="preserve">V průměru ceny stouply o </w:t>
      </w:r>
      <w:r w:rsidR="003F6DBC" w:rsidRPr="0076410E">
        <w:rPr>
          <w:rFonts w:ascii="Arial" w:hAnsi="Arial" w:cs="Arial"/>
          <w:b/>
          <w:bCs/>
        </w:rPr>
        <w:t>10,7</w:t>
      </w:r>
      <w:r w:rsidR="00DA73EF" w:rsidRPr="0076410E">
        <w:rPr>
          <w:rFonts w:ascii="Arial" w:hAnsi="Arial" w:cs="Arial"/>
          <w:b/>
          <w:bCs/>
        </w:rPr>
        <w:t xml:space="preserve"> procent</w:t>
      </w:r>
      <w:r w:rsidR="00DA73EF" w:rsidRPr="000A2122">
        <w:rPr>
          <w:rFonts w:ascii="Arial" w:hAnsi="Arial" w:cs="Arial"/>
          <w:b/>
          <w:bCs/>
        </w:rPr>
        <w:t>.</w:t>
      </w:r>
      <w:r w:rsidR="00DA73EF" w:rsidRPr="000A2122">
        <w:rPr>
          <w:rFonts w:ascii="Arial" w:hAnsi="Arial" w:cs="Arial"/>
        </w:rPr>
        <w:t xml:space="preserve"> U starší bytové zástavby hodnota vzrostla o 10 procent na celorepublikové úrovni, stejné tempo růstu bylo v regionech a v Praze meziročně stoupla o 18 procent.</w:t>
      </w:r>
      <w:r w:rsidR="00EF7B07" w:rsidRPr="000A2122">
        <w:rPr>
          <w:rFonts w:ascii="Arial" w:hAnsi="Arial" w:cs="Arial"/>
        </w:rPr>
        <w:t xml:space="preserve"> Cihlové domy si drží výrazně vyšší hodnotu za metr čtvereční oproti panelovým domům</w:t>
      </w:r>
      <w:r w:rsidR="0046025E" w:rsidRPr="000A2122">
        <w:rPr>
          <w:rFonts w:ascii="Arial" w:hAnsi="Arial" w:cs="Arial"/>
        </w:rPr>
        <w:t xml:space="preserve">. </w:t>
      </w:r>
      <w:r w:rsidR="00EF7B07" w:rsidRPr="000A2122">
        <w:rPr>
          <w:rFonts w:ascii="Arial" w:hAnsi="Arial" w:cs="Arial"/>
        </w:rPr>
        <w:t xml:space="preserve">Ceny novostaveb rostly pozvolněji – v průměru o 8 </w:t>
      </w:r>
      <w:r w:rsidR="0096714E">
        <w:rPr>
          <w:rFonts w:ascii="Arial" w:hAnsi="Arial" w:cs="Arial"/>
        </w:rPr>
        <w:t>%</w:t>
      </w:r>
      <w:r w:rsidR="00EF7B07" w:rsidRPr="000A2122">
        <w:rPr>
          <w:rFonts w:ascii="Arial" w:hAnsi="Arial" w:cs="Arial"/>
        </w:rPr>
        <w:t xml:space="preserve">, v hlavním městě o 9 </w:t>
      </w:r>
      <w:r w:rsidR="00107646">
        <w:rPr>
          <w:rFonts w:ascii="Arial" w:hAnsi="Arial" w:cs="Arial"/>
        </w:rPr>
        <w:t>%</w:t>
      </w:r>
      <w:r w:rsidR="00EF7B07" w:rsidRPr="000A2122">
        <w:rPr>
          <w:rFonts w:ascii="Arial" w:hAnsi="Arial" w:cs="Arial"/>
        </w:rPr>
        <w:t xml:space="preserve">. Rodinné domy si pak v regionech i na celonárodní úrovni zachovaly téměř stejnou hodnotu, ale v Praze stouply o 15 </w:t>
      </w:r>
      <w:r w:rsidR="0096714E">
        <w:rPr>
          <w:rFonts w:ascii="Arial" w:hAnsi="Arial" w:cs="Arial"/>
        </w:rPr>
        <w:t>%</w:t>
      </w:r>
      <w:r w:rsidR="00EF7B07" w:rsidRPr="000A2122">
        <w:rPr>
          <w:rFonts w:ascii="Arial" w:hAnsi="Arial" w:cs="Arial"/>
        </w:rPr>
        <w:t xml:space="preserve">. </w:t>
      </w:r>
    </w:p>
    <w:p w14:paraId="224A66C7" w14:textId="77777777" w:rsidR="0046025E" w:rsidRPr="000A2122" w:rsidRDefault="0046025E" w:rsidP="003255BD">
      <w:pPr>
        <w:spacing w:after="0"/>
        <w:ind w:left="-454" w:right="-454"/>
        <w:rPr>
          <w:rFonts w:ascii="Arial" w:hAnsi="Arial" w:cs="Arial"/>
        </w:rPr>
      </w:pPr>
    </w:p>
    <w:p w14:paraId="3F3DD8A0" w14:textId="49D483B6" w:rsidR="0046025E" w:rsidRPr="0046025E" w:rsidRDefault="0046025E" w:rsidP="0046025E">
      <w:pPr>
        <w:spacing w:after="0"/>
        <w:ind w:left="-454" w:right="-454"/>
        <w:rPr>
          <w:rFonts w:ascii="Arial" w:hAnsi="Arial" w:cs="Arial"/>
          <w:b/>
          <w:bCs/>
        </w:rPr>
      </w:pPr>
      <w:r w:rsidRPr="0046025E">
        <w:rPr>
          <w:rFonts w:ascii="Arial" w:hAnsi="Arial" w:cs="Arial"/>
          <w:b/>
          <w:bCs/>
        </w:rPr>
        <w:t>Tabulka 1: Ceny nemovitostí na konci roku 202</w:t>
      </w:r>
      <w:r w:rsidR="0013067E" w:rsidRPr="000A2122">
        <w:rPr>
          <w:rFonts w:ascii="Arial" w:hAnsi="Arial" w:cs="Arial"/>
          <w:b/>
          <w:bCs/>
        </w:rPr>
        <w:t>4</w:t>
      </w:r>
    </w:p>
    <w:tbl>
      <w:tblPr>
        <w:tblStyle w:val="Prosttabulka1"/>
        <w:tblW w:w="9498" w:type="dxa"/>
        <w:tblInd w:w="-431" w:type="dxa"/>
        <w:tblLook w:val="04A0" w:firstRow="1" w:lastRow="0" w:firstColumn="1" w:lastColumn="0" w:noHBand="0" w:noVBand="1"/>
      </w:tblPr>
      <w:tblGrid>
        <w:gridCol w:w="1909"/>
        <w:gridCol w:w="963"/>
        <w:gridCol w:w="1226"/>
        <w:gridCol w:w="1434"/>
        <w:gridCol w:w="1268"/>
        <w:gridCol w:w="2698"/>
      </w:tblGrid>
      <w:tr w:rsidR="0046025E" w:rsidRPr="0046025E" w14:paraId="42D4B7EC" w14:textId="77777777" w:rsidTr="00460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2AC4119" w14:textId="77777777" w:rsidR="0046025E" w:rsidRPr="0046025E" w:rsidRDefault="0046025E" w:rsidP="0046025E">
            <w:pPr>
              <w:ind w:left="-454" w:right="-454"/>
              <w:jc w:val="center"/>
              <w:rPr>
                <w:rFonts w:ascii="Arial" w:hAnsi="Arial" w:cs="Arial"/>
              </w:rPr>
            </w:pPr>
            <w:r w:rsidRPr="0046025E">
              <w:rPr>
                <w:rFonts w:ascii="Arial" w:hAnsi="Arial" w:cs="Arial"/>
              </w:rPr>
              <w:t>Nemovitost</w:t>
            </w:r>
          </w:p>
        </w:tc>
        <w:tc>
          <w:tcPr>
            <w:tcW w:w="21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54A4727" w14:textId="77777777" w:rsidR="0046025E" w:rsidRPr="0046025E" w:rsidRDefault="0046025E" w:rsidP="0046025E">
            <w:pPr>
              <w:ind w:left="-454" w:right="-4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025E">
              <w:rPr>
                <w:rFonts w:ascii="Arial" w:hAnsi="Arial" w:cs="Arial"/>
              </w:rPr>
              <w:t>Starší byt (Kč/m</w:t>
            </w:r>
            <w:r w:rsidRPr="0046025E">
              <w:rPr>
                <w:rFonts w:ascii="Arial" w:hAnsi="Arial" w:cs="Arial"/>
                <w:vertAlign w:val="superscript"/>
              </w:rPr>
              <w:t>2</w:t>
            </w:r>
            <w:r w:rsidRPr="0046025E">
              <w:rPr>
                <w:rFonts w:ascii="Arial" w:hAnsi="Arial" w:cs="Arial"/>
              </w:rPr>
              <w:t>)</w:t>
            </w:r>
          </w:p>
        </w:tc>
        <w:tc>
          <w:tcPr>
            <w:tcW w:w="270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9892A9" w14:textId="77777777" w:rsidR="0046025E" w:rsidRPr="0046025E" w:rsidRDefault="0046025E" w:rsidP="0046025E">
            <w:pPr>
              <w:ind w:left="-454" w:right="-4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025E">
              <w:rPr>
                <w:rFonts w:ascii="Arial" w:hAnsi="Arial" w:cs="Arial"/>
              </w:rPr>
              <w:t>Novostavba (Kč/m</w:t>
            </w:r>
            <w:r w:rsidRPr="0046025E">
              <w:rPr>
                <w:rFonts w:ascii="Arial" w:hAnsi="Arial" w:cs="Arial"/>
                <w:vertAlign w:val="superscript"/>
              </w:rPr>
              <w:t>2</w:t>
            </w:r>
            <w:r w:rsidRPr="0046025E">
              <w:rPr>
                <w:rFonts w:ascii="Arial" w:hAnsi="Arial" w:cs="Arial"/>
              </w:rPr>
              <w:t>)</w:t>
            </w:r>
          </w:p>
        </w:tc>
        <w:tc>
          <w:tcPr>
            <w:tcW w:w="269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13F4207" w14:textId="77777777" w:rsidR="0046025E" w:rsidRPr="0046025E" w:rsidRDefault="0046025E" w:rsidP="0046025E">
            <w:pPr>
              <w:ind w:left="-454" w:right="-4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025E">
              <w:rPr>
                <w:rFonts w:ascii="Arial" w:hAnsi="Arial" w:cs="Arial"/>
              </w:rPr>
              <w:t>Rodinný dům (mil. Kč)</w:t>
            </w:r>
          </w:p>
        </w:tc>
      </w:tr>
      <w:tr w:rsidR="0046025E" w:rsidRPr="0046025E" w14:paraId="1B34E857" w14:textId="77777777" w:rsidTr="0046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5A0A71B" w14:textId="77777777" w:rsidR="0046025E" w:rsidRPr="0046025E" w:rsidRDefault="0046025E" w:rsidP="0046025E">
            <w:pPr>
              <w:ind w:left="-454" w:right="-454"/>
              <w:jc w:val="center"/>
              <w:rPr>
                <w:rFonts w:ascii="Arial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F37B6DD" w14:textId="77777777" w:rsidR="0046025E" w:rsidRPr="0046025E" w:rsidRDefault="0046025E" w:rsidP="0046025E">
            <w:pPr>
              <w:ind w:left="-454" w:right="-4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025E">
              <w:rPr>
                <w:rFonts w:ascii="Arial" w:hAnsi="Arial" w:cs="Arial"/>
              </w:rPr>
              <w:t>cihla</w:t>
            </w:r>
          </w:p>
        </w:tc>
        <w:tc>
          <w:tcPr>
            <w:tcW w:w="12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76F0019" w14:textId="77777777" w:rsidR="0046025E" w:rsidRPr="0046025E" w:rsidRDefault="0046025E" w:rsidP="0046025E">
            <w:pPr>
              <w:ind w:left="-454" w:right="-4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025E">
              <w:rPr>
                <w:rFonts w:ascii="Arial" w:hAnsi="Arial" w:cs="Arial"/>
              </w:rPr>
              <w:t>panel</w:t>
            </w: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8638152" w14:textId="77777777" w:rsidR="0046025E" w:rsidRPr="0046025E" w:rsidRDefault="0046025E" w:rsidP="0046025E">
            <w:pPr>
              <w:ind w:left="-454" w:right="-4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025E">
              <w:rPr>
                <w:rFonts w:ascii="Arial" w:hAnsi="Arial" w:cs="Arial"/>
              </w:rPr>
              <w:t>prvoprodej</w:t>
            </w:r>
          </w:p>
        </w:tc>
        <w:tc>
          <w:tcPr>
            <w:tcW w:w="1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C64F025" w14:textId="77777777" w:rsidR="0046025E" w:rsidRPr="0046025E" w:rsidRDefault="0046025E" w:rsidP="0046025E">
            <w:pPr>
              <w:ind w:left="-454" w:right="-4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025E">
              <w:rPr>
                <w:rFonts w:ascii="Arial" w:hAnsi="Arial" w:cs="Arial"/>
              </w:rPr>
              <w:t>přeprodej</w:t>
            </w:r>
          </w:p>
        </w:tc>
        <w:tc>
          <w:tcPr>
            <w:tcW w:w="269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75D8E9D" w14:textId="77777777" w:rsidR="0046025E" w:rsidRPr="0046025E" w:rsidRDefault="0046025E" w:rsidP="0046025E">
            <w:pPr>
              <w:ind w:left="-454" w:right="-4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46025E" w:rsidRPr="0046025E" w14:paraId="5B9682B3" w14:textId="77777777" w:rsidTr="0046025E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7C21A23" w14:textId="77777777" w:rsidR="0046025E" w:rsidRPr="0046025E" w:rsidRDefault="0046025E" w:rsidP="0046025E">
            <w:pPr>
              <w:ind w:left="-454" w:right="-454"/>
              <w:jc w:val="center"/>
              <w:rPr>
                <w:rFonts w:ascii="Arial" w:hAnsi="Arial" w:cs="Arial"/>
              </w:rPr>
            </w:pPr>
            <w:r w:rsidRPr="0046025E">
              <w:rPr>
                <w:rFonts w:ascii="Arial" w:hAnsi="Arial" w:cs="Arial"/>
              </w:rPr>
              <w:t>Průměrná cena</w:t>
            </w:r>
          </w:p>
        </w:tc>
        <w:tc>
          <w:tcPr>
            <w:tcW w:w="9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C7183F6" w14:textId="41ECCAAF" w:rsidR="0046025E" w:rsidRPr="0046025E" w:rsidRDefault="0046025E" w:rsidP="0046025E">
            <w:pPr>
              <w:ind w:left="-454" w:right="-4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A2122">
              <w:rPr>
                <w:rFonts w:ascii="Arial" w:hAnsi="Arial" w:cs="Arial"/>
              </w:rPr>
              <w:t>72</w:t>
            </w:r>
            <w:r w:rsidRPr="0046025E">
              <w:rPr>
                <w:rFonts w:ascii="Arial" w:hAnsi="Arial" w:cs="Arial"/>
              </w:rPr>
              <w:t xml:space="preserve"> </w:t>
            </w:r>
            <w:r w:rsidRPr="000A2122">
              <w:rPr>
                <w:rFonts w:ascii="Arial" w:hAnsi="Arial" w:cs="Arial"/>
              </w:rPr>
              <w:t>159</w:t>
            </w:r>
          </w:p>
        </w:tc>
        <w:tc>
          <w:tcPr>
            <w:tcW w:w="12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9E046A4" w14:textId="7E680F8D" w:rsidR="0046025E" w:rsidRPr="0046025E" w:rsidRDefault="0046025E" w:rsidP="0046025E">
            <w:pPr>
              <w:ind w:left="-454" w:right="-4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025E">
              <w:rPr>
                <w:rFonts w:ascii="Arial" w:hAnsi="Arial" w:cs="Arial"/>
              </w:rPr>
              <w:t>5</w:t>
            </w:r>
            <w:r w:rsidRPr="000A2122">
              <w:rPr>
                <w:rFonts w:ascii="Arial" w:hAnsi="Arial" w:cs="Arial"/>
              </w:rPr>
              <w:t>9</w:t>
            </w:r>
            <w:r w:rsidRPr="0046025E">
              <w:rPr>
                <w:rFonts w:ascii="Arial" w:hAnsi="Arial" w:cs="Arial"/>
              </w:rPr>
              <w:t xml:space="preserve"> </w:t>
            </w:r>
            <w:r w:rsidRPr="000A2122">
              <w:rPr>
                <w:rFonts w:ascii="Arial" w:hAnsi="Arial" w:cs="Arial"/>
              </w:rPr>
              <w:t>652</w:t>
            </w:r>
          </w:p>
        </w:tc>
        <w:tc>
          <w:tcPr>
            <w:tcW w:w="1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C02C5FC" w14:textId="2B0C3F9B" w:rsidR="0046025E" w:rsidRPr="0046025E" w:rsidRDefault="0046025E" w:rsidP="0046025E">
            <w:pPr>
              <w:ind w:left="-454" w:right="-4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025E">
              <w:rPr>
                <w:rFonts w:ascii="Arial" w:hAnsi="Arial" w:cs="Arial"/>
              </w:rPr>
              <w:t>1</w:t>
            </w:r>
            <w:r w:rsidRPr="000A2122">
              <w:rPr>
                <w:rFonts w:ascii="Arial" w:hAnsi="Arial" w:cs="Arial"/>
              </w:rPr>
              <w:t>28 526</w:t>
            </w:r>
          </w:p>
        </w:tc>
        <w:tc>
          <w:tcPr>
            <w:tcW w:w="1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1724E88" w14:textId="5746AB0D" w:rsidR="0046025E" w:rsidRPr="0046025E" w:rsidRDefault="0046025E" w:rsidP="0046025E">
            <w:pPr>
              <w:ind w:left="-454" w:right="-4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025E">
              <w:rPr>
                <w:rFonts w:ascii="Arial" w:hAnsi="Arial" w:cs="Arial"/>
              </w:rPr>
              <w:t>11</w:t>
            </w:r>
            <w:r w:rsidRPr="000A2122">
              <w:rPr>
                <w:rFonts w:ascii="Arial" w:hAnsi="Arial" w:cs="Arial"/>
              </w:rPr>
              <w:t>6</w:t>
            </w:r>
            <w:r w:rsidRPr="0046025E">
              <w:rPr>
                <w:rFonts w:ascii="Arial" w:hAnsi="Arial" w:cs="Arial"/>
              </w:rPr>
              <w:t xml:space="preserve"> </w:t>
            </w:r>
            <w:r w:rsidRPr="000A2122">
              <w:rPr>
                <w:rFonts w:ascii="Arial" w:hAnsi="Arial" w:cs="Arial"/>
              </w:rPr>
              <w:t>516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93B8628" w14:textId="462E24BF" w:rsidR="0046025E" w:rsidRPr="0046025E" w:rsidRDefault="0046025E" w:rsidP="0046025E">
            <w:pPr>
              <w:ind w:left="-454" w:right="-4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025E">
              <w:rPr>
                <w:rFonts w:ascii="Arial" w:hAnsi="Arial" w:cs="Arial"/>
              </w:rPr>
              <w:t>5,</w:t>
            </w:r>
            <w:r w:rsidRPr="000A2122">
              <w:rPr>
                <w:rFonts w:ascii="Arial" w:hAnsi="Arial" w:cs="Arial"/>
              </w:rPr>
              <w:t>3</w:t>
            </w:r>
          </w:p>
        </w:tc>
      </w:tr>
    </w:tbl>
    <w:p w14:paraId="3820E285" w14:textId="77777777" w:rsidR="0046025E" w:rsidRPr="0046025E" w:rsidRDefault="0046025E" w:rsidP="0046025E">
      <w:pPr>
        <w:spacing w:after="0"/>
        <w:ind w:left="-454" w:right="-454"/>
        <w:rPr>
          <w:rFonts w:ascii="Arial" w:hAnsi="Arial" w:cs="Arial"/>
        </w:rPr>
      </w:pPr>
    </w:p>
    <w:p w14:paraId="418DAAA3" w14:textId="77777777" w:rsidR="0046025E" w:rsidRPr="000A2122" w:rsidRDefault="0046025E" w:rsidP="003255BD">
      <w:pPr>
        <w:spacing w:after="0"/>
        <w:ind w:left="-454" w:right="-454"/>
        <w:rPr>
          <w:rFonts w:ascii="Arial" w:hAnsi="Arial" w:cs="Arial"/>
        </w:rPr>
      </w:pPr>
    </w:p>
    <w:p w14:paraId="659B075A" w14:textId="38DFD084" w:rsidR="0046025E" w:rsidRPr="000A2122" w:rsidRDefault="0046025E" w:rsidP="003255BD">
      <w:pPr>
        <w:spacing w:after="0"/>
        <w:ind w:left="-454" w:right="-454"/>
        <w:rPr>
          <w:rFonts w:ascii="Arial" w:hAnsi="Arial" w:cs="Arial"/>
          <w:b/>
          <w:bCs/>
        </w:rPr>
      </w:pPr>
      <w:r w:rsidRPr="000A2122">
        <w:rPr>
          <w:rFonts w:ascii="Arial" w:hAnsi="Arial" w:cs="Arial"/>
          <w:b/>
          <w:bCs/>
        </w:rPr>
        <w:t xml:space="preserve">Aktivitu realitního trhu </w:t>
      </w:r>
      <w:r w:rsidR="00791540">
        <w:rPr>
          <w:rFonts w:ascii="Arial" w:hAnsi="Arial" w:cs="Arial"/>
          <w:b/>
          <w:bCs/>
        </w:rPr>
        <w:t>táhnou Praha a Středočeský kraj</w:t>
      </w:r>
    </w:p>
    <w:p w14:paraId="564205D3" w14:textId="40E01B22" w:rsidR="00455441" w:rsidRPr="000A2122" w:rsidRDefault="0046025E" w:rsidP="003255BD">
      <w:pPr>
        <w:spacing w:after="0"/>
        <w:ind w:left="-454" w:right="-454"/>
        <w:rPr>
          <w:rFonts w:ascii="Arial" w:hAnsi="Arial" w:cs="Arial"/>
        </w:rPr>
      </w:pPr>
      <w:r w:rsidRPr="000A2122">
        <w:rPr>
          <w:rFonts w:ascii="Arial" w:hAnsi="Arial" w:cs="Arial"/>
        </w:rPr>
        <w:t xml:space="preserve">Prodeje nemovitostí celkově stouply o výrazných </w:t>
      </w:r>
      <w:r w:rsidR="003F6DBC" w:rsidRPr="006E3341">
        <w:rPr>
          <w:rFonts w:ascii="Arial" w:hAnsi="Arial" w:cs="Arial"/>
        </w:rPr>
        <w:t>34</w:t>
      </w:r>
      <w:r w:rsidRPr="006E3341">
        <w:rPr>
          <w:rFonts w:ascii="Arial" w:hAnsi="Arial" w:cs="Arial"/>
        </w:rPr>
        <w:t xml:space="preserve"> procent</w:t>
      </w:r>
      <w:r w:rsidRPr="000A2122">
        <w:rPr>
          <w:rFonts w:ascii="Arial" w:hAnsi="Arial" w:cs="Arial"/>
        </w:rPr>
        <w:t xml:space="preserve"> a pokračují v návratu do běžných hodnot před skokovým propadem v</w:t>
      </w:r>
      <w:r w:rsidR="0013067E" w:rsidRPr="000A2122">
        <w:rPr>
          <w:rFonts w:ascii="Arial" w:hAnsi="Arial" w:cs="Arial"/>
        </w:rPr>
        <w:t>e</w:t>
      </w:r>
      <w:r w:rsidRPr="000A2122">
        <w:rPr>
          <w:rFonts w:ascii="Arial" w:hAnsi="Arial" w:cs="Arial"/>
        </w:rPr>
        <w:t xml:space="preserve"> druhé polovině roku 2022. </w:t>
      </w:r>
      <w:r w:rsidR="0013067E" w:rsidRPr="000A2122">
        <w:rPr>
          <w:rFonts w:ascii="Arial" w:hAnsi="Arial" w:cs="Arial"/>
        </w:rPr>
        <w:t xml:space="preserve">Největší prodeje jsou u novostaveb, které meziročně posílily o 51 </w:t>
      </w:r>
      <w:r w:rsidR="00107646">
        <w:rPr>
          <w:rFonts w:ascii="Arial" w:hAnsi="Arial" w:cs="Arial"/>
        </w:rPr>
        <w:t>%</w:t>
      </w:r>
      <w:r w:rsidR="0013067E" w:rsidRPr="000A2122">
        <w:rPr>
          <w:rFonts w:ascii="Arial" w:hAnsi="Arial" w:cs="Arial"/>
        </w:rPr>
        <w:t>.</w:t>
      </w:r>
      <w:r w:rsidR="00982698" w:rsidRPr="000A2122">
        <w:rPr>
          <w:rFonts w:ascii="Arial" w:hAnsi="Arial" w:cs="Arial"/>
        </w:rPr>
        <w:t xml:space="preserve"> Ke konci roku bylo zároveň v celém Česku k dispozici přes 16 tisíc volných bytů v</w:t>
      </w:r>
      <w:r w:rsidR="00FE0D86">
        <w:rPr>
          <w:rFonts w:ascii="Arial" w:hAnsi="Arial" w:cs="Arial"/>
        </w:rPr>
        <w:t> </w:t>
      </w:r>
      <w:r w:rsidR="00982698" w:rsidRPr="000A2122">
        <w:rPr>
          <w:rFonts w:ascii="Arial" w:hAnsi="Arial" w:cs="Arial"/>
        </w:rPr>
        <w:t>novostavbách</w:t>
      </w:r>
      <w:r w:rsidR="00FE0D86">
        <w:rPr>
          <w:rFonts w:ascii="Arial" w:hAnsi="Arial" w:cs="Arial"/>
        </w:rPr>
        <w:t xml:space="preserve"> ve výstavbě</w:t>
      </w:r>
      <w:r w:rsidR="00982698" w:rsidRPr="000A2122">
        <w:rPr>
          <w:rFonts w:ascii="Arial" w:hAnsi="Arial" w:cs="Arial"/>
        </w:rPr>
        <w:t xml:space="preserve">. </w:t>
      </w:r>
      <w:r w:rsidR="0013067E" w:rsidRPr="000A2122">
        <w:rPr>
          <w:rFonts w:ascii="Arial" w:hAnsi="Arial" w:cs="Arial"/>
        </w:rPr>
        <w:t xml:space="preserve">Starší bytová zástavba si připsala 24 procent a rodinné domy 37 procent. </w:t>
      </w:r>
      <w:r w:rsidR="00791540">
        <w:rPr>
          <w:rFonts w:ascii="Arial" w:hAnsi="Arial" w:cs="Arial"/>
        </w:rPr>
        <w:t xml:space="preserve">Největší podíly prodejů probíhají dlouhodobě v Praze a Středočeském kraji. U starších bytů představuje podíl těchto dvou regionů 39 % ze všech transakcí, u nových bytů dokonce 60 % všech prodejů. </w:t>
      </w:r>
    </w:p>
    <w:p w14:paraId="0480F54F" w14:textId="77777777" w:rsidR="0013067E" w:rsidRPr="000A2122" w:rsidRDefault="0013067E" w:rsidP="003255BD">
      <w:pPr>
        <w:spacing w:after="0"/>
        <w:ind w:left="-454" w:right="-454"/>
        <w:rPr>
          <w:rFonts w:ascii="Arial" w:hAnsi="Arial" w:cs="Arial"/>
        </w:rPr>
      </w:pPr>
    </w:p>
    <w:p w14:paraId="2039536B" w14:textId="786CF0C7" w:rsidR="0013067E" w:rsidRPr="000A2122" w:rsidRDefault="00982698" w:rsidP="00E67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-454" w:right="-454"/>
        <w:rPr>
          <w:rFonts w:ascii="Arial" w:hAnsi="Arial" w:cs="Arial"/>
        </w:rPr>
      </w:pPr>
      <w:r w:rsidRPr="000A2122">
        <w:rPr>
          <w:rFonts w:ascii="Arial" w:hAnsi="Arial" w:cs="Arial"/>
        </w:rPr>
        <w:t>„</w:t>
      </w:r>
      <w:r w:rsidR="00147504" w:rsidRPr="00147504">
        <w:rPr>
          <w:rFonts w:ascii="Arial" w:hAnsi="Arial" w:cs="Arial"/>
          <w:i/>
          <w:iCs/>
        </w:rPr>
        <w:t xml:space="preserve">V průběhu většiny roku </w:t>
      </w:r>
      <w:r w:rsidR="00147504">
        <w:rPr>
          <w:rFonts w:ascii="Arial" w:hAnsi="Arial" w:cs="Arial"/>
          <w:i/>
          <w:iCs/>
        </w:rPr>
        <w:t xml:space="preserve">2024 </w:t>
      </w:r>
      <w:r w:rsidR="00147504" w:rsidRPr="00147504">
        <w:rPr>
          <w:rFonts w:ascii="Arial" w:hAnsi="Arial" w:cs="Arial"/>
          <w:i/>
          <w:iCs/>
        </w:rPr>
        <w:t xml:space="preserve">jsme </w:t>
      </w:r>
      <w:r w:rsidR="00147504">
        <w:rPr>
          <w:rFonts w:ascii="Arial" w:hAnsi="Arial" w:cs="Arial"/>
          <w:i/>
          <w:iCs/>
        </w:rPr>
        <w:t xml:space="preserve">byli </w:t>
      </w:r>
      <w:r w:rsidR="00147504" w:rsidRPr="00147504">
        <w:rPr>
          <w:rFonts w:ascii="Arial" w:hAnsi="Arial" w:cs="Arial"/>
          <w:i/>
          <w:iCs/>
        </w:rPr>
        <w:t>svědky pokračování nárůstu aktivity prodejů</w:t>
      </w:r>
      <w:r w:rsidR="00147504">
        <w:rPr>
          <w:rFonts w:ascii="Arial" w:hAnsi="Arial" w:cs="Arial"/>
          <w:i/>
          <w:iCs/>
        </w:rPr>
        <w:t>,</w:t>
      </w:r>
      <w:r w:rsidR="00147504" w:rsidRPr="00147504">
        <w:rPr>
          <w:rFonts w:ascii="Arial" w:hAnsi="Arial" w:cs="Arial"/>
          <w:i/>
          <w:iCs/>
        </w:rPr>
        <w:t xml:space="preserve"> </w:t>
      </w:r>
      <w:r w:rsidR="00147504">
        <w:rPr>
          <w:rFonts w:ascii="Arial" w:hAnsi="Arial" w:cs="Arial"/>
          <w:i/>
          <w:iCs/>
        </w:rPr>
        <w:t xml:space="preserve">a to </w:t>
      </w:r>
      <w:r w:rsidR="00147504" w:rsidRPr="00147504">
        <w:rPr>
          <w:rFonts w:ascii="Arial" w:hAnsi="Arial" w:cs="Arial"/>
          <w:i/>
          <w:iCs/>
        </w:rPr>
        <w:t xml:space="preserve">ve všech segmentech. V případě nových bytů se </w:t>
      </w:r>
      <w:r w:rsidR="00147504">
        <w:rPr>
          <w:rFonts w:ascii="Arial" w:hAnsi="Arial" w:cs="Arial"/>
          <w:i/>
          <w:iCs/>
        </w:rPr>
        <w:t>prodal</w:t>
      </w:r>
      <w:r w:rsidR="00147504" w:rsidRPr="00147504">
        <w:rPr>
          <w:rFonts w:ascii="Arial" w:hAnsi="Arial" w:cs="Arial"/>
          <w:i/>
          <w:iCs/>
        </w:rPr>
        <w:t xml:space="preserve"> dokonce druhý nejvyšší počet </w:t>
      </w:r>
      <w:r w:rsidR="00147504">
        <w:rPr>
          <w:rFonts w:ascii="Arial" w:hAnsi="Arial" w:cs="Arial"/>
          <w:i/>
          <w:iCs/>
        </w:rPr>
        <w:t>bytů</w:t>
      </w:r>
      <w:r w:rsidR="00147504" w:rsidRPr="00147504">
        <w:rPr>
          <w:rFonts w:ascii="Arial" w:hAnsi="Arial" w:cs="Arial"/>
          <w:i/>
          <w:iCs/>
        </w:rPr>
        <w:t xml:space="preserve"> za posledních 15 let. Nejvíce poptávka dlouhodobě převyšuje nabídku v hlavním městě, Brně a Středočeském kraji. Stále přetrvává stav, kdy v místech s nejvyšší poptávkou je výstavba nových bytů zcela nedostatečná a v těchto lokalitách je nárůst cen nejvyšší</w:t>
      </w:r>
      <w:r w:rsidR="00147504">
        <w:rPr>
          <w:rFonts w:ascii="Arial" w:hAnsi="Arial" w:cs="Arial"/>
          <w:i/>
          <w:iCs/>
        </w:rPr>
        <w:t>.</w:t>
      </w:r>
      <w:r w:rsidR="00147504" w:rsidRPr="00147504">
        <w:rPr>
          <w:rFonts w:ascii="Arial" w:hAnsi="Arial" w:cs="Arial"/>
          <w:i/>
          <w:iCs/>
        </w:rPr>
        <w:t xml:space="preserve"> </w:t>
      </w:r>
      <w:r w:rsidR="00147504">
        <w:rPr>
          <w:rFonts w:ascii="Arial" w:hAnsi="Arial" w:cs="Arial"/>
          <w:i/>
          <w:iCs/>
        </w:rPr>
        <w:t>I</w:t>
      </w:r>
      <w:r w:rsidR="00147504" w:rsidRPr="00147504">
        <w:rPr>
          <w:rFonts w:ascii="Arial" w:hAnsi="Arial" w:cs="Arial"/>
          <w:i/>
          <w:iCs/>
        </w:rPr>
        <w:t xml:space="preserve"> když dynamika zvyšování cen byla nižší než v letech před poslední krizí v roce 2022</w:t>
      </w:r>
      <w:r w:rsidR="00147504">
        <w:rPr>
          <w:rFonts w:ascii="Arial" w:hAnsi="Arial" w:cs="Arial"/>
          <w:i/>
          <w:iCs/>
        </w:rPr>
        <w:t xml:space="preserve">, je </w:t>
      </w:r>
      <w:r w:rsidR="00F06E0E">
        <w:rPr>
          <w:rFonts w:ascii="Arial" w:hAnsi="Arial" w:cs="Arial"/>
          <w:i/>
          <w:iCs/>
        </w:rPr>
        <w:t xml:space="preserve">nárůst cen, </w:t>
      </w:r>
      <w:r w:rsidR="00147504">
        <w:rPr>
          <w:rFonts w:ascii="Arial" w:hAnsi="Arial" w:cs="Arial"/>
          <w:i/>
          <w:iCs/>
        </w:rPr>
        <w:t>zejména u starých panelových bytů neopodstatněně vysoký oproti cenám nových bytů</w:t>
      </w:r>
      <w:r w:rsidR="00147504" w:rsidRPr="00147504">
        <w:rPr>
          <w:rFonts w:ascii="Arial" w:hAnsi="Arial" w:cs="Arial"/>
          <w:i/>
          <w:iCs/>
        </w:rPr>
        <w:t>. Ceny táhnou nahoru dlouhodobě Praha, Brno, Středočeský kraj a krajská města. V Praze jsou ceny starších bytů stále 4 x vyšší než např. v Ústeckém nebo Karlovarském kraji</w:t>
      </w:r>
      <w:r w:rsidRPr="000A2122">
        <w:rPr>
          <w:rFonts w:ascii="Arial" w:hAnsi="Arial" w:cs="Arial"/>
        </w:rPr>
        <w:t xml:space="preserve">,“ říká </w:t>
      </w:r>
      <w:r w:rsidRPr="000A2122">
        <w:rPr>
          <w:rFonts w:ascii="Arial" w:hAnsi="Arial" w:cs="Arial"/>
          <w:b/>
          <w:bCs/>
        </w:rPr>
        <w:t>Milan Roček</w:t>
      </w:r>
      <w:r w:rsidR="006E3341">
        <w:rPr>
          <w:rFonts w:ascii="Arial" w:hAnsi="Arial" w:cs="Arial"/>
          <w:b/>
          <w:bCs/>
        </w:rPr>
        <w:t>, jednatel společnosti</w:t>
      </w:r>
      <w:r w:rsidRPr="000A2122">
        <w:rPr>
          <w:rFonts w:ascii="Arial" w:hAnsi="Arial" w:cs="Arial"/>
          <w:b/>
          <w:bCs/>
        </w:rPr>
        <w:t xml:space="preserve"> </w:t>
      </w:r>
      <w:proofErr w:type="spellStart"/>
      <w:r w:rsidR="001D4C3D" w:rsidRPr="000A2122">
        <w:rPr>
          <w:rFonts w:ascii="Arial" w:hAnsi="Arial" w:cs="Arial"/>
          <w:b/>
          <w:bCs/>
        </w:rPr>
        <w:t>Flat</w:t>
      </w:r>
      <w:proofErr w:type="spellEnd"/>
      <w:r w:rsidR="001D4C3D" w:rsidRPr="000A2122">
        <w:rPr>
          <w:rFonts w:ascii="Arial" w:hAnsi="Arial" w:cs="Arial"/>
          <w:b/>
          <w:bCs/>
        </w:rPr>
        <w:t xml:space="preserve"> </w:t>
      </w:r>
      <w:proofErr w:type="spellStart"/>
      <w:r w:rsidR="001D4C3D" w:rsidRPr="000A2122">
        <w:rPr>
          <w:rFonts w:ascii="Arial" w:hAnsi="Arial" w:cs="Arial"/>
          <w:b/>
          <w:bCs/>
        </w:rPr>
        <w:t>Zone</w:t>
      </w:r>
      <w:proofErr w:type="spellEnd"/>
      <w:r w:rsidR="00147504">
        <w:rPr>
          <w:rFonts w:ascii="Arial" w:hAnsi="Arial" w:cs="Arial"/>
          <w:b/>
          <w:bCs/>
        </w:rPr>
        <w:t>.</w:t>
      </w:r>
    </w:p>
    <w:p w14:paraId="457345E5" w14:textId="77777777" w:rsidR="00455441" w:rsidRPr="000A2122" w:rsidRDefault="00455441" w:rsidP="003255BD">
      <w:pPr>
        <w:spacing w:after="0"/>
        <w:ind w:left="-454" w:right="-454"/>
        <w:rPr>
          <w:rFonts w:ascii="Arial" w:hAnsi="Arial" w:cs="Arial"/>
          <w:b/>
          <w:bCs/>
        </w:rPr>
      </w:pPr>
    </w:p>
    <w:p w14:paraId="6BB71EE8" w14:textId="77777777" w:rsidR="000A2122" w:rsidRPr="000A2122" w:rsidRDefault="000A2122" w:rsidP="003255BD">
      <w:pPr>
        <w:spacing w:after="0"/>
        <w:ind w:left="-454" w:right="-454"/>
        <w:rPr>
          <w:rFonts w:ascii="Arial" w:hAnsi="Arial" w:cs="Arial"/>
          <w:b/>
          <w:bCs/>
        </w:rPr>
      </w:pPr>
    </w:p>
    <w:p w14:paraId="378413F9" w14:textId="77777777" w:rsidR="000A2122" w:rsidRPr="000A2122" w:rsidRDefault="000A2122" w:rsidP="003255BD">
      <w:pPr>
        <w:spacing w:after="0"/>
        <w:ind w:left="-454" w:right="-454"/>
        <w:rPr>
          <w:rFonts w:ascii="Arial" w:hAnsi="Arial" w:cs="Arial"/>
          <w:b/>
          <w:bCs/>
        </w:rPr>
      </w:pPr>
    </w:p>
    <w:p w14:paraId="30760E41" w14:textId="77777777" w:rsidR="000A2122" w:rsidRPr="000A2122" w:rsidRDefault="000A2122" w:rsidP="003255BD">
      <w:pPr>
        <w:spacing w:after="0"/>
        <w:ind w:left="-454" w:right="-454"/>
        <w:rPr>
          <w:rFonts w:ascii="Arial" w:hAnsi="Arial" w:cs="Arial"/>
          <w:b/>
          <w:bCs/>
        </w:rPr>
      </w:pPr>
    </w:p>
    <w:p w14:paraId="70F56D24" w14:textId="77777777" w:rsidR="000A2122" w:rsidRPr="000A2122" w:rsidRDefault="000A2122" w:rsidP="003255BD">
      <w:pPr>
        <w:spacing w:after="0"/>
        <w:ind w:left="-454" w:right="-454"/>
        <w:rPr>
          <w:rFonts w:ascii="Arial" w:hAnsi="Arial" w:cs="Arial"/>
          <w:b/>
          <w:bCs/>
        </w:rPr>
      </w:pPr>
    </w:p>
    <w:p w14:paraId="0D2BE49D" w14:textId="77777777" w:rsidR="000A2122" w:rsidRPr="000A2122" w:rsidRDefault="000A2122" w:rsidP="00E67E09">
      <w:pPr>
        <w:spacing w:after="0"/>
        <w:ind w:right="-454"/>
        <w:rPr>
          <w:rFonts w:ascii="Arial" w:hAnsi="Arial" w:cs="Arial"/>
          <w:b/>
          <w:bCs/>
        </w:rPr>
      </w:pPr>
    </w:p>
    <w:p w14:paraId="20AAC0A3" w14:textId="77777777" w:rsidR="00E67E09" w:rsidRPr="000A2122" w:rsidRDefault="00E67E09" w:rsidP="00E67E09">
      <w:pPr>
        <w:spacing w:after="0"/>
        <w:ind w:left="-454" w:right="-454"/>
        <w:rPr>
          <w:rFonts w:ascii="Arial" w:hAnsi="Arial" w:cs="Arial"/>
          <w:b/>
          <w:bCs/>
        </w:rPr>
      </w:pPr>
      <w:r w:rsidRPr="000A2122">
        <w:rPr>
          <w:rFonts w:ascii="Arial" w:hAnsi="Arial" w:cs="Arial"/>
          <w:b/>
          <w:bCs/>
        </w:rPr>
        <w:t>Oživení hypoteční</w:t>
      </w:r>
      <w:r>
        <w:rPr>
          <w:rFonts w:ascii="Arial" w:hAnsi="Arial" w:cs="Arial"/>
          <w:b/>
          <w:bCs/>
        </w:rPr>
        <w:t>ho</w:t>
      </w:r>
      <w:r w:rsidRPr="000A2122">
        <w:rPr>
          <w:rFonts w:ascii="Arial" w:hAnsi="Arial" w:cs="Arial"/>
          <w:b/>
          <w:bCs/>
        </w:rPr>
        <w:t xml:space="preserve"> trhu</w:t>
      </w:r>
    </w:p>
    <w:p w14:paraId="51ACDF7E" w14:textId="2FFB0BB3" w:rsidR="00E67E09" w:rsidRDefault="00E67E09" w:rsidP="00E67E09">
      <w:pPr>
        <w:spacing w:after="0"/>
        <w:ind w:left="-454" w:right="-454"/>
        <w:rPr>
          <w:rFonts w:ascii="Arial" w:hAnsi="Arial" w:cs="Arial"/>
        </w:rPr>
      </w:pPr>
      <w:r>
        <w:rPr>
          <w:rFonts w:ascii="Arial" w:hAnsi="Arial" w:cs="Arial"/>
        </w:rPr>
        <w:t xml:space="preserve">Dle statistiky ČBA </w:t>
      </w:r>
      <w:proofErr w:type="spellStart"/>
      <w:r>
        <w:rPr>
          <w:rFonts w:ascii="Arial" w:hAnsi="Arial" w:cs="Arial"/>
        </w:rPr>
        <w:t>Hypomonitoru</w:t>
      </w:r>
      <w:proofErr w:type="spellEnd"/>
      <w:r>
        <w:rPr>
          <w:rFonts w:ascii="Arial" w:hAnsi="Arial" w:cs="Arial"/>
        </w:rPr>
        <w:t xml:space="preserve"> došlo v </w:t>
      </w:r>
      <w:r w:rsidRPr="000A2122">
        <w:rPr>
          <w:rFonts w:ascii="Arial" w:hAnsi="Arial" w:cs="Arial"/>
        </w:rPr>
        <w:t xml:space="preserve">roce 2024 k silnému růstu objemu nových hypoték bez refinancování (+83 </w:t>
      </w:r>
      <w:r>
        <w:rPr>
          <w:rFonts w:ascii="Arial" w:hAnsi="Arial" w:cs="Arial"/>
        </w:rPr>
        <w:t>%</w:t>
      </w:r>
      <w:r w:rsidRPr="000A2122">
        <w:rPr>
          <w:rFonts w:ascii="Arial" w:hAnsi="Arial" w:cs="Arial"/>
        </w:rPr>
        <w:t xml:space="preserve"> meziročně). Tento růst ovšem také odráží dva slabé pře</w:t>
      </w:r>
      <w:r>
        <w:rPr>
          <w:rFonts w:ascii="Arial" w:hAnsi="Arial" w:cs="Arial"/>
        </w:rPr>
        <w:t>d</w:t>
      </w:r>
      <w:r w:rsidRPr="000A2122">
        <w:rPr>
          <w:rFonts w:ascii="Arial" w:hAnsi="Arial" w:cs="Arial"/>
        </w:rPr>
        <w:t>chozí roky. Jejich dynamika z poslední</w:t>
      </w:r>
      <w:r>
        <w:rPr>
          <w:rFonts w:ascii="Arial" w:hAnsi="Arial" w:cs="Arial"/>
        </w:rPr>
        <w:t>ch</w:t>
      </w:r>
      <w:r w:rsidRPr="000A2122">
        <w:rPr>
          <w:rFonts w:ascii="Arial" w:hAnsi="Arial" w:cs="Arial"/>
        </w:rPr>
        <w:t xml:space="preserve"> měsíců naznačuje možný růst nových hypoték v roce 2025 o 17 </w:t>
      </w:r>
      <w:r>
        <w:rPr>
          <w:rFonts w:ascii="Arial" w:hAnsi="Arial" w:cs="Arial"/>
        </w:rPr>
        <w:t>procent</w:t>
      </w:r>
      <w:r w:rsidRPr="000A2122">
        <w:rPr>
          <w:rFonts w:ascii="Arial" w:hAnsi="Arial" w:cs="Arial"/>
        </w:rPr>
        <w:t>. To</w:t>
      </w:r>
      <w:r>
        <w:rPr>
          <w:rFonts w:ascii="Arial" w:hAnsi="Arial" w:cs="Arial"/>
        </w:rPr>
        <w:t xml:space="preserve"> by</w:t>
      </w:r>
      <w:r w:rsidRPr="000A2122">
        <w:rPr>
          <w:rFonts w:ascii="Arial" w:hAnsi="Arial" w:cs="Arial"/>
        </w:rPr>
        <w:t xml:space="preserve"> mírně posílilo </w:t>
      </w:r>
      <w:r>
        <w:rPr>
          <w:rFonts w:ascii="Arial" w:hAnsi="Arial" w:cs="Arial"/>
        </w:rPr>
        <w:t>úvěrový</w:t>
      </w:r>
      <w:r w:rsidRPr="000A2122">
        <w:rPr>
          <w:rFonts w:ascii="Arial" w:hAnsi="Arial" w:cs="Arial"/>
        </w:rPr>
        <w:t xml:space="preserve"> impuls </w:t>
      </w:r>
      <w:r>
        <w:rPr>
          <w:rFonts w:ascii="Arial" w:hAnsi="Arial" w:cs="Arial"/>
        </w:rPr>
        <w:t xml:space="preserve">z hypoték do ekonomiky </w:t>
      </w:r>
      <w:r w:rsidRPr="000A2122">
        <w:rPr>
          <w:rFonts w:ascii="Arial" w:hAnsi="Arial" w:cs="Arial"/>
        </w:rPr>
        <w:t>na přibližně 2,9 % HDP, i když</w:t>
      </w:r>
      <w:r>
        <w:rPr>
          <w:rFonts w:ascii="Arial" w:hAnsi="Arial" w:cs="Arial"/>
        </w:rPr>
        <w:t xml:space="preserve"> ten</w:t>
      </w:r>
      <w:r w:rsidRPr="000A21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by </w:t>
      </w:r>
      <w:r w:rsidRPr="000A2122">
        <w:rPr>
          <w:rFonts w:ascii="Arial" w:hAnsi="Arial" w:cs="Arial"/>
        </w:rPr>
        <w:t xml:space="preserve">stále </w:t>
      </w:r>
      <w:r>
        <w:rPr>
          <w:rFonts w:ascii="Arial" w:hAnsi="Arial" w:cs="Arial"/>
        </w:rPr>
        <w:t xml:space="preserve">zůstal </w:t>
      </w:r>
      <w:r w:rsidRPr="000A2122">
        <w:rPr>
          <w:rFonts w:ascii="Arial" w:hAnsi="Arial" w:cs="Arial"/>
        </w:rPr>
        <w:t xml:space="preserve">pod průměrem 3,3 % z let </w:t>
      </w:r>
      <w:r w:rsidR="0009424E" w:rsidRPr="000A2122">
        <w:rPr>
          <w:rFonts w:ascii="Arial" w:hAnsi="Arial" w:cs="Arial"/>
        </w:rPr>
        <w:t>2016</w:t>
      </w:r>
      <w:r w:rsidR="0009424E">
        <w:rPr>
          <w:rFonts w:ascii="Arial" w:hAnsi="Arial" w:cs="Arial"/>
        </w:rPr>
        <w:t>–2020</w:t>
      </w:r>
      <w:r w:rsidRPr="000A21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Navzdory oživení objemu nových hypoték zůstal v roce 2024</w:t>
      </w:r>
      <w:r w:rsidRPr="000A2122">
        <w:rPr>
          <w:rFonts w:ascii="Arial" w:hAnsi="Arial" w:cs="Arial"/>
        </w:rPr>
        <w:t xml:space="preserve"> počet nových hypoték </w:t>
      </w:r>
      <w:r>
        <w:rPr>
          <w:rFonts w:ascii="Arial" w:hAnsi="Arial" w:cs="Arial"/>
        </w:rPr>
        <w:t xml:space="preserve">přibližně o čtvrtinu </w:t>
      </w:r>
      <w:r w:rsidRPr="000A2122">
        <w:rPr>
          <w:rFonts w:ascii="Arial" w:hAnsi="Arial" w:cs="Arial"/>
        </w:rPr>
        <w:t>pod úrovní roku 2020. Naopak průměrná výše hypotéky</w:t>
      </w:r>
      <w:r>
        <w:rPr>
          <w:rFonts w:ascii="Arial" w:hAnsi="Arial" w:cs="Arial"/>
        </w:rPr>
        <w:t xml:space="preserve"> v roce 2024</w:t>
      </w:r>
      <w:r w:rsidRPr="000A2122">
        <w:rPr>
          <w:rFonts w:ascii="Arial" w:hAnsi="Arial" w:cs="Arial"/>
        </w:rPr>
        <w:t xml:space="preserve"> vzrostla o třetinu oproti roku 2020</w:t>
      </w:r>
      <w:r>
        <w:rPr>
          <w:rFonts w:ascii="Arial" w:hAnsi="Arial" w:cs="Arial"/>
        </w:rPr>
        <w:t xml:space="preserve"> a na začátku roku 2024 se vyšplhala na 3,92 mil. Kč. </w:t>
      </w:r>
      <w:r w:rsidRPr="000A2122">
        <w:rPr>
          <w:rFonts w:ascii="Arial" w:hAnsi="Arial" w:cs="Arial"/>
        </w:rPr>
        <w:t xml:space="preserve">S tím souvisí i pokračující růst </w:t>
      </w:r>
      <w:r>
        <w:rPr>
          <w:rFonts w:ascii="Arial" w:hAnsi="Arial" w:cs="Arial"/>
        </w:rPr>
        <w:t xml:space="preserve">měsíčních splátek hypoték navzdory poklesu průměrné hypoteční úrokové sazby na nové hypotéky pod 4,8 % na počátku roku 2025. </w:t>
      </w:r>
    </w:p>
    <w:p w14:paraId="573C785C" w14:textId="77777777" w:rsidR="000A2122" w:rsidRDefault="000A2122" w:rsidP="000A2122">
      <w:pPr>
        <w:spacing w:after="0"/>
        <w:ind w:left="-454" w:right="-454"/>
        <w:rPr>
          <w:rFonts w:ascii="Arial" w:hAnsi="Arial" w:cs="Arial"/>
        </w:rPr>
      </w:pPr>
    </w:p>
    <w:p w14:paraId="7430FDE6" w14:textId="77777777" w:rsidR="00271BB4" w:rsidRPr="000A2122" w:rsidRDefault="00271BB4" w:rsidP="00271BB4">
      <w:pPr>
        <w:spacing w:after="0"/>
        <w:ind w:left="-454" w:right="-454"/>
        <w:rPr>
          <w:rFonts w:ascii="Arial" w:hAnsi="Arial" w:cs="Arial"/>
          <w:b/>
          <w:bCs/>
        </w:rPr>
      </w:pPr>
      <w:r w:rsidRPr="000A2122">
        <w:rPr>
          <w:rFonts w:ascii="Arial" w:hAnsi="Arial" w:cs="Arial"/>
          <w:b/>
          <w:bCs/>
        </w:rPr>
        <w:t>Nevýkonné úvěry</w:t>
      </w:r>
    </w:p>
    <w:p w14:paraId="16894B68" w14:textId="46899D31" w:rsidR="00271BB4" w:rsidRDefault="00271BB4" w:rsidP="00271BB4">
      <w:pPr>
        <w:spacing w:after="0"/>
        <w:ind w:left="-454" w:right="-454"/>
        <w:rPr>
          <w:rFonts w:ascii="Arial" w:hAnsi="Arial" w:cs="Arial"/>
        </w:rPr>
      </w:pPr>
      <w:r w:rsidRPr="000A2122">
        <w:rPr>
          <w:rFonts w:ascii="Arial" w:hAnsi="Arial" w:cs="Arial"/>
        </w:rPr>
        <w:t xml:space="preserve">Podíl </w:t>
      </w:r>
      <w:r>
        <w:rPr>
          <w:rFonts w:ascii="Arial" w:hAnsi="Arial" w:cs="Arial"/>
        </w:rPr>
        <w:t xml:space="preserve">nevýkonných </w:t>
      </w:r>
      <w:r w:rsidRPr="000A2122">
        <w:rPr>
          <w:rFonts w:ascii="Arial" w:hAnsi="Arial" w:cs="Arial"/>
        </w:rPr>
        <w:t>hypotečních úvěrů s problémy se splácením vzrostl v roce 2024 o 3 %, ale zůstává velmi nízký</w:t>
      </w:r>
      <w:r>
        <w:rPr>
          <w:rFonts w:ascii="Arial" w:hAnsi="Arial" w:cs="Arial"/>
        </w:rPr>
        <w:t xml:space="preserve">, okolo </w:t>
      </w:r>
      <w:r w:rsidRPr="000A2122">
        <w:rPr>
          <w:rFonts w:ascii="Arial" w:hAnsi="Arial" w:cs="Arial"/>
        </w:rPr>
        <w:t xml:space="preserve">0,6 % </w:t>
      </w:r>
      <w:r>
        <w:rPr>
          <w:rFonts w:ascii="Arial" w:hAnsi="Arial" w:cs="Arial"/>
        </w:rPr>
        <w:t xml:space="preserve">ve srovnání s </w:t>
      </w:r>
      <w:r w:rsidRPr="000A2122">
        <w:rPr>
          <w:rFonts w:ascii="Arial" w:hAnsi="Arial" w:cs="Arial"/>
        </w:rPr>
        <w:t>dlouhodob</w:t>
      </w:r>
      <w:r>
        <w:rPr>
          <w:rFonts w:ascii="Arial" w:hAnsi="Arial" w:cs="Arial"/>
        </w:rPr>
        <w:t>ým</w:t>
      </w:r>
      <w:r w:rsidRPr="000A2122">
        <w:rPr>
          <w:rFonts w:ascii="Arial" w:hAnsi="Arial" w:cs="Arial"/>
        </w:rPr>
        <w:t xml:space="preserve"> průměr</w:t>
      </w:r>
      <w:r>
        <w:rPr>
          <w:rFonts w:ascii="Arial" w:hAnsi="Arial" w:cs="Arial"/>
        </w:rPr>
        <w:t>em</w:t>
      </w:r>
      <w:r w:rsidRPr="000A2122">
        <w:rPr>
          <w:rFonts w:ascii="Arial" w:hAnsi="Arial" w:cs="Arial"/>
        </w:rPr>
        <w:t xml:space="preserve"> 1,7 %). V případě širšího agregátu úvěrů na bydlen</w:t>
      </w:r>
      <w:r>
        <w:rPr>
          <w:rFonts w:ascii="Arial" w:hAnsi="Arial" w:cs="Arial"/>
        </w:rPr>
        <w:t>í</w:t>
      </w:r>
      <w:r w:rsidRPr="000A2122">
        <w:rPr>
          <w:rFonts w:ascii="Arial" w:hAnsi="Arial" w:cs="Arial"/>
        </w:rPr>
        <w:t xml:space="preserve"> je poměr </w:t>
      </w:r>
      <w:r>
        <w:rPr>
          <w:rFonts w:ascii="Arial" w:hAnsi="Arial" w:cs="Arial"/>
        </w:rPr>
        <w:t>nepatrně</w:t>
      </w:r>
      <w:r w:rsidRPr="000A2122">
        <w:rPr>
          <w:rFonts w:ascii="Arial" w:hAnsi="Arial" w:cs="Arial"/>
        </w:rPr>
        <w:t xml:space="preserve"> větší 0,7 % vs. dlouhodobý průměr 2 %. Oba údaje</w:t>
      </w:r>
      <w:r>
        <w:rPr>
          <w:rFonts w:ascii="Arial" w:hAnsi="Arial" w:cs="Arial"/>
        </w:rPr>
        <w:t xml:space="preserve"> jsou</w:t>
      </w:r>
      <w:r w:rsidRPr="000A2122">
        <w:rPr>
          <w:rFonts w:ascii="Arial" w:hAnsi="Arial" w:cs="Arial"/>
        </w:rPr>
        <w:t xml:space="preserve"> výrazně pod někdejšími maximy okolo 3,3 % z let </w:t>
      </w:r>
      <w:r w:rsidR="0009424E" w:rsidRPr="000A2122">
        <w:rPr>
          <w:rFonts w:ascii="Arial" w:hAnsi="Arial" w:cs="Arial"/>
        </w:rPr>
        <w:t>2011</w:t>
      </w:r>
      <w:r w:rsidR="0009424E">
        <w:rPr>
          <w:rFonts w:ascii="Arial" w:hAnsi="Arial" w:cs="Arial"/>
        </w:rPr>
        <w:t>–2013</w:t>
      </w:r>
      <w:r w:rsidRPr="000A2122">
        <w:rPr>
          <w:rFonts w:ascii="Arial" w:hAnsi="Arial" w:cs="Arial"/>
        </w:rPr>
        <w:t>.</w:t>
      </w:r>
      <w:r w:rsidR="00D63679">
        <w:rPr>
          <w:rFonts w:ascii="Arial" w:hAnsi="Arial" w:cs="Arial"/>
        </w:rPr>
        <w:t xml:space="preserve"> </w:t>
      </w:r>
    </w:p>
    <w:p w14:paraId="4D45A262" w14:textId="77777777" w:rsidR="000A2122" w:rsidRPr="000A2122" w:rsidRDefault="000A2122" w:rsidP="000A2122">
      <w:pPr>
        <w:spacing w:after="0"/>
        <w:ind w:right="-454"/>
        <w:rPr>
          <w:rFonts w:ascii="Arial" w:hAnsi="Arial" w:cs="Arial"/>
        </w:rPr>
      </w:pPr>
    </w:p>
    <w:p w14:paraId="3CC86FE1" w14:textId="2F0217DB" w:rsidR="00271BB4" w:rsidRPr="000A2122" w:rsidRDefault="00271BB4" w:rsidP="00271B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-454" w:right="-454"/>
        <w:rPr>
          <w:rFonts w:ascii="Arial" w:hAnsi="Arial" w:cs="Arial"/>
        </w:rPr>
      </w:pPr>
      <w:r w:rsidRPr="000A2122">
        <w:rPr>
          <w:rFonts w:ascii="Arial" w:hAnsi="Arial" w:cs="Arial"/>
          <w:i/>
          <w:iCs/>
        </w:rPr>
        <w:t xml:space="preserve">„Dostupnost bydlení v ČR tak nadále čelí problémům kvůli vysokým cenám nemovitostí, pomalému dokončování nových bytů a rostoucím hypotečním splátkám. K těm bych dále přiřadil nerozvinutý kapitálový trh a pomalý růst potenciálu ekonomiky, </w:t>
      </w:r>
      <w:r>
        <w:rPr>
          <w:rFonts w:ascii="Arial" w:hAnsi="Arial" w:cs="Arial"/>
          <w:i/>
          <w:iCs/>
        </w:rPr>
        <w:t>což</w:t>
      </w:r>
      <w:r w:rsidRPr="000A2122">
        <w:rPr>
          <w:rFonts w:ascii="Arial" w:hAnsi="Arial" w:cs="Arial"/>
          <w:i/>
          <w:iCs/>
        </w:rPr>
        <w:t xml:space="preserve"> se odráží v </w:t>
      </w:r>
      <w:r>
        <w:rPr>
          <w:rFonts w:ascii="Arial" w:hAnsi="Arial" w:cs="Arial"/>
          <w:i/>
          <w:iCs/>
        </w:rPr>
        <w:t>nízkém</w:t>
      </w:r>
      <w:r w:rsidRPr="000A2122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růstu disponibilního </w:t>
      </w:r>
      <w:r w:rsidRPr="000A2122">
        <w:rPr>
          <w:rFonts w:ascii="Arial" w:hAnsi="Arial" w:cs="Arial"/>
          <w:i/>
          <w:iCs/>
        </w:rPr>
        <w:t xml:space="preserve">příjmu obyvatel – </w:t>
      </w:r>
      <w:r>
        <w:rPr>
          <w:rFonts w:ascii="Arial" w:hAnsi="Arial" w:cs="Arial"/>
          <w:i/>
          <w:iCs/>
        </w:rPr>
        <w:t xml:space="preserve">v uplynulém roce </w:t>
      </w:r>
      <w:r w:rsidRPr="000A2122">
        <w:rPr>
          <w:rFonts w:ascii="Arial" w:hAnsi="Arial" w:cs="Arial"/>
          <w:i/>
          <w:iCs/>
        </w:rPr>
        <w:t>nejpomalejší</w:t>
      </w:r>
      <w:r>
        <w:rPr>
          <w:rFonts w:ascii="Arial" w:hAnsi="Arial" w:cs="Arial"/>
          <w:i/>
          <w:iCs/>
        </w:rPr>
        <w:t>m</w:t>
      </w:r>
      <w:r w:rsidRPr="000A2122">
        <w:rPr>
          <w:rFonts w:ascii="Arial" w:hAnsi="Arial" w:cs="Arial"/>
          <w:i/>
          <w:iCs/>
        </w:rPr>
        <w:t xml:space="preserve"> v regionu,“</w:t>
      </w:r>
      <w:r w:rsidRPr="000A2122">
        <w:rPr>
          <w:rFonts w:ascii="Arial" w:hAnsi="Arial" w:cs="Arial"/>
        </w:rPr>
        <w:t xml:space="preserve"> říká </w:t>
      </w:r>
      <w:r w:rsidRPr="000A2122">
        <w:rPr>
          <w:rFonts w:ascii="Arial" w:hAnsi="Arial" w:cs="Arial"/>
          <w:b/>
          <w:bCs/>
        </w:rPr>
        <w:t>Jaromír Šindel, hlavní ekonom České bankovní asociace</w:t>
      </w:r>
      <w:r w:rsidRPr="000A2122">
        <w:rPr>
          <w:rFonts w:ascii="Arial" w:hAnsi="Arial" w:cs="Arial"/>
        </w:rPr>
        <w:t>.</w:t>
      </w:r>
    </w:p>
    <w:p w14:paraId="60298D88" w14:textId="77777777" w:rsidR="000A2122" w:rsidRPr="000A2122" w:rsidRDefault="000A2122" w:rsidP="000A2122">
      <w:pPr>
        <w:spacing w:after="0"/>
        <w:ind w:left="-454" w:right="-454"/>
        <w:rPr>
          <w:rFonts w:ascii="Arial" w:hAnsi="Arial" w:cs="Arial"/>
        </w:rPr>
      </w:pPr>
    </w:p>
    <w:p w14:paraId="3932ED63" w14:textId="5BF6A923" w:rsidR="00B14833" w:rsidRDefault="00B14833" w:rsidP="00B14833">
      <w:pPr>
        <w:spacing w:after="0"/>
        <w:ind w:left="-454" w:right="-454"/>
        <w:rPr>
          <w:rFonts w:ascii="Arial" w:hAnsi="Arial" w:cs="Arial"/>
          <w:b/>
          <w:bCs/>
        </w:rPr>
      </w:pPr>
      <w:r w:rsidRPr="00A40156">
        <w:rPr>
          <w:rFonts w:ascii="Arial" w:hAnsi="Arial" w:cs="Arial"/>
          <w:b/>
          <w:bCs/>
        </w:rPr>
        <w:t>Dostupnost bydlení v</w:t>
      </w:r>
      <w:r>
        <w:rPr>
          <w:rFonts w:ascii="Arial" w:hAnsi="Arial" w:cs="Arial"/>
          <w:b/>
          <w:bCs/>
        </w:rPr>
        <w:t> </w:t>
      </w:r>
      <w:r w:rsidRPr="00A40156">
        <w:rPr>
          <w:rFonts w:ascii="Arial" w:hAnsi="Arial" w:cs="Arial"/>
          <w:b/>
          <w:bCs/>
        </w:rPr>
        <w:t>Česku</w:t>
      </w:r>
      <w:r>
        <w:rPr>
          <w:rFonts w:ascii="Arial" w:hAnsi="Arial" w:cs="Arial"/>
          <w:b/>
          <w:bCs/>
        </w:rPr>
        <w:t xml:space="preserve"> – stále 20 tisíc bytů pod dlouhodobým průměrem</w:t>
      </w:r>
    </w:p>
    <w:p w14:paraId="71C9B3BF" w14:textId="77777777" w:rsidR="00B14833" w:rsidRDefault="00B14833" w:rsidP="00B14833">
      <w:pPr>
        <w:spacing w:after="0"/>
        <w:ind w:left="-454" w:right="-454"/>
        <w:rPr>
          <w:rFonts w:ascii="Arial" w:hAnsi="Arial" w:cs="Arial"/>
        </w:rPr>
      </w:pPr>
      <w:r w:rsidRPr="00A40156">
        <w:rPr>
          <w:rFonts w:ascii="Arial" w:hAnsi="Arial" w:cs="Arial"/>
        </w:rPr>
        <w:t>Navzdory lehce nadprůměrnému zahajování staveb v roce 2024 v České republice a více v Praze a Středočeském kraji</w:t>
      </w:r>
      <w:r>
        <w:rPr>
          <w:rFonts w:ascii="Arial" w:hAnsi="Arial" w:cs="Arial"/>
        </w:rPr>
        <w:t xml:space="preserve"> zůstává</w:t>
      </w:r>
      <w:r w:rsidRPr="00A40156">
        <w:rPr>
          <w:rFonts w:ascii="Arial" w:hAnsi="Arial" w:cs="Arial"/>
        </w:rPr>
        <w:t xml:space="preserve"> počet dokončených bytů pod dlouhodobým průměrem. To vytváří kumulativní deficit přes dvacet tisíc bytů v porovnání s dlouhodobým průměrem, z toho polovina v případě Prahy a Středočeského kraje. </w:t>
      </w:r>
    </w:p>
    <w:p w14:paraId="2583A694" w14:textId="77777777" w:rsidR="00B14833" w:rsidRDefault="00B14833" w:rsidP="00A40156">
      <w:pPr>
        <w:spacing w:after="0"/>
        <w:ind w:left="-454" w:right="-454"/>
        <w:rPr>
          <w:rFonts w:ascii="Arial" w:hAnsi="Arial" w:cs="Arial"/>
          <w:b/>
          <w:bCs/>
        </w:rPr>
      </w:pPr>
    </w:p>
    <w:p w14:paraId="240CE831" w14:textId="77777777" w:rsidR="00C574D0" w:rsidRPr="00A40156" w:rsidRDefault="00C574D0" w:rsidP="00C574D0">
      <w:pPr>
        <w:spacing w:after="0"/>
        <w:ind w:left="-454" w:right="-45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Ceny bytů rostou rychleji než příjmy</w:t>
      </w:r>
    </w:p>
    <w:p w14:paraId="1E345D2B" w14:textId="67B043A8" w:rsidR="00C574D0" w:rsidRDefault="00C574D0" w:rsidP="00C574D0">
      <w:pPr>
        <w:spacing w:after="0"/>
        <w:ind w:left="-454" w:right="-454"/>
        <w:rPr>
          <w:rFonts w:ascii="Arial" w:hAnsi="Arial" w:cs="Arial"/>
        </w:rPr>
      </w:pPr>
      <w:r>
        <w:rPr>
          <w:rFonts w:ascii="Arial" w:hAnsi="Arial" w:cs="Arial"/>
        </w:rPr>
        <w:t>Srovnatelné údaje o cenách nemovitostí poukazují na nár</w:t>
      </w:r>
      <w:r w:rsidR="0009424E">
        <w:rPr>
          <w:rFonts w:ascii="Arial" w:hAnsi="Arial" w:cs="Arial"/>
        </w:rPr>
        <w:t>ů</w:t>
      </w:r>
      <w:r>
        <w:rPr>
          <w:rFonts w:ascii="Arial" w:hAnsi="Arial" w:cs="Arial"/>
        </w:rPr>
        <w:t>st cen nemovitostí o 124</w:t>
      </w:r>
      <w:r w:rsidR="00042B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% ve srovnání s rokem 2015. V rámci regionu byl v letech 2020-2022 nárůst cen druhý nejrychlejší v EU, ale až pátý nejrychlejší v roce 2024. Ovšem c</w:t>
      </w:r>
      <w:r w:rsidRPr="00A40156">
        <w:rPr>
          <w:rFonts w:ascii="Arial" w:hAnsi="Arial" w:cs="Arial"/>
        </w:rPr>
        <w:t xml:space="preserve">eny nemovitostí </w:t>
      </w:r>
      <w:r>
        <w:rPr>
          <w:rFonts w:ascii="Arial" w:hAnsi="Arial" w:cs="Arial"/>
        </w:rPr>
        <w:t xml:space="preserve">opět </w:t>
      </w:r>
      <w:r w:rsidRPr="00A40156">
        <w:rPr>
          <w:rFonts w:ascii="Arial" w:hAnsi="Arial" w:cs="Arial"/>
        </w:rPr>
        <w:t xml:space="preserve">rostou rychleji než disponibilní příjmy českých domácností, což opět prohlubuje nerovnováhu mezi dostupností bydlení a finančními možnostmi obyvatel. V porovnání s rokem 2015 předběhly ceny nemovitostí příjem obyvatele o 24 %. Dostupná čísla za rok 2024 poukazují o dalším nárůstu tohoto nepoměru o 2,4 % za první tři čtvrtletí. To odráží </w:t>
      </w:r>
      <w:r w:rsidR="00F03157">
        <w:rPr>
          <w:rFonts w:ascii="Arial" w:hAnsi="Arial" w:cs="Arial"/>
        </w:rPr>
        <w:t>3</w:t>
      </w:r>
      <w:r w:rsidRPr="00A40156">
        <w:rPr>
          <w:rFonts w:ascii="Arial" w:hAnsi="Arial" w:cs="Arial"/>
        </w:rPr>
        <w:t xml:space="preserve">% nárůst disponibilního příjmu </w:t>
      </w:r>
      <w:r>
        <w:rPr>
          <w:rFonts w:ascii="Arial" w:hAnsi="Arial" w:cs="Arial"/>
        </w:rPr>
        <w:t xml:space="preserve">na obyvatele, který byl slabší </w:t>
      </w:r>
      <w:r w:rsidRPr="00A40156">
        <w:rPr>
          <w:rFonts w:ascii="Arial" w:hAnsi="Arial" w:cs="Arial"/>
        </w:rPr>
        <w:t xml:space="preserve">v porovnání </w:t>
      </w:r>
      <w:r>
        <w:rPr>
          <w:rFonts w:ascii="Arial" w:hAnsi="Arial" w:cs="Arial"/>
        </w:rPr>
        <w:t>s růstem mezd</w:t>
      </w:r>
      <w:r w:rsidRPr="00A40156">
        <w:rPr>
          <w:rFonts w:ascii="Arial" w:hAnsi="Arial" w:cs="Arial"/>
        </w:rPr>
        <w:t xml:space="preserve">. Růst nájemného v roce 2023 snížil poměr mezi cenami nemovitostí a nájemným. Tento poměr </w:t>
      </w:r>
      <w:r>
        <w:rPr>
          <w:rFonts w:ascii="Arial" w:hAnsi="Arial" w:cs="Arial"/>
        </w:rPr>
        <w:t>ovšem</w:t>
      </w:r>
      <w:r w:rsidRPr="00A40156">
        <w:rPr>
          <w:rFonts w:ascii="Arial" w:hAnsi="Arial" w:cs="Arial"/>
        </w:rPr>
        <w:t xml:space="preserve"> v rámci regionálního srovnání </w:t>
      </w:r>
      <w:r>
        <w:rPr>
          <w:rFonts w:ascii="Arial" w:hAnsi="Arial" w:cs="Arial"/>
        </w:rPr>
        <w:t xml:space="preserve">zůstává </w:t>
      </w:r>
      <w:r w:rsidRPr="00A40156">
        <w:rPr>
          <w:rFonts w:ascii="Arial" w:hAnsi="Arial" w:cs="Arial"/>
        </w:rPr>
        <w:t xml:space="preserve">druhý nejvyšší za Maďarskem. </w:t>
      </w:r>
    </w:p>
    <w:p w14:paraId="5622DC6C" w14:textId="77777777" w:rsidR="00A40156" w:rsidRDefault="00A40156" w:rsidP="00A40156">
      <w:pPr>
        <w:spacing w:after="0"/>
        <w:ind w:left="-454" w:right="-454"/>
        <w:rPr>
          <w:rFonts w:ascii="Arial" w:hAnsi="Arial" w:cs="Arial"/>
        </w:rPr>
      </w:pPr>
    </w:p>
    <w:p w14:paraId="44BFCDF5" w14:textId="77777777" w:rsidR="00A40156" w:rsidRDefault="00A40156" w:rsidP="00A40156">
      <w:pPr>
        <w:spacing w:after="0"/>
        <w:ind w:left="-454" w:right="-454"/>
        <w:rPr>
          <w:rFonts w:ascii="Arial" w:hAnsi="Arial" w:cs="Arial"/>
        </w:rPr>
      </w:pPr>
    </w:p>
    <w:p w14:paraId="106596FD" w14:textId="77777777" w:rsidR="00147504" w:rsidRDefault="00147504">
      <w:pPr>
        <w:suppressAutoHyphens w:val="0"/>
        <w:autoSpaceDN/>
        <w:spacing w:line="27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0FE03F5" w14:textId="77777777" w:rsidR="00147504" w:rsidRDefault="00147504" w:rsidP="00A40156">
      <w:pPr>
        <w:spacing w:after="0"/>
        <w:ind w:left="-454" w:right="-454"/>
        <w:rPr>
          <w:rFonts w:ascii="Arial" w:hAnsi="Arial" w:cs="Arial"/>
          <w:b/>
          <w:bCs/>
        </w:rPr>
      </w:pPr>
    </w:p>
    <w:p w14:paraId="57B0F320" w14:textId="77777777" w:rsidR="00147504" w:rsidRDefault="00147504" w:rsidP="00A40156">
      <w:pPr>
        <w:spacing w:after="0"/>
        <w:ind w:left="-454" w:right="-454"/>
        <w:rPr>
          <w:rFonts w:ascii="Arial" w:hAnsi="Arial" w:cs="Arial"/>
          <w:b/>
          <w:bCs/>
        </w:rPr>
      </w:pPr>
    </w:p>
    <w:p w14:paraId="589ACB91" w14:textId="77777777" w:rsidR="00147504" w:rsidRDefault="00147504" w:rsidP="00A40156">
      <w:pPr>
        <w:spacing w:after="0"/>
        <w:ind w:left="-454" w:right="-454"/>
        <w:rPr>
          <w:rFonts w:ascii="Arial" w:hAnsi="Arial" w:cs="Arial"/>
          <w:b/>
          <w:bCs/>
        </w:rPr>
      </w:pPr>
    </w:p>
    <w:p w14:paraId="6821D456" w14:textId="77777777" w:rsidR="00147504" w:rsidRDefault="00147504" w:rsidP="00A40156">
      <w:pPr>
        <w:spacing w:after="0"/>
        <w:ind w:left="-454" w:right="-454"/>
        <w:rPr>
          <w:rFonts w:ascii="Arial" w:hAnsi="Arial" w:cs="Arial"/>
          <w:b/>
          <w:bCs/>
        </w:rPr>
      </w:pPr>
    </w:p>
    <w:p w14:paraId="320BC071" w14:textId="77777777" w:rsidR="00147504" w:rsidRDefault="00147504" w:rsidP="00A40156">
      <w:pPr>
        <w:spacing w:after="0"/>
        <w:ind w:left="-454" w:right="-454"/>
        <w:rPr>
          <w:rFonts w:ascii="Arial" w:hAnsi="Arial" w:cs="Arial"/>
          <w:b/>
          <w:bCs/>
        </w:rPr>
      </w:pPr>
    </w:p>
    <w:p w14:paraId="182BEA31" w14:textId="77777777" w:rsidR="00147504" w:rsidRDefault="00147504" w:rsidP="00A40156">
      <w:pPr>
        <w:spacing w:after="0"/>
        <w:ind w:left="-454" w:right="-454"/>
        <w:rPr>
          <w:rFonts w:ascii="Arial" w:hAnsi="Arial" w:cs="Arial"/>
          <w:b/>
          <w:bCs/>
        </w:rPr>
      </w:pPr>
    </w:p>
    <w:p w14:paraId="6605402D" w14:textId="07E28599" w:rsidR="00A40156" w:rsidRPr="00A40156" w:rsidRDefault="00A40156" w:rsidP="00A40156">
      <w:pPr>
        <w:spacing w:after="0"/>
        <w:ind w:left="-454" w:right="-454"/>
        <w:rPr>
          <w:rFonts w:ascii="Arial" w:hAnsi="Arial" w:cs="Arial"/>
          <w:b/>
          <w:bCs/>
        </w:rPr>
      </w:pPr>
      <w:r w:rsidRPr="00A40156">
        <w:rPr>
          <w:rFonts w:ascii="Arial" w:hAnsi="Arial" w:cs="Arial"/>
          <w:b/>
          <w:bCs/>
        </w:rPr>
        <w:t>Srovnání dostupnosti bydlení v regionu (ČR vs. ostatní země Visegrádu a EU)</w:t>
      </w:r>
    </w:p>
    <w:p w14:paraId="1DCF96E2" w14:textId="77777777" w:rsidR="00A15EEC" w:rsidRDefault="00A15EEC" w:rsidP="00A40156">
      <w:pPr>
        <w:spacing w:after="0"/>
        <w:ind w:left="-454" w:right="-454"/>
        <w:rPr>
          <w:rFonts w:ascii="Arial" w:hAnsi="Arial" w:cs="Arial"/>
          <w:b/>
          <w:bCs/>
        </w:rPr>
      </w:pPr>
    </w:p>
    <w:p w14:paraId="727BDAE2" w14:textId="428C5CC4" w:rsidR="00A40156" w:rsidRPr="00A40156" w:rsidRDefault="00A40156" w:rsidP="00A40156">
      <w:pPr>
        <w:spacing w:after="0"/>
        <w:ind w:left="-454" w:right="-454"/>
        <w:rPr>
          <w:rFonts w:ascii="Arial" w:hAnsi="Arial" w:cs="Arial"/>
          <w:b/>
          <w:bCs/>
        </w:rPr>
      </w:pPr>
      <w:r w:rsidRPr="00A40156">
        <w:rPr>
          <w:rFonts w:ascii="Arial" w:hAnsi="Arial" w:cs="Arial"/>
          <w:b/>
          <w:bCs/>
        </w:rPr>
        <w:t>1. Růst cen nemovitostí v regionu:</w:t>
      </w:r>
    </w:p>
    <w:p w14:paraId="1488F675" w14:textId="77777777" w:rsidR="00A40156" w:rsidRPr="00A40156" w:rsidRDefault="00A40156" w:rsidP="00A40156">
      <w:pPr>
        <w:numPr>
          <w:ilvl w:val="0"/>
          <w:numId w:val="2"/>
        </w:numPr>
        <w:spacing w:after="0"/>
        <w:ind w:right="-454"/>
        <w:rPr>
          <w:rFonts w:ascii="Arial" w:hAnsi="Arial" w:cs="Arial"/>
        </w:rPr>
      </w:pPr>
      <w:r w:rsidRPr="00A40156">
        <w:rPr>
          <w:rFonts w:ascii="Arial" w:hAnsi="Arial" w:cs="Arial"/>
        </w:rPr>
        <w:t xml:space="preserve">Česká republika zaznamenala </w:t>
      </w:r>
      <w:r w:rsidRPr="00A40156">
        <w:rPr>
          <w:rFonts w:ascii="Arial" w:hAnsi="Arial" w:cs="Arial"/>
          <w:b/>
          <w:bCs/>
        </w:rPr>
        <w:t>druhý nejvyšší růst cen nemovitostí v regionu</w:t>
      </w:r>
      <w:r w:rsidRPr="00A40156">
        <w:rPr>
          <w:rFonts w:ascii="Arial" w:hAnsi="Arial" w:cs="Arial"/>
        </w:rPr>
        <w:t xml:space="preserve"> mezi roky 2015 – 2024Q3 (+124 %). </w:t>
      </w:r>
    </w:p>
    <w:p w14:paraId="65639EC6" w14:textId="77777777" w:rsidR="00A40156" w:rsidRPr="00A40156" w:rsidRDefault="00A40156" w:rsidP="00A40156">
      <w:pPr>
        <w:numPr>
          <w:ilvl w:val="0"/>
          <w:numId w:val="2"/>
        </w:numPr>
        <w:spacing w:after="0"/>
        <w:ind w:right="-454"/>
        <w:rPr>
          <w:rFonts w:ascii="Arial" w:hAnsi="Arial" w:cs="Arial"/>
        </w:rPr>
      </w:pPr>
      <w:r w:rsidRPr="00A40156">
        <w:rPr>
          <w:rFonts w:ascii="Arial" w:hAnsi="Arial" w:cs="Arial"/>
        </w:rPr>
        <w:t>Ve srovnání:</w:t>
      </w:r>
    </w:p>
    <w:p w14:paraId="39CEFB94" w14:textId="422D3AD6" w:rsidR="00A40156" w:rsidRPr="00A40156" w:rsidRDefault="00A40156" w:rsidP="00A40156">
      <w:pPr>
        <w:numPr>
          <w:ilvl w:val="1"/>
          <w:numId w:val="2"/>
        </w:numPr>
        <w:spacing w:after="0"/>
        <w:ind w:right="-454"/>
        <w:rPr>
          <w:rFonts w:ascii="Arial" w:hAnsi="Arial" w:cs="Arial"/>
        </w:rPr>
      </w:pPr>
      <w:r w:rsidRPr="00A40156">
        <w:rPr>
          <w:rFonts w:ascii="Arial" w:hAnsi="Arial" w:cs="Arial"/>
          <w:b/>
          <w:bCs/>
        </w:rPr>
        <w:t>Slovensko</w:t>
      </w:r>
      <w:r w:rsidRPr="00A40156">
        <w:rPr>
          <w:rFonts w:ascii="Arial" w:hAnsi="Arial" w:cs="Arial"/>
        </w:rPr>
        <w:t>: +84 %</w:t>
      </w:r>
    </w:p>
    <w:p w14:paraId="54963AF3" w14:textId="5C36F736" w:rsidR="00A40156" w:rsidRPr="00A40156" w:rsidRDefault="00A40156" w:rsidP="00A40156">
      <w:pPr>
        <w:numPr>
          <w:ilvl w:val="1"/>
          <w:numId w:val="2"/>
        </w:numPr>
        <w:spacing w:after="0"/>
        <w:ind w:right="-454"/>
        <w:rPr>
          <w:rFonts w:ascii="Arial" w:hAnsi="Arial" w:cs="Arial"/>
        </w:rPr>
      </w:pPr>
      <w:r w:rsidRPr="00A40156">
        <w:rPr>
          <w:rFonts w:ascii="Arial" w:hAnsi="Arial" w:cs="Arial"/>
          <w:b/>
          <w:bCs/>
        </w:rPr>
        <w:t>Polsko</w:t>
      </w:r>
      <w:r w:rsidRPr="00A40156">
        <w:rPr>
          <w:rFonts w:ascii="Arial" w:hAnsi="Arial" w:cs="Arial"/>
        </w:rPr>
        <w:t>: +109 %</w:t>
      </w:r>
    </w:p>
    <w:p w14:paraId="2260627B" w14:textId="43B6B9CB" w:rsidR="00A40156" w:rsidRPr="00A40156" w:rsidRDefault="00A40156" w:rsidP="00A40156">
      <w:pPr>
        <w:numPr>
          <w:ilvl w:val="1"/>
          <w:numId w:val="2"/>
        </w:numPr>
        <w:spacing w:after="0"/>
        <w:ind w:right="-454"/>
        <w:rPr>
          <w:rFonts w:ascii="Arial" w:hAnsi="Arial" w:cs="Arial"/>
        </w:rPr>
      </w:pPr>
      <w:r w:rsidRPr="00A40156">
        <w:rPr>
          <w:rFonts w:ascii="Arial" w:hAnsi="Arial" w:cs="Arial"/>
          <w:b/>
          <w:bCs/>
        </w:rPr>
        <w:t>Maďarsko</w:t>
      </w:r>
      <w:r w:rsidRPr="00A40156">
        <w:rPr>
          <w:rFonts w:ascii="Arial" w:hAnsi="Arial" w:cs="Arial"/>
        </w:rPr>
        <w:t>: +209 % (nejvyšší růst v regionu)</w:t>
      </w:r>
    </w:p>
    <w:p w14:paraId="66AED93B" w14:textId="54027F28" w:rsidR="00A40156" w:rsidRPr="00A40156" w:rsidRDefault="00A40156" w:rsidP="00A40156">
      <w:pPr>
        <w:numPr>
          <w:ilvl w:val="1"/>
          <w:numId w:val="2"/>
        </w:numPr>
        <w:spacing w:after="0"/>
        <w:ind w:right="-454"/>
        <w:rPr>
          <w:rFonts w:ascii="Arial" w:hAnsi="Arial" w:cs="Arial"/>
        </w:rPr>
      </w:pPr>
      <w:r w:rsidRPr="00A40156">
        <w:rPr>
          <w:rFonts w:ascii="Arial" w:hAnsi="Arial" w:cs="Arial"/>
          <w:b/>
          <w:bCs/>
        </w:rPr>
        <w:t>EU průměr</w:t>
      </w:r>
      <w:r w:rsidRPr="00A40156">
        <w:rPr>
          <w:rFonts w:ascii="Arial" w:hAnsi="Arial" w:cs="Arial"/>
        </w:rPr>
        <w:t>: +54 %</w:t>
      </w:r>
    </w:p>
    <w:p w14:paraId="31EFCE22" w14:textId="77777777" w:rsidR="00481D53" w:rsidRDefault="00481D53" w:rsidP="00A40156">
      <w:pPr>
        <w:spacing w:after="0"/>
        <w:ind w:left="-454" w:right="-454"/>
        <w:rPr>
          <w:rFonts w:ascii="Arial" w:hAnsi="Arial" w:cs="Arial"/>
          <w:b/>
          <w:bCs/>
        </w:rPr>
      </w:pPr>
    </w:p>
    <w:p w14:paraId="5CD09063" w14:textId="20A313CF" w:rsidR="00A40156" w:rsidRPr="00A40156" w:rsidRDefault="00A40156" w:rsidP="00A40156">
      <w:pPr>
        <w:spacing w:after="0"/>
        <w:ind w:left="-454" w:right="-454"/>
        <w:rPr>
          <w:rFonts w:ascii="Arial" w:hAnsi="Arial" w:cs="Arial"/>
        </w:rPr>
      </w:pPr>
      <w:r w:rsidRPr="00A40156">
        <w:rPr>
          <w:rFonts w:ascii="Arial" w:hAnsi="Arial" w:cs="Arial"/>
          <w:b/>
          <w:bCs/>
        </w:rPr>
        <w:t>Dopad:</w:t>
      </w:r>
      <w:r w:rsidRPr="00A40156">
        <w:rPr>
          <w:rFonts w:ascii="Arial" w:hAnsi="Arial" w:cs="Arial"/>
        </w:rPr>
        <w:t xml:space="preserve"> Česká republika patří k zemím, kde ceny nemovitostí rostly výrazně rychleji než v EU, což negativně ovlivňuje dostupnost bydlení.</w:t>
      </w:r>
    </w:p>
    <w:p w14:paraId="24372A48" w14:textId="77777777" w:rsidR="00A40156" w:rsidRDefault="00A40156" w:rsidP="00A40156">
      <w:pPr>
        <w:spacing w:after="0"/>
        <w:ind w:left="-454" w:right="-454"/>
        <w:rPr>
          <w:rFonts w:ascii="Arial" w:hAnsi="Arial" w:cs="Arial"/>
          <w:b/>
          <w:bCs/>
        </w:rPr>
      </w:pPr>
    </w:p>
    <w:p w14:paraId="48400BA4" w14:textId="6555B615" w:rsidR="00A40156" w:rsidRPr="00A40156" w:rsidRDefault="00A40156" w:rsidP="00A40156">
      <w:pPr>
        <w:spacing w:after="0"/>
        <w:ind w:left="-454" w:right="-454"/>
        <w:rPr>
          <w:rFonts w:ascii="Arial" w:hAnsi="Arial" w:cs="Arial"/>
          <w:b/>
          <w:bCs/>
        </w:rPr>
      </w:pPr>
      <w:r w:rsidRPr="00A40156">
        <w:rPr>
          <w:rFonts w:ascii="Arial" w:hAnsi="Arial" w:cs="Arial"/>
          <w:b/>
          <w:bCs/>
        </w:rPr>
        <w:t>2. Poměr cen nemovitostí k příjmům:</w:t>
      </w:r>
    </w:p>
    <w:p w14:paraId="5C0B7F13" w14:textId="77777777" w:rsidR="00A40156" w:rsidRPr="00A40156" w:rsidRDefault="00A40156" w:rsidP="00A40156">
      <w:pPr>
        <w:numPr>
          <w:ilvl w:val="0"/>
          <w:numId w:val="3"/>
        </w:numPr>
        <w:spacing w:after="0"/>
        <w:ind w:right="-454"/>
        <w:rPr>
          <w:rFonts w:ascii="Arial" w:hAnsi="Arial" w:cs="Arial"/>
        </w:rPr>
      </w:pPr>
      <w:r w:rsidRPr="00A40156">
        <w:rPr>
          <w:rFonts w:ascii="Arial" w:hAnsi="Arial" w:cs="Arial"/>
        </w:rPr>
        <w:t>Nerovnováha mezi růstem cen nemovitostí a příjmů v ČR přetrvává.</w:t>
      </w:r>
    </w:p>
    <w:p w14:paraId="4016D657" w14:textId="77777777" w:rsidR="00A40156" w:rsidRPr="00A40156" w:rsidRDefault="00A40156" w:rsidP="00A40156">
      <w:pPr>
        <w:numPr>
          <w:ilvl w:val="0"/>
          <w:numId w:val="3"/>
        </w:numPr>
        <w:spacing w:after="0"/>
        <w:ind w:right="-454"/>
        <w:rPr>
          <w:rFonts w:ascii="Arial" w:hAnsi="Arial" w:cs="Arial"/>
        </w:rPr>
      </w:pPr>
      <w:r w:rsidRPr="00A40156">
        <w:rPr>
          <w:rFonts w:ascii="Arial" w:hAnsi="Arial" w:cs="Arial"/>
        </w:rPr>
        <w:t>Mezi roky 2015–2024:</w:t>
      </w:r>
    </w:p>
    <w:p w14:paraId="4729AAA9" w14:textId="77777777" w:rsidR="00A40156" w:rsidRPr="00A40156" w:rsidRDefault="00A40156" w:rsidP="00A40156">
      <w:pPr>
        <w:numPr>
          <w:ilvl w:val="1"/>
          <w:numId w:val="3"/>
        </w:numPr>
        <w:spacing w:after="0"/>
        <w:ind w:right="-454"/>
        <w:rPr>
          <w:rFonts w:ascii="Arial" w:hAnsi="Arial" w:cs="Arial"/>
        </w:rPr>
      </w:pPr>
      <w:r w:rsidRPr="00A40156">
        <w:rPr>
          <w:rFonts w:ascii="Arial" w:hAnsi="Arial" w:cs="Arial"/>
          <w:b/>
          <w:bCs/>
        </w:rPr>
        <w:t>Ceny nemovitostí</w:t>
      </w:r>
      <w:r w:rsidRPr="00A40156">
        <w:rPr>
          <w:rFonts w:ascii="Arial" w:hAnsi="Arial" w:cs="Arial"/>
        </w:rPr>
        <w:t xml:space="preserve"> vzrostly o </w:t>
      </w:r>
      <w:r w:rsidRPr="00A40156">
        <w:rPr>
          <w:rFonts w:ascii="Arial" w:hAnsi="Arial" w:cs="Arial"/>
          <w:b/>
          <w:bCs/>
        </w:rPr>
        <w:t>123 %</w:t>
      </w:r>
    </w:p>
    <w:p w14:paraId="2484F42E" w14:textId="77777777" w:rsidR="00A40156" w:rsidRPr="00A40156" w:rsidRDefault="00A40156" w:rsidP="00A40156">
      <w:pPr>
        <w:numPr>
          <w:ilvl w:val="1"/>
          <w:numId w:val="3"/>
        </w:numPr>
        <w:spacing w:after="0"/>
        <w:ind w:right="-454"/>
        <w:rPr>
          <w:rFonts w:ascii="Arial" w:hAnsi="Arial" w:cs="Arial"/>
        </w:rPr>
      </w:pPr>
      <w:r w:rsidRPr="00A40156">
        <w:rPr>
          <w:rFonts w:ascii="Arial" w:hAnsi="Arial" w:cs="Arial"/>
          <w:b/>
          <w:bCs/>
        </w:rPr>
        <w:t>Příjmy domácností</w:t>
      </w:r>
      <w:r w:rsidRPr="00A40156">
        <w:rPr>
          <w:rFonts w:ascii="Arial" w:hAnsi="Arial" w:cs="Arial"/>
        </w:rPr>
        <w:t xml:space="preserve"> vzrostly pouze o </w:t>
      </w:r>
      <w:r w:rsidRPr="00A40156">
        <w:rPr>
          <w:rFonts w:ascii="Arial" w:hAnsi="Arial" w:cs="Arial"/>
          <w:b/>
          <w:bCs/>
        </w:rPr>
        <w:t>83 %</w:t>
      </w:r>
    </w:p>
    <w:p w14:paraId="1B9859F0" w14:textId="77777777" w:rsidR="00A40156" w:rsidRPr="00A40156" w:rsidRDefault="00A40156" w:rsidP="00A40156">
      <w:pPr>
        <w:numPr>
          <w:ilvl w:val="1"/>
          <w:numId w:val="3"/>
        </w:numPr>
        <w:spacing w:after="0"/>
        <w:ind w:right="-454"/>
        <w:rPr>
          <w:rFonts w:ascii="Arial" w:hAnsi="Arial" w:cs="Arial"/>
        </w:rPr>
      </w:pPr>
      <w:r w:rsidRPr="00A40156">
        <w:rPr>
          <w:rFonts w:ascii="Arial" w:hAnsi="Arial" w:cs="Arial"/>
          <w:b/>
          <w:bCs/>
        </w:rPr>
        <w:t>Ceny vztažené k příjmům</w:t>
      </w:r>
      <w:r w:rsidRPr="00A40156">
        <w:rPr>
          <w:rFonts w:ascii="Arial" w:hAnsi="Arial" w:cs="Arial"/>
        </w:rPr>
        <w:t xml:space="preserve"> se zvýšily o </w:t>
      </w:r>
      <w:r w:rsidRPr="00A40156">
        <w:rPr>
          <w:rFonts w:ascii="Arial" w:hAnsi="Arial" w:cs="Arial"/>
          <w:b/>
          <w:bCs/>
        </w:rPr>
        <w:t>24 %</w:t>
      </w:r>
    </w:p>
    <w:p w14:paraId="3EBEFBC4" w14:textId="77777777" w:rsidR="00A40156" w:rsidRPr="00A40156" w:rsidRDefault="00A40156" w:rsidP="00A40156">
      <w:pPr>
        <w:spacing w:after="0"/>
        <w:ind w:left="-454" w:right="-454"/>
        <w:rPr>
          <w:rFonts w:ascii="Arial" w:hAnsi="Arial" w:cs="Arial"/>
        </w:rPr>
      </w:pPr>
      <w:r w:rsidRPr="00A40156">
        <w:rPr>
          <w:rFonts w:ascii="Arial" w:hAnsi="Arial" w:cs="Arial"/>
          <w:b/>
          <w:bCs/>
        </w:rPr>
        <w:t>Srovnání:</w:t>
      </w:r>
      <w:r w:rsidRPr="00A40156">
        <w:rPr>
          <w:rFonts w:ascii="Arial" w:hAnsi="Arial" w:cs="Arial"/>
        </w:rPr>
        <w:t xml:space="preserve"> V regionu byl růst cen oproti příjmům mírnější, což znamená menší negativní dopad na dostupnost bydlení. </w:t>
      </w:r>
    </w:p>
    <w:p w14:paraId="736D0365" w14:textId="77777777" w:rsidR="00A40156" w:rsidRDefault="00A40156" w:rsidP="00A40156">
      <w:pPr>
        <w:spacing w:after="0"/>
        <w:ind w:left="-454" w:right="-454"/>
        <w:rPr>
          <w:rFonts w:ascii="Arial" w:hAnsi="Arial" w:cs="Arial"/>
          <w:b/>
          <w:bCs/>
        </w:rPr>
      </w:pPr>
    </w:p>
    <w:p w14:paraId="3FCD7528" w14:textId="735DE026" w:rsidR="00A40156" w:rsidRPr="00A40156" w:rsidRDefault="00A40156" w:rsidP="00A40156">
      <w:pPr>
        <w:spacing w:after="0"/>
        <w:ind w:left="-454" w:right="-454"/>
        <w:rPr>
          <w:rFonts w:ascii="Arial" w:hAnsi="Arial" w:cs="Arial"/>
          <w:b/>
          <w:bCs/>
        </w:rPr>
      </w:pPr>
      <w:r w:rsidRPr="00A40156">
        <w:rPr>
          <w:rFonts w:ascii="Arial" w:hAnsi="Arial" w:cs="Arial"/>
          <w:b/>
          <w:bCs/>
        </w:rPr>
        <w:t>3. Výstavba nových bytů:</w:t>
      </w:r>
    </w:p>
    <w:p w14:paraId="48144909" w14:textId="77777777" w:rsidR="00A40156" w:rsidRPr="00A40156" w:rsidRDefault="00A40156" w:rsidP="00A40156">
      <w:pPr>
        <w:numPr>
          <w:ilvl w:val="0"/>
          <w:numId w:val="4"/>
        </w:numPr>
        <w:spacing w:after="0"/>
        <w:ind w:right="-454"/>
        <w:rPr>
          <w:rFonts w:ascii="Arial" w:hAnsi="Arial" w:cs="Arial"/>
        </w:rPr>
      </w:pPr>
      <w:r w:rsidRPr="00A40156">
        <w:rPr>
          <w:rFonts w:ascii="Arial" w:hAnsi="Arial" w:cs="Arial"/>
          <w:b/>
          <w:bCs/>
        </w:rPr>
        <w:t>V ČR je dlouhodobě nedostatek dokončených bytů.</w:t>
      </w:r>
    </w:p>
    <w:p w14:paraId="4D42BF60" w14:textId="77777777" w:rsidR="00A40156" w:rsidRPr="00A40156" w:rsidRDefault="00A40156" w:rsidP="00A40156">
      <w:pPr>
        <w:numPr>
          <w:ilvl w:val="0"/>
          <w:numId w:val="4"/>
        </w:numPr>
        <w:spacing w:after="0"/>
        <w:ind w:right="-454"/>
        <w:rPr>
          <w:rFonts w:ascii="Arial" w:hAnsi="Arial" w:cs="Arial"/>
        </w:rPr>
      </w:pPr>
      <w:r w:rsidRPr="00A40156">
        <w:rPr>
          <w:rFonts w:ascii="Arial" w:hAnsi="Arial" w:cs="Arial"/>
        </w:rPr>
        <w:t>Mezi lety 2010–2024 kumulativní deficit v Praze a Středočeském kraji činí:</w:t>
      </w:r>
    </w:p>
    <w:p w14:paraId="14B4AF4D" w14:textId="77777777" w:rsidR="00A40156" w:rsidRPr="00A40156" w:rsidRDefault="00A40156" w:rsidP="00A40156">
      <w:pPr>
        <w:numPr>
          <w:ilvl w:val="1"/>
          <w:numId w:val="4"/>
        </w:numPr>
        <w:spacing w:after="0"/>
        <w:ind w:right="-454"/>
        <w:rPr>
          <w:rFonts w:ascii="Arial" w:hAnsi="Arial" w:cs="Arial"/>
        </w:rPr>
      </w:pPr>
      <w:r w:rsidRPr="00A40156">
        <w:rPr>
          <w:rFonts w:ascii="Arial" w:hAnsi="Arial" w:cs="Arial"/>
          <w:b/>
          <w:bCs/>
        </w:rPr>
        <w:t>Zahájené byty</w:t>
      </w:r>
      <w:r w:rsidRPr="00A40156">
        <w:rPr>
          <w:rFonts w:ascii="Arial" w:hAnsi="Arial" w:cs="Arial"/>
        </w:rPr>
        <w:t>: -15,2 tis. pod dlouhodobým průměrem.</w:t>
      </w:r>
    </w:p>
    <w:p w14:paraId="72B5E640" w14:textId="77777777" w:rsidR="00A40156" w:rsidRPr="00A40156" w:rsidRDefault="00A40156" w:rsidP="00A40156">
      <w:pPr>
        <w:numPr>
          <w:ilvl w:val="1"/>
          <w:numId w:val="4"/>
        </w:numPr>
        <w:spacing w:after="0"/>
        <w:ind w:right="-454"/>
        <w:rPr>
          <w:rFonts w:ascii="Arial" w:hAnsi="Arial" w:cs="Arial"/>
        </w:rPr>
      </w:pPr>
      <w:r w:rsidRPr="00A40156">
        <w:rPr>
          <w:rFonts w:ascii="Arial" w:hAnsi="Arial" w:cs="Arial"/>
          <w:b/>
          <w:bCs/>
        </w:rPr>
        <w:t>Dokončené byty</w:t>
      </w:r>
      <w:r w:rsidRPr="00A40156">
        <w:rPr>
          <w:rFonts w:ascii="Arial" w:hAnsi="Arial" w:cs="Arial"/>
        </w:rPr>
        <w:t>: -11,2 tis. pod dlouhodobým průměrem.</w:t>
      </w:r>
    </w:p>
    <w:p w14:paraId="60AD478F" w14:textId="77777777" w:rsidR="00A40156" w:rsidRDefault="00A40156" w:rsidP="00A40156">
      <w:pPr>
        <w:spacing w:after="0"/>
        <w:ind w:left="-454" w:right="-454"/>
        <w:rPr>
          <w:rFonts w:ascii="Arial" w:hAnsi="Arial" w:cs="Arial"/>
        </w:rPr>
      </w:pPr>
    </w:p>
    <w:p w14:paraId="21F6DB48" w14:textId="77777777" w:rsidR="00A40156" w:rsidRDefault="00A40156" w:rsidP="00A40156">
      <w:pPr>
        <w:spacing w:after="0"/>
        <w:ind w:left="-454" w:right="-454"/>
        <w:rPr>
          <w:rFonts w:ascii="Arial" w:hAnsi="Arial" w:cs="Arial"/>
        </w:rPr>
      </w:pPr>
    </w:p>
    <w:p w14:paraId="3F6BCCA3" w14:textId="77777777" w:rsidR="00A40156" w:rsidRDefault="00A40156" w:rsidP="00A40156">
      <w:pPr>
        <w:spacing w:after="0"/>
        <w:ind w:left="-454" w:right="-454"/>
        <w:rPr>
          <w:rFonts w:ascii="Arial" w:hAnsi="Arial" w:cs="Arial"/>
        </w:rPr>
      </w:pPr>
    </w:p>
    <w:p w14:paraId="12242723" w14:textId="77777777" w:rsidR="00A40156" w:rsidRDefault="00A40156" w:rsidP="00A40156">
      <w:pPr>
        <w:spacing w:after="0"/>
        <w:ind w:left="-454" w:right="-454"/>
        <w:rPr>
          <w:rFonts w:ascii="Arial" w:hAnsi="Arial" w:cs="Arial"/>
        </w:rPr>
      </w:pPr>
    </w:p>
    <w:p w14:paraId="62E7E47B" w14:textId="77777777" w:rsidR="00A15EEC" w:rsidRDefault="00A15EEC" w:rsidP="00A15EEC">
      <w:pPr>
        <w:spacing w:after="0"/>
        <w:ind w:right="-454"/>
        <w:rPr>
          <w:rFonts w:ascii="Arial" w:hAnsi="Arial" w:cs="Arial"/>
        </w:rPr>
      </w:pPr>
    </w:p>
    <w:p w14:paraId="134ED571" w14:textId="77777777" w:rsidR="00A15EEC" w:rsidRDefault="00A15EEC" w:rsidP="00A15EEC">
      <w:pPr>
        <w:spacing w:after="0"/>
        <w:ind w:right="-454"/>
        <w:rPr>
          <w:rFonts w:ascii="Arial" w:hAnsi="Arial" w:cs="Arial"/>
        </w:rPr>
      </w:pPr>
    </w:p>
    <w:p w14:paraId="4D409B23" w14:textId="77777777" w:rsidR="00A15EEC" w:rsidRDefault="00A15EEC" w:rsidP="00A15EEC">
      <w:pPr>
        <w:spacing w:after="0"/>
        <w:ind w:right="-454"/>
        <w:rPr>
          <w:rFonts w:ascii="Arial" w:hAnsi="Arial" w:cs="Arial"/>
        </w:rPr>
      </w:pPr>
    </w:p>
    <w:p w14:paraId="73C71AE7" w14:textId="77777777" w:rsidR="00A40156" w:rsidRDefault="00A40156" w:rsidP="00A40156">
      <w:pPr>
        <w:spacing w:after="0"/>
        <w:ind w:left="-454" w:right="-454"/>
        <w:rPr>
          <w:rFonts w:ascii="Arial" w:hAnsi="Arial" w:cs="Arial"/>
        </w:rPr>
      </w:pPr>
    </w:p>
    <w:p w14:paraId="10C2C4C6" w14:textId="77777777" w:rsidR="00A40156" w:rsidRDefault="00A40156" w:rsidP="00A40156">
      <w:pPr>
        <w:spacing w:after="0"/>
        <w:ind w:left="-454" w:right="-454"/>
        <w:rPr>
          <w:rFonts w:ascii="Arial" w:hAnsi="Arial" w:cs="Arial"/>
        </w:rPr>
      </w:pPr>
    </w:p>
    <w:p w14:paraId="4173C44C" w14:textId="77777777" w:rsidR="00A40156" w:rsidRDefault="00A40156" w:rsidP="00A40156">
      <w:pPr>
        <w:spacing w:after="0"/>
        <w:ind w:left="-454" w:right="-454"/>
        <w:rPr>
          <w:rFonts w:ascii="Arial" w:hAnsi="Arial" w:cs="Arial"/>
        </w:rPr>
      </w:pPr>
    </w:p>
    <w:tbl>
      <w:tblPr>
        <w:tblStyle w:val="Mkatabulky1"/>
        <w:tblW w:w="10201" w:type="dxa"/>
        <w:tblInd w:w="-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7"/>
        <w:gridCol w:w="3384"/>
      </w:tblGrid>
      <w:tr w:rsidR="00A40156" w:rsidRPr="007D00CC" w14:paraId="7C82979C" w14:textId="77777777" w:rsidTr="00F11E70">
        <w:trPr>
          <w:trHeight w:val="1560"/>
        </w:trPr>
        <w:tc>
          <w:tcPr>
            <w:tcW w:w="6817" w:type="dxa"/>
            <w:shd w:val="clear" w:color="auto" w:fill="13576B"/>
          </w:tcPr>
          <w:p w14:paraId="4192EB34" w14:textId="77777777" w:rsidR="00A40156" w:rsidRPr="007D00CC" w:rsidRDefault="00A40156" w:rsidP="00F11E70">
            <w:pPr>
              <w:overflowPunct w:val="0"/>
              <w:autoSpaceDE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D00C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O České bankovní asociaci</w:t>
            </w:r>
          </w:p>
          <w:p w14:paraId="3C560873" w14:textId="77777777" w:rsidR="00A40156" w:rsidRPr="007D00CC" w:rsidRDefault="00A40156" w:rsidP="00F11E70">
            <w:pPr>
              <w:overflowPunct w:val="0"/>
              <w:autoSpaceDE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color w:val="FFFFFF"/>
                <w:szCs w:val="20"/>
                <w:lang w:eastAsia="cs-CZ"/>
              </w:rPr>
            </w:pPr>
            <w:r w:rsidRPr="007D00CC">
              <w:rPr>
                <w:rFonts w:ascii="Arial" w:eastAsia="Times New Roman" w:hAnsi="Arial" w:cs="Arial"/>
                <w:color w:val="FFFFFF"/>
                <w:sz w:val="18"/>
                <w:szCs w:val="20"/>
                <w:lang w:eastAsia="cs-CZ"/>
              </w:rPr>
              <w:t xml:space="preserve">Česká bankovní asociace (ČBA) je dobrovolné sdružení 33 bank, které v ČR působí a reprezentuje tak 99 % trhu. </w:t>
            </w:r>
            <w:r>
              <w:rPr>
                <w:rFonts w:ascii="Arial" w:eastAsia="Times New Roman" w:hAnsi="Arial" w:cs="Arial"/>
                <w:color w:val="FFFFFF"/>
                <w:sz w:val="18"/>
                <w:szCs w:val="20"/>
                <w:lang w:eastAsia="cs-CZ"/>
              </w:rPr>
              <w:t>Víc než</w:t>
            </w:r>
            <w:r w:rsidRPr="007D00CC">
              <w:rPr>
                <w:rFonts w:ascii="Arial" w:eastAsia="Times New Roman" w:hAnsi="Arial" w:cs="Arial"/>
                <w:color w:val="FFFFFF"/>
                <w:sz w:val="18"/>
                <w:szCs w:val="20"/>
                <w:lang w:eastAsia="cs-CZ"/>
              </w:rPr>
              <w:t xml:space="preserve"> 30 let podporuje nejen rozvoj bankovního sektoru, ale i celé ekonomiky a všeobecné finanční gramotnosti. ČBA je členem Evropské bankovní federace (EBF).</w:t>
            </w:r>
          </w:p>
          <w:p w14:paraId="4B8F0675" w14:textId="77777777" w:rsidR="00A40156" w:rsidRPr="007D00CC" w:rsidRDefault="00A40156" w:rsidP="00F11E70">
            <w:pPr>
              <w:overflowPunct w:val="0"/>
              <w:autoSpaceDE w:val="0"/>
              <w:adjustRightInd w:val="0"/>
              <w:spacing w:before="120" w:after="120"/>
              <w:jc w:val="both"/>
              <w:textAlignment w:val="baseline"/>
              <w:rPr>
                <w:rFonts w:ascii="Arial" w:eastAsia="Times New Roman" w:hAnsi="Arial" w:cs="Arial"/>
                <w:color w:val="FFFFFF"/>
                <w:sz w:val="18"/>
                <w:szCs w:val="18"/>
                <w:lang w:eastAsia="cs-CZ"/>
              </w:rPr>
            </w:pPr>
            <w:r w:rsidRPr="007D00CC">
              <w:rPr>
                <w:rFonts w:ascii="Arial" w:eastAsia="Times New Roman" w:hAnsi="Arial" w:cs="Arial"/>
                <w:color w:val="FFFFFF"/>
                <w:sz w:val="18"/>
                <w:szCs w:val="18"/>
                <w:lang w:eastAsia="cs-CZ"/>
              </w:rPr>
              <w:t xml:space="preserve">Více informací na </w:t>
            </w:r>
            <w:r w:rsidRPr="007D00CC">
              <w:rPr>
                <w:rFonts w:ascii="Arial" w:eastAsia="Times New Roman" w:hAnsi="Arial" w:cs="Arial"/>
                <w:color w:val="FFFFFF"/>
                <w:sz w:val="18"/>
                <w:szCs w:val="18"/>
                <w:u w:val="single"/>
                <w:lang w:eastAsia="cs-CZ"/>
              </w:rPr>
              <w:t>www.cbaonline.cz.</w:t>
            </w:r>
            <w:r w:rsidRPr="007D00CC">
              <w:rPr>
                <w:rFonts w:ascii="Arial" w:eastAsia="Times New Roman" w:hAnsi="Arial" w:cs="Arial"/>
                <w:color w:val="A9936D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384" w:type="dxa"/>
            <w:shd w:val="clear" w:color="auto" w:fill="A9936D"/>
            <w:vAlign w:val="center"/>
          </w:tcPr>
          <w:p w14:paraId="48F798CF" w14:textId="77777777" w:rsidR="00A40156" w:rsidRPr="007D00CC" w:rsidRDefault="00A40156" w:rsidP="00F11E70">
            <w:pPr>
              <w:overflowPunct w:val="0"/>
              <w:autoSpaceDE w:val="0"/>
              <w:adjustRightInd w:val="0"/>
              <w:spacing w:before="120" w:after="120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D00C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 xml:space="preserve">                Dotazy posílejte na</w:t>
            </w:r>
          </w:p>
          <w:p w14:paraId="5DAE2306" w14:textId="77777777" w:rsidR="00A40156" w:rsidRPr="007D00CC" w:rsidRDefault="00A40156" w:rsidP="00F11E70">
            <w:pPr>
              <w:overflowPunct w:val="0"/>
              <w:autoSpaceDE w:val="0"/>
              <w:adjustRightInd w:val="0"/>
              <w:spacing w:before="120" w:after="120"/>
              <w:jc w:val="center"/>
              <w:textAlignment w:val="baseline"/>
              <w:rPr>
                <w:rFonts w:ascii="Arial" w:eastAsia="Times New Roman" w:hAnsi="Arial" w:cs="Arial"/>
                <w:color w:val="FFFFFF"/>
                <w:sz w:val="18"/>
                <w:szCs w:val="18"/>
                <w:lang w:eastAsia="cs-CZ"/>
              </w:rPr>
            </w:pPr>
            <w:r w:rsidRPr="007D00C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radek.salsa@cbaonline.cz</w:t>
            </w:r>
          </w:p>
        </w:tc>
      </w:tr>
    </w:tbl>
    <w:p w14:paraId="2536C792" w14:textId="77777777" w:rsidR="00A40156" w:rsidRPr="00A40156" w:rsidRDefault="00A40156" w:rsidP="00A40156">
      <w:pPr>
        <w:spacing w:after="0"/>
        <w:ind w:left="-454" w:right="-454"/>
        <w:rPr>
          <w:rFonts w:ascii="Arial" w:hAnsi="Arial" w:cs="Arial"/>
        </w:rPr>
      </w:pPr>
    </w:p>
    <w:sectPr w:rsidR="00A40156" w:rsidRPr="00A4015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2077" w14:textId="77777777" w:rsidR="00BF005A" w:rsidRDefault="00BF005A" w:rsidP="003255BD">
      <w:pPr>
        <w:spacing w:after="0" w:line="240" w:lineRule="auto"/>
      </w:pPr>
      <w:r>
        <w:separator/>
      </w:r>
    </w:p>
  </w:endnote>
  <w:endnote w:type="continuationSeparator" w:id="0">
    <w:p w14:paraId="2073C960" w14:textId="77777777" w:rsidR="00BF005A" w:rsidRDefault="00BF005A" w:rsidP="0032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5B96" w14:textId="77777777" w:rsidR="00BF005A" w:rsidRDefault="00BF005A" w:rsidP="003255BD">
      <w:pPr>
        <w:spacing w:after="0" w:line="240" w:lineRule="auto"/>
      </w:pPr>
      <w:r>
        <w:separator/>
      </w:r>
    </w:p>
  </w:footnote>
  <w:footnote w:type="continuationSeparator" w:id="0">
    <w:p w14:paraId="3BB8BD61" w14:textId="77777777" w:rsidR="00BF005A" w:rsidRDefault="00BF005A" w:rsidP="0032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5779" w14:textId="481B092B" w:rsidR="003255BD" w:rsidRDefault="003255B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3B8B4A" wp14:editId="7E22035A">
          <wp:simplePos x="0" y="0"/>
          <wp:positionH relativeFrom="page">
            <wp:posOffset>6985</wp:posOffset>
          </wp:positionH>
          <wp:positionV relativeFrom="paragraph">
            <wp:posOffset>-448310</wp:posOffset>
          </wp:positionV>
          <wp:extent cx="7543800" cy="1609876"/>
          <wp:effectExtent l="0" t="0" r="0" b="9525"/>
          <wp:wrapNone/>
          <wp:docPr id="1992708717" name="Obrázek 1992708717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Písmo, snímek obrazovky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609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8018B"/>
    <w:multiLevelType w:val="multilevel"/>
    <w:tmpl w:val="D314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1C71F5"/>
    <w:multiLevelType w:val="multilevel"/>
    <w:tmpl w:val="3D9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9A3EE2"/>
    <w:multiLevelType w:val="multilevel"/>
    <w:tmpl w:val="3EC2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46AAB"/>
    <w:multiLevelType w:val="multilevel"/>
    <w:tmpl w:val="DCD0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224161">
    <w:abstractNumId w:val="0"/>
  </w:num>
  <w:num w:numId="2" w16cid:durableId="1832020702">
    <w:abstractNumId w:val="2"/>
  </w:num>
  <w:num w:numId="3" w16cid:durableId="1101340877">
    <w:abstractNumId w:val="1"/>
  </w:num>
  <w:num w:numId="4" w16cid:durableId="1661887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BD"/>
    <w:rsid w:val="00042BEE"/>
    <w:rsid w:val="0009424E"/>
    <w:rsid w:val="000A2122"/>
    <w:rsid w:val="000F6D76"/>
    <w:rsid w:val="00107646"/>
    <w:rsid w:val="0013067E"/>
    <w:rsid w:val="00147504"/>
    <w:rsid w:val="001D4C3D"/>
    <w:rsid w:val="00271BB4"/>
    <w:rsid w:val="002879B7"/>
    <w:rsid w:val="002944DE"/>
    <w:rsid w:val="003255BD"/>
    <w:rsid w:val="003B6E8A"/>
    <w:rsid w:val="003F6DBC"/>
    <w:rsid w:val="00417F9F"/>
    <w:rsid w:val="00455441"/>
    <w:rsid w:val="0046025E"/>
    <w:rsid w:val="00481D53"/>
    <w:rsid w:val="004C26B2"/>
    <w:rsid w:val="005C6265"/>
    <w:rsid w:val="00614FCF"/>
    <w:rsid w:val="006339E1"/>
    <w:rsid w:val="006E3341"/>
    <w:rsid w:val="00702E60"/>
    <w:rsid w:val="0070486B"/>
    <w:rsid w:val="0074208F"/>
    <w:rsid w:val="0076410E"/>
    <w:rsid w:val="00791540"/>
    <w:rsid w:val="007920BC"/>
    <w:rsid w:val="007F3317"/>
    <w:rsid w:val="00836094"/>
    <w:rsid w:val="0096714E"/>
    <w:rsid w:val="00982698"/>
    <w:rsid w:val="00A15EEC"/>
    <w:rsid w:val="00A40156"/>
    <w:rsid w:val="00AD6473"/>
    <w:rsid w:val="00B14833"/>
    <w:rsid w:val="00B54A7A"/>
    <w:rsid w:val="00B6130F"/>
    <w:rsid w:val="00BE676A"/>
    <w:rsid w:val="00BF005A"/>
    <w:rsid w:val="00C574D0"/>
    <w:rsid w:val="00C75CE1"/>
    <w:rsid w:val="00C9134D"/>
    <w:rsid w:val="00CC6866"/>
    <w:rsid w:val="00D63679"/>
    <w:rsid w:val="00DA73EF"/>
    <w:rsid w:val="00E67E09"/>
    <w:rsid w:val="00E8476E"/>
    <w:rsid w:val="00E85E5C"/>
    <w:rsid w:val="00EA4DAC"/>
    <w:rsid w:val="00EF2DCE"/>
    <w:rsid w:val="00EF7B07"/>
    <w:rsid w:val="00F03157"/>
    <w:rsid w:val="00F06E0E"/>
    <w:rsid w:val="00F1097A"/>
    <w:rsid w:val="00F5333A"/>
    <w:rsid w:val="00FE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7C43"/>
  <w15:chartTrackingRefBased/>
  <w15:docId w15:val="{A0935AFA-B9A3-4E52-8DB3-4D60C868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55BD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25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5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5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5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5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5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5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5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5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5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5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5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55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55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55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55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55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55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5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5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5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5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5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55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55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55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5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55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55B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25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55BD"/>
  </w:style>
  <w:style w:type="paragraph" w:styleId="Zpat">
    <w:name w:val="footer"/>
    <w:basedOn w:val="Normln"/>
    <w:link w:val="ZpatChar"/>
    <w:uiPriority w:val="99"/>
    <w:unhideWhenUsed/>
    <w:rsid w:val="00325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55BD"/>
  </w:style>
  <w:style w:type="table" w:styleId="Mkatabulky">
    <w:name w:val="Table Grid"/>
    <w:basedOn w:val="Normlntabulka"/>
    <w:uiPriority w:val="39"/>
    <w:rsid w:val="0032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4602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Mkatabulky1">
    <w:name w:val="Mřížka tabulky1"/>
    <w:basedOn w:val="Normlntabulka"/>
    <w:next w:val="Mkatabulky"/>
    <w:uiPriority w:val="39"/>
    <w:rsid w:val="00A401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8c4d7-45ba-4d00-93d0-69a09126baf1" xsi:nil="true"/>
    <lcf76f155ced4ddcb4097134ff3c332f xmlns="322270df-8b5b-4ec2-b099-61147df9c7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5F44ECE058C34E912D15124DB52A72" ma:contentTypeVersion="13" ma:contentTypeDescription="Vytvoří nový dokument" ma:contentTypeScope="" ma:versionID="45c8779ed5321d17c4671c5b2ae5bfaa">
  <xsd:schema xmlns:xsd="http://www.w3.org/2001/XMLSchema" xmlns:xs="http://www.w3.org/2001/XMLSchema" xmlns:p="http://schemas.microsoft.com/office/2006/metadata/properties" xmlns:ns2="322270df-8b5b-4ec2-b099-61147df9c77a" xmlns:ns3="f8d8c4d7-45ba-4d00-93d0-69a09126baf1" targetNamespace="http://schemas.microsoft.com/office/2006/metadata/properties" ma:root="true" ma:fieldsID="dd98c84b64a28add7de1b5d33f475578" ns2:_="" ns3:_="">
    <xsd:import namespace="322270df-8b5b-4ec2-b099-61147df9c77a"/>
    <xsd:import namespace="f8d8c4d7-45ba-4d00-93d0-69a09126b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270df-8b5b-4ec2-b099-61147df9c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b9633174-c9ad-4794-b226-b9d3860ac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8c4d7-45ba-4d00-93d0-69a09126baf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e4e2b43-a9eb-4839-9117-f0588e89188a}" ma:internalName="TaxCatchAll" ma:showField="CatchAllData" ma:web="f8d8c4d7-45ba-4d00-93d0-69a09126b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550E83-F74F-4BE2-807D-CFC5EC328165}">
  <ds:schemaRefs>
    <ds:schemaRef ds:uri="http://schemas.microsoft.com/office/2006/metadata/properties"/>
    <ds:schemaRef ds:uri="http://schemas.microsoft.com/office/infopath/2007/PartnerControls"/>
    <ds:schemaRef ds:uri="f8d8c4d7-45ba-4d00-93d0-69a09126baf1"/>
    <ds:schemaRef ds:uri="322270df-8b5b-4ec2-b099-61147df9c77a"/>
  </ds:schemaRefs>
</ds:datastoreItem>
</file>

<file path=customXml/itemProps2.xml><?xml version="1.0" encoding="utf-8"?>
<ds:datastoreItem xmlns:ds="http://schemas.openxmlformats.org/officeDocument/2006/customXml" ds:itemID="{306443B1-AD75-4F76-83DD-A1C6FBC60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18D49-6DA2-4423-A310-F45F12521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270df-8b5b-4ec2-b099-61147df9c77a"/>
    <ds:schemaRef ds:uri="f8d8c4d7-45ba-4d00-93d0-69a09126b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1090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Duffek, Adam (ČBA)</dc:creator>
  <cp:keywords/>
  <dc:description/>
  <cp:lastModifiedBy>Duffek, Adam (ČBA)</cp:lastModifiedBy>
  <cp:revision>19</cp:revision>
  <dcterms:created xsi:type="dcterms:W3CDTF">2025-02-25T15:24:00Z</dcterms:created>
  <dcterms:modified xsi:type="dcterms:W3CDTF">2025-02-26T07:59:00Z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0x010100DB5F44ECE058C34E912D15124DB52A72</vt:lpwstr>
  </property>
</Properties>
</file>