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735" w14:textId="35B3BD8E" w:rsidR="00DF154D" w:rsidRDefault="003D3759" w:rsidP="003D3759">
      <w:pPr>
        <w:rPr>
          <w:rFonts w:ascii="Calibri" w:hAnsi="Calibri" w:cs="Calibri"/>
          <w:b/>
          <w:color w:val="13576B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Hypomonitor</w:t>
      </w:r>
      <w:proofErr w:type="spellEnd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: </w:t>
      </w:r>
      <w:r w:rsidR="000C11CC">
        <w:rPr>
          <w:rFonts w:ascii="Calibri" w:hAnsi="Calibri" w:cs="Calibri"/>
          <w:b/>
          <w:color w:val="13576B"/>
          <w:sz w:val="32"/>
          <w:szCs w:val="32"/>
        </w:rPr>
        <w:t xml:space="preserve">Objem nových hypoték vzrostl </w:t>
      </w:r>
      <w:r w:rsidR="00DF154D">
        <w:rPr>
          <w:rFonts w:ascii="Calibri" w:hAnsi="Calibri" w:cs="Calibri"/>
          <w:b/>
          <w:color w:val="13576B"/>
          <w:sz w:val="32"/>
          <w:szCs w:val="32"/>
        </w:rPr>
        <w:t xml:space="preserve">loni na </w:t>
      </w:r>
      <w:r w:rsidR="009174F6">
        <w:rPr>
          <w:rFonts w:ascii="Calibri" w:hAnsi="Calibri" w:cs="Calibri"/>
          <w:b/>
          <w:color w:val="13576B"/>
          <w:sz w:val="32"/>
          <w:szCs w:val="32"/>
        </w:rPr>
        <w:t>228</w:t>
      </w:r>
      <w:r w:rsidR="00DF154D">
        <w:rPr>
          <w:rFonts w:ascii="Calibri" w:hAnsi="Calibri" w:cs="Calibri"/>
          <w:b/>
          <w:color w:val="13576B"/>
          <w:sz w:val="32"/>
          <w:szCs w:val="32"/>
        </w:rPr>
        <w:t xml:space="preserve"> miliard Kč</w:t>
      </w:r>
    </w:p>
    <w:p w14:paraId="4F3263AD" w14:textId="28C627BD" w:rsidR="00574588" w:rsidRPr="00DF154D" w:rsidRDefault="004A44DB" w:rsidP="003D3759">
      <w:pPr>
        <w:rPr>
          <w:rFonts w:ascii="Calibri" w:hAnsi="Calibri" w:cs="Calibri"/>
          <w:b/>
          <w:color w:val="13576B"/>
          <w:sz w:val="24"/>
          <w:szCs w:val="24"/>
          <w:highlight w:val="yellow"/>
        </w:rPr>
      </w:pPr>
      <w:r>
        <w:rPr>
          <w:rFonts w:ascii="Calibri" w:hAnsi="Calibri" w:cs="Calibri"/>
          <w:b/>
          <w:color w:val="13576B"/>
          <w:sz w:val="24"/>
          <w:szCs w:val="24"/>
        </w:rPr>
        <w:t xml:space="preserve">Vánoční zvolnění </w:t>
      </w:r>
      <w:r w:rsidR="009174F6">
        <w:rPr>
          <w:rFonts w:ascii="Calibri" w:hAnsi="Calibri" w:cs="Calibri"/>
          <w:b/>
          <w:color w:val="13576B"/>
          <w:sz w:val="24"/>
          <w:szCs w:val="24"/>
        </w:rPr>
        <w:t xml:space="preserve">hypoteční </w:t>
      </w:r>
      <w:r w:rsidR="00FA5F7E" w:rsidRPr="00DF154D">
        <w:rPr>
          <w:rFonts w:ascii="Calibri" w:hAnsi="Calibri" w:cs="Calibri"/>
          <w:b/>
          <w:color w:val="13576B"/>
          <w:sz w:val="24"/>
          <w:szCs w:val="24"/>
        </w:rPr>
        <w:t>aktivit</w:t>
      </w:r>
      <w:r w:rsidR="009174F6">
        <w:rPr>
          <w:rFonts w:ascii="Calibri" w:hAnsi="Calibri" w:cs="Calibri"/>
          <w:b/>
          <w:color w:val="13576B"/>
          <w:sz w:val="24"/>
          <w:szCs w:val="24"/>
        </w:rPr>
        <w:t>y</w:t>
      </w:r>
      <w:r w:rsidR="00FA5F7E" w:rsidRPr="00DF154D">
        <w:rPr>
          <w:rFonts w:ascii="Calibri" w:hAnsi="Calibri" w:cs="Calibri"/>
          <w:b/>
          <w:color w:val="13576B"/>
          <w:sz w:val="24"/>
          <w:szCs w:val="24"/>
        </w:rPr>
        <w:t xml:space="preserve"> v</w:t>
      </w:r>
      <w:r w:rsidR="00700C93" w:rsidRPr="00DF154D">
        <w:rPr>
          <w:rFonts w:ascii="Calibri" w:hAnsi="Calibri" w:cs="Calibri"/>
          <w:b/>
          <w:color w:val="13576B"/>
          <w:sz w:val="24"/>
          <w:szCs w:val="24"/>
        </w:rPr>
        <w:t> </w:t>
      </w:r>
      <w:r w:rsidR="00C2605E" w:rsidRPr="00DF154D">
        <w:rPr>
          <w:rFonts w:ascii="Calibri" w:hAnsi="Calibri" w:cs="Calibri"/>
          <w:b/>
          <w:color w:val="13576B"/>
          <w:sz w:val="24"/>
          <w:szCs w:val="24"/>
        </w:rPr>
        <w:t xml:space="preserve">prosinci </w:t>
      </w:r>
      <w:r w:rsidR="009174F6">
        <w:rPr>
          <w:rFonts w:ascii="Calibri" w:hAnsi="Calibri" w:cs="Calibri"/>
          <w:b/>
          <w:color w:val="13576B"/>
          <w:sz w:val="24"/>
          <w:szCs w:val="24"/>
        </w:rPr>
        <w:t>a</w:t>
      </w:r>
      <w:r w:rsidR="00465526" w:rsidRPr="00DF154D">
        <w:rPr>
          <w:rFonts w:ascii="Calibri" w:hAnsi="Calibri" w:cs="Calibri"/>
          <w:b/>
          <w:color w:val="13576B"/>
          <w:sz w:val="24"/>
          <w:szCs w:val="24"/>
        </w:rPr>
        <w:t xml:space="preserve"> pokles </w:t>
      </w:r>
      <w:r w:rsidR="000070E2" w:rsidRPr="00DF154D">
        <w:rPr>
          <w:rFonts w:ascii="Calibri" w:hAnsi="Calibri" w:cs="Calibri"/>
          <w:b/>
          <w:color w:val="13576B"/>
          <w:sz w:val="24"/>
          <w:szCs w:val="24"/>
        </w:rPr>
        <w:t>průměrn</w:t>
      </w:r>
      <w:r w:rsidR="005D05FD">
        <w:rPr>
          <w:rFonts w:ascii="Calibri" w:hAnsi="Calibri" w:cs="Calibri"/>
          <w:b/>
          <w:color w:val="13576B"/>
          <w:sz w:val="24"/>
          <w:szCs w:val="24"/>
        </w:rPr>
        <w:t>é</w:t>
      </w:r>
      <w:r w:rsidR="000070E2" w:rsidRPr="00DF154D">
        <w:rPr>
          <w:rFonts w:ascii="Calibri" w:hAnsi="Calibri" w:cs="Calibri"/>
          <w:b/>
          <w:color w:val="13576B"/>
          <w:sz w:val="24"/>
          <w:szCs w:val="24"/>
        </w:rPr>
        <w:t xml:space="preserve"> sazb</w:t>
      </w:r>
      <w:r w:rsidR="00465526" w:rsidRPr="00DF154D">
        <w:rPr>
          <w:rFonts w:ascii="Calibri" w:hAnsi="Calibri" w:cs="Calibri"/>
          <w:b/>
          <w:color w:val="13576B"/>
          <w:sz w:val="24"/>
          <w:szCs w:val="24"/>
        </w:rPr>
        <w:t>y</w:t>
      </w:r>
      <w:r w:rsidR="00530245" w:rsidRPr="00DF154D">
        <w:rPr>
          <w:rFonts w:ascii="Calibri" w:hAnsi="Calibri" w:cs="Calibri"/>
          <w:b/>
          <w:color w:val="13576B"/>
          <w:sz w:val="24"/>
          <w:szCs w:val="24"/>
        </w:rPr>
        <w:t xml:space="preserve"> na </w:t>
      </w:r>
      <w:r w:rsidR="00574588" w:rsidRPr="00DF154D">
        <w:rPr>
          <w:rFonts w:ascii="Calibri" w:hAnsi="Calibri" w:cs="Calibri"/>
          <w:b/>
          <w:color w:val="13576B"/>
          <w:sz w:val="24"/>
          <w:szCs w:val="24"/>
        </w:rPr>
        <w:t>4,</w:t>
      </w:r>
      <w:r w:rsidR="001306A2" w:rsidRPr="00DF154D">
        <w:rPr>
          <w:rFonts w:ascii="Calibri" w:hAnsi="Calibri" w:cs="Calibri"/>
          <w:b/>
          <w:color w:val="13576B"/>
          <w:sz w:val="24"/>
          <w:szCs w:val="24"/>
        </w:rPr>
        <w:t>8</w:t>
      </w:r>
      <w:r w:rsidR="002138C0" w:rsidRPr="00DF154D">
        <w:rPr>
          <w:rFonts w:ascii="Calibri" w:hAnsi="Calibri" w:cs="Calibri"/>
          <w:b/>
          <w:color w:val="13576B"/>
          <w:sz w:val="24"/>
          <w:szCs w:val="24"/>
        </w:rPr>
        <w:t>0</w:t>
      </w:r>
      <w:r w:rsidR="00574588" w:rsidRPr="00DF154D">
        <w:rPr>
          <w:rFonts w:ascii="Calibri" w:hAnsi="Calibri" w:cs="Calibri"/>
          <w:b/>
          <w:color w:val="13576B"/>
          <w:sz w:val="24"/>
          <w:szCs w:val="24"/>
        </w:rPr>
        <w:t xml:space="preserve"> %</w:t>
      </w:r>
      <w:r w:rsidR="007E0A18" w:rsidRPr="00DF154D">
        <w:rPr>
          <w:rFonts w:ascii="Calibri" w:hAnsi="Calibri" w:cs="Calibri"/>
          <w:b/>
          <w:color w:val="13576B"/>
          <w:sz w:val="24"/>
          <w:szCs w:val="24"/>
        </w:rPr>
        <w:t>.</w:t>
      </w:r>
    </w:p>
    <w:bookmarkEnd w:id="0"/>
    <w:p w14:paraId="5E7258BB" w14:textId="77777777" w:rsidR="0001227F" w:rsidRPr="002138C0" w:rsidRDefault="0001227F" w:rsidP="0001227F">
      <w:pPr>
        <w:rPr>
          <w:rFonts w:ascii="Calibri" w:hAnsi="Calibri" w:cs="Calibri"/>
          <w:b/>
          <w:bCs/>
          <w:highlight w:val="yellow"/>
        </w:rPr>
      </w:pPr>
    </w:p>
    <w:p w14:paraId="07047F66" w14:textId="551394D3" w:rsidR="00C56C08" w:rsidRDefault="000C12F1" w:rsidP="0001227F">
      <w:pPr>
        <w:rPr>
          <w:rFonts w:ascii="Calibri" w:hAnsi="Calibri" w:cs="Calibri"/>
          <w:b/>
          <w:color w:val="13576B"/>
          <w:sz w:val="22"/>
          <w:szCs w:val="22"/>
        </w:rPr>
      </w:pPr>
      <w:bookmarkStart w:id="2" w:name="_Hlk111121194"/>
      <w:r w:rsidRPr="00282BE6">
        <w:rPr>
          <w:rFonts w:ascii="Calibri" w:hAnsi="Calibri" w:cs="Calibri"/>
          <w:b/>
          <w:color w:val="13576B"/>
          <w:sz w:val="22"/>
          <w:szCs w:val="22"/>
        </w:rPr>
        <w:t xml:space="preserve">Praha, </w:t>
      </w:r>
      <w:r w:rsidR="005861DC" w:rsidRPr="00282BE6">
        <w:rPr>
          <w:rFonts w:ascii="Calibri" w:hAnsi="Calibri" w:cs="Calibri"/>
          <w:b/>
          <w:color w:val="13576B"/>
          <w:sz w:val="22"/>
          <w:szCs w:val="22"/>
        </w:rPr>
        <w:t>1</w:t>
      </w:r>
      <w:r w:rsidR="001B11F1">
        <w:rPr>
          <w:rFonts w:ascii="Calibri" w:hAnsi="Calibri" w:cs="Calibri"/>
          <w:b/>
          <w:color w:val="13576B"/>
          <w:sz w:val="22"/>
          <w:szCs w:val="22"/>
        </w:rPr>
        <w:t>5</w:t>
      </w:r>
      <w:r w:rsidRPr="00282BE6">
        <w:rPr>
          <w:rFonts w:ascii="Calibri" w:hAnsi="Calibri" w:cs="Calibri"/>
          <w:b/>
          <w:color w:val="13576B"/>
          <w:sz w:val="22"/>
          <w:szCs w:val="22"/>
        </w:rPr>
        <w:t>.</w:t>
      </w:r>
      <w:r w:rsidR="00B96FD4" w:rsidRPr="00282BE6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1B11F1">
        <w:rPr>
          <w:rFonts w:ascii="Calibri" w:hAnsi="Calibri" w:cs="Calibri"/>
          <w:b/>
          <w:color w:val="13576B"/>
          <w:sz w:val="22"/>
          <w:szCs w:val="22"/>
        </w:rPr>
        <w:t>led</w:t>
      </w:r>
      <w:r w:rsidR="005D05FD">
        <w:rPr>
          <w:rFonts w:ascii="Calibri" w:hAnsi="Calibri" w:cs="Calibri"/>
          <w:b/>
          <w:color w:val="13576B"/>
          <w:sz w:val="22"/>
          <w:szCs w:val="22"/>
        </w:rPr>
        <w:t>na</w:t>
      </w:r>
      <w:r w:rsidR="001306A2" w:rsidRPr="00282BE6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Pr="00282BE6">
        <w:rPr>
          <w:rFonts w:ascii="Calibri" w:hAnsi="Calibri" w:cs="Calibri"/>
          <w:b/>
          <w:color w:val="13576B"/>
          <w:sz w:val="22"/>
          <w:szCs w:val="22"/>
        </w:rPr>
        <w:t>202</w:t>
      </w:r>
      <w:r w:rsidR="001B11F1">
        <w:rPr>
          <w:rFonts w:ascii="Calibri" w:hAnsi="Calibri" w:cs="Calibri"/>
          <w:b/>
          <w:color w:val="13576B"/>
          <w:sz w:val="22"/>
          <w:szCs w:val="22"/>
        </w:rPr>
        <w:t>5</w:t>
      </w:r>
      <w:r w:rsidRPr="00282BE6">
        <w:rPr>
          <w:rFonts w:ascii="Calibri" w:hAnsi="Calibri" w:cs="Calibri"/>
          <w:b/>
          <w:color w:val="13576B"/>
          <w:sz w:val="22"/>
          <w:szCs w:val="22"/>
        </w:rPr>
        <w:t xml:space="preserve"> – </w:t>
      </w:r>
      <w:bookmarkEnd w:id="2"/>
      <w:r w:rsidR="00C56C08">
        <w:rPr>
          <w:rFonts w:ascii="Calibri" w:hAnsi="Calibri" w:cs="Calibri"/>
          <w:b/>
          <w:color w:val="13576B"/>
          <w:sz w:val="22"/>
          <w:szCs w:val="22"/>
        </w:rPr>
        <w:t>Za celý rok 2024 poskytly b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 xml:space="preserve">anky a stavební spořitelny nové hypoteční úvěry v hodnotě 228 miliard Kč, což představuje meziroční nárůst o 83 %. Spolu s refinancovanými úvěry za 47 miliard Kč dosáhl celkový objem hypotečního trhu 275 miliard Kč, což je výrazný růst oproti 150 miliardám v roce 2023. I po zohlednění růstu cen nemovitostí </w:t>
      </w:r>
      <w:r w:rsidR="009D7CDF">
        <w:rPr>
          <w:rFonts w:ascii="Calibri" w:hAnsi="Calibri" w:cs="Calibri"/>
          <w:b/>
          <w:color w:val="13576B"/>
          <w:sz w:val="22"/>
          <w:szCs w:val="22"/>
        </w:rPr>
        <w:t>byl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 xml:space="preserve"> reálný růst trhu</w:t>
      </w:r>
      <w:r w:rsidR="009D7CDF">
        <w:rPr>
          <w:rFonts w:ascii="Calibri" w:hAnsi="Calibri" w:cs="Calibri"/>
          <w:b/>
          <w:color w:val="13576B"/>
          <w:sz w:val="22"/>
          <w:szCs w:val="22"/>
        </w:rPr>
        <w:t xml:space="preserve"> stále velmi silný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 xml:space="preserve">. </w:t>
      </w:r>
      <w:r w:rsidR="009D7CDF">
        <w:rPr>
          <w:rFonts w:ascii="Calibri" w:hAnsi="Calibri" w:cs="Calibri"/>
          <w:b/>
          <w:color w:val="13576B"/>
          <w:sz w:val="22"/>
          <w:szCs w:val="22"/>
        </w:rPr>
        <w:t>To odpovídá nárůstu počtu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 xml:space="preserve"> nových hypoték </w:t>
      </w:r>
      <w:r w:rsidR="001B11F1">
        <w:rPr>
          <w:rFonts w:ascii="Calibri" w:hAnsi="Calibri" w:cs="Calibri"/>
          <w:b/>
          <w:color w:val="13576B"/>
          <w:sz w:val="22"/>
          <w:szCs w:val="22"/>
        </w:rPr>
        <w:t xml:space="preserve">v roce 2024 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 xml:space="preserve">o 53 % na 62 tisíc, </w:t>
      </w:r>
      <w:r w:rsidR="00FD5B9B">
        <w:rPr>
          <w:rFonts w:ascii="Calibri" w:hAnsi="Calibri" w:cs="Calibri"/>
          <w:b/>
          <w:color w:val="13576B"/>
          <w:sz w:val="22"/>
          <w:szCs w:val="22"/>
        </w:rPr>
        <w:t>doprovázen</w:t>
      </w:r>
      <w:r w:rsidR="001B11F1">
        <w:rPr>
          <w:rFonts w:ascii="Calibri" w:hAnsi="Calibri" w:cs="Calibri"/>
          <w:b/>
          <w:color w:val="13576B"/>
          <w:sz w:val="22"/>
          <w:szCs w:val="22"/>
        </w:rPr>
        <w:t>ých</w:t>
      </w:r>
      <w:r w:rsidR="00FD5B9B">
        <w:rPr>
          <w:rFonts w:ascii="Calibri" w:hAnsi="Calibri" w:cs="Calibri"/>
          <w:b/>
          <w:color w:val="13576B"/>
          <w:sz w:val="22"/>
          <w:szCs w:val="22"/>
        </w:rPr>
        <w:t xml:space="preserve"> 20% nárůstem průměrné 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>výše hypotéky na 3,7 milionu Kč</w:t>
      </w:r>
      <w:r w:rsidR="00FD5B9B">
        <w:rPr>
          <w:rFonts w:ascii="Calibri" w:hAnsi="Calibri" w:cs="Calibri"/>
          <w:b/>
          <w:color w:val="13576B"/>
          <w:sz w:val="22"/>
          <w:szCs w:val="22"/>
        </w:rPr>
        <w:t xml:space="preserve"> v roce 2024</w:t>
      </w:r>
      <w:r w:rsidR="006D781E">
        <w:rPr>
          <w:rFonts w:ascii="Calibri" w:hAnsi="Calibri" w:cs="Calibri"/>
          <w:b/>
          <w:color w:val="13576B"/>
          <w:sz w:val="22"/>
          <w:szCs w:val="22"/>
        </w:rPr>
        <w:t xml:space="preserve"> a téměř 3,</w:t>
      </w:r>
      <w:r w:rsidR="00906F53">
        <w:rPr>
          <w:rFonts w:ascii="Calibri" w:hAnsi="Calibri" w:cs="Calibri"/>
          <w:b/>
          <w:color w:val="13576B"/>
          <w:sz w:val="22"/>
          <w:szCs w:val="22"/>
        </w:rPr>
        <w:t>8</w:t>
      </w:r>
      <w:r w:rsidR="00E52B26">
        <w:rPr>
          <w:rFonts w:ascii="Calibri" w:hAnsi="Calibri" w:cs="Calibri"/>
          <w:b/>
          <w:color w:val="13576B"/>
          <w:sz w:val="22"/>
          <w:szCs w:val="22"/>
        </w:rPr>
        <w:t>6</w:t>
      </w:r>
      <w:r w:rsidR="006D781E">
        <w:rPr>
          <w:rFonts w:ascii="Calibri" w:hAnsi="Calibri" w:cs="Calibri"/>
          <w:b/>
          <w:color w:val="13576B"/>
          <w:sz w:val="22"/>
          <w:szCs w:val="22"/>
        </w:rPr>
        <w:t xml:space="preserve"> milionu v jeho závěru. 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>V prosinci 2024 poskytly banky nové hypotéky za 19,7 miliardy Kč</w:t>
      </w:r>
      <w:r w:rsidR="00D53179">
        <w:rPr>
          <w:rFonts w:ascii="Calibri" w:hAnsi="Calibri" w:cs="Calibri"/>
          <w:b/>
          <w:color w:val="13576B"/>
          <w:sz w:val="22"/>
          <w:szCs w:val="22"/>
        </w:rPr>
        <w:t xml:space="preserve">. 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>Oproti listopadu aktivita klesla o 8 %, což lze</w:t>
      </w:r>
      <w:r w:rsidR="00906F53">
        <w:rPr>
          <w:rFonts w:ascii="Calibri" w:hAnsi="Calibri" w:cs="Calibri"/>
          <w:b/>
          <w:color w:val="13576B"/>
          <w:sz w:val="22"/>
          <w:szCs w:val="22"/>
        </w:rPr>
        <w:t xml:space="preserve"> ovšem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 xml:space="preserve"> přičíst sezónním</w:t>
      </w:r>
      <w:r w:rsidR="005D05FD">
        <w:rPr>
          <w:rFonts w:ascii="Calibri" w:hAnsi="Calibri" w:cs="Calibri"/>
          <w:b/>
          <w:color w:val="13576B"/>
          <w:sz w:val="22"/>
          <w:szCs w:val="22"/>
        </w:rPr>
        <w:t>u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 xml:space="preserve"> vliv</w:t>
      </w:r>
      <w:r w:rsidR="00906F53">
        <w:rPr>
          <w:rFonts w:ascii="Calibri" w:hAnsi="Calibri" w:cs="Calibri"/>
          <w:b/>
          <w:color w:val="13576B"/>
          <w:sz w:val="22"/>
          <w:szCs w:val="22"/>
        </w:rPr>
        <w:t>u Vánoc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 xml:space="preserve">. Průměrná sazba hypoték </w:t>
      </w:r>
      <w:r w:rsidR="00906F53" w:rsidRPr="00906F53">
        <w:rPr>
          <w:rFonts w:ascii="Calibri" w:hAnsi="Calibri" w:cs="Calibri"/>
          <w:b/>
          <w:color w:val="13576B"/>
          <w:sz w:val="22"/>
          <w:szCs w:val="22"/>
        </w:rPr>
        <w:t xml:space="preserve">nepatrně dále </w:t>
      </w:r>
      <w:r w:rsidR="00906F53">
        <w:rPr>
          <w:rFonts w:ascii="Calibri" w:hAnsi="Calibri" w:cs="Calibri"/>
          <w:b/>
          <w:color w:val="13576B"/>
          <w:sz w:val="22"/>
          <w:szCs w:val="22"/>
        </w:rPr>
        <w:t>poklesla</w:t>
      </w:r>
      <w:r w:rsidR="00906F53" w:rsidRPr="00906F53">
        <w:rPr>
          <w:rFonts w:ascii="Calibri" w:hAnsi="Calibri" w:cs="Calibri"/>
          <w:b/>
          <w:color w:val="13576B"/>
          <w:sz w:val="22"/>
          <w:szCs w:val="22"/>
        </w:rPr>
        <w:t xml:space="preserve"> na 4,80 % z listopadových 4,85 %. </w:t>
      </w:r>
      <w:r w:rsidR="00C53EEF">
        <w:rPr>
          <w:rFonts w:ascii="Calibri" w:hAnsi="Calibri" w:cs="Calibri"/>
          <w:b/>
          <w:color w:val="13576B"/>
          <w:sz w:val="22"/>
          <w:szCs w:val="22"/>
        </w:rPr>
        <w:t xml:space="preserve">Její meziroční pokles </w:t>
      </w:r>
      <w:r w:rsidR="00906F53" w:rsidRPr="00906F53">
        <w:rPr>
          <w:rFonts w:ascii="Calibri" w:hAnsi="Calibri" w:cs="Calibri"/>
          <w:b/>
          <w:color w:val="13576B"/>
          <w:sz w:val="22"/>
          <w:szCs w:val="22"/>
        </w:rPr>
        <w:t>snižuje splátky přibližně o 2,2</w:t>
      </w:r>
      <w:r w:rsidR="005D05FD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906F53" w:rsidRPr="00906F53">
        <w:rPr>
          <w:rFonts w:ascii="Calibri" w:hAnsi="Calibri" w:cs="Calibri"/>
          <w:b/>
          <w:color w:val="13576B"/>
          <w:sz w:val="22"/>
          <w:szCs w:val="22"/>
        </w:rPr>
        <w:t>% čistého př</w:t>
      </w:r>
      <w:r w:rsidR="005D05FD">
        <w:rPr>
          <w:rFonts w:ascii="Calibri" w:hAnsi="Calibri" w:cs="Calibri"/>
          <w:b/>
          <w:color w:val="13576B"/>
          <w:sz w:val="22"/>
          <w:szCs w:val="22"/>
        </w:rPr>
        <w:t>í</w:t>
      </w:r>
      <w:r w:rsidR="00906F53" w:rsidRPr="00906F53">
        <w:rPr>
          <w:rFonts w:ascii="Calibri" w:hAnsi="Calibri" w:cs="Calibri"/>
          <w:b/>
          <w:color w:val="13576B"/>
          <w:sz w:val="22"/>
          <w:szCs w:val="22"/>
        </w:rPr>
        <w:t>jmu žadatele o hypotéku</w:t>
      </w:r>
      <w:r w:rsidR="00906F53">
        <w:rPr>
          <w:rFonts w:ascii="Calibri" w:hAnsi="Calibri" w:cs="Calibri"/>
          <w:b/>
          <w:color w:val="13576B"/>
          <w:sz w:val="22"/>
          <w:szCs w:val="22"/>
        </w:rPr>
        <w:t xml:space="preserve">. Pokud trh udrží prosincovou dynamiku, tak </w:t>
      </w:r>
      <w:r w:rsidR="001002CD">
        <w:rPr>
          <w:rFonts w:ascii="Calibri" w:hAnsi="Calibri" w:cs="Calibri"/>
          <w:b/>
          <w:color w:val="13576B"/>
          <w:sz w:val="22"/>
          <w:szCs w:val="22"/>
        </w:rPr>
        <w:t xml:space="preserve">by 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>objem nových hypoték mohl v roce 2025 dosáhnout úrovně 250 miliard Kč</w:t>
      </w:r>
      <w:r w:rsidR="00263207">
        <w:rPr>
          <w:rFonts w:ascii="Calibri" w:hAnsi="Calibri" w:cs="Calibri"/>
          <w:b/>
          <w:color w:val="13576B"/>
          <w:sz w:val="22"/>
          <w:szCs w:val="22"/>
        </w:rPr>
        <w:t>, což by představovalo 10% meziroční nárůst</w:t>
      </w:r>
      <w:r w:rsidR="00C56C08" w:rsidRPr="00C56C08">
        <w:rPr>
          <w:rFonts w:ascii="Calibri" w:hAnsi="Calibri" w:cs="Calibri"/>
          <w:b/>
          <w:color w:val="13576B"/>
          <w:sz w:val="22"/>
          <w:szCs w:val="22"/>
        </w:rPr>
        <w:t xml:space="preserve">. </w:t>
      </w:r>
      <w:r w:rsidR="00906F53" w:rsidRPr="00515A05">
        <w:rPr>
          <w:rFonts w:ascii="Calibri" w:hAnsi="Calibri" w:cs="Calibri"/>
          <w:b/>
          <w:color w:val="13576B"/>
          <w:sz w:val="22"/>
          <w:szCs w:val="22"/>
        </w:rPr>
        <w:t>Uvedené informace plynou z údajů ČBA Hypomonitoru, který zachycuje data všech tuzemských bank a stavebních spořitelen poskytujících hypoteční úvěry.</w:t>
      </w:r>
    </w:p>
    <w:p w14:paraId="30EA56FC" w14:textId="77777777" w:rsidR="00C56C08" w:rsidRDefault="00C56C08" w:rsidP="0001227F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44AD2489" w14:textId="298A57C8" w:rsidR="002A5D11" w:rsidRPr="00C53EEF" w:rsidRDefault="002A5D11" w:rsidP="002A5D11">
      <w:pPr>
        <w:rPr>
          <w:rFonts w:ascii="Calibri" w:hAnsi="Calibri" w:cs="Calibri"/>
          <w:b/>
          <w:color w:val="13576B"/>
          <w:sz w:val="24"/>
          <w:szCs w:val="24"/>
        </w:rPr>
      </w:pPr>
      <w:r w:rsidRPr="00C53EEF">
        <w:rPr>
          <w:rFonts w:ascii="Calibri" w:hAnsi="Calibri" w:cs="Calibri"/>
          <w:b/>
          <w:color w:val="13576B"/>
          <w:sz w:val="24"/>
          <w:szCs w:val="24"/>
        </w:rPr>
        <w:t xml:space="preserve">Objem poskytnutých hypoték v prosinci poklesl, ale na vrub Vánoc </w:t>
      </w:r>
    </w:p>
    <w:p w14:paraId="1A2432CD" w14:textId="77777777" w:rsidR="00C56C08" w:rsidRPr="00C53EEF" w:rsidRDefault="00C56C08" w:rsidP="0001227F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03DD84D0" w14:textId="6B4142B5" w:rsidR="005B4653" w:rsidRPr="005B4653" w:rsidRDefault="006B1FE2" w:rsidP="005B4653">
      <w:pPr>
        <w:rPr>
          <w:rFonts w:ascii="Calibri" w:hAnsi="Calibri" w:cs="Calibri"/>
          <w:bCs/>
          <w:sz w:val="22"/>
          <w:szCs w:val="22"/>
        </w:rPr>
      </w:pPr>
      <w:r w:rsidRPr="003F159E">
        <w:rPr>
          <w:rFonts w:ascii="Calibri" w:hAnsi="Calibri" w:cs="Calibri"/>
          <w:b/>
          <w:sz w:val="22"/>
          <w:szCs w:val="22"/>
        </w:rPr>
        <w:t xml:space="preserve">V samotném prosinci poskytly banky a stavební spořitelny skutečně nové hypoteční úvěry za </w:t>
      </w:r>
      <w:r w:rsidR="008E136A" w:rsidRPr="003F159E">
        <w:rPr>
          <w:rFonts w:ascii="Calibri" w:hAnsi="Calibri" w:cs="Calibri"/>
          <w:b/>
          <w:sz w:val="22"/>
          <w:szCs w:val="22"/>
        </w:rPr>
        <w:t>19,7</w:t>
      </w:r>
      <w:r w:rsidR="00AF2617" w:rsidRPr="003F159E">
        <w:rPr>
          <w:rFonts w:ascii="Calibri" w:hAnsi="Calibri" w:cs="Calibri"/>
          <w:b/>
          <w:sz w:val="22"/>
          <w:szCs w:val="22"/>
        </w:rPr>
        <w:t xml:space="preserve"> mld. Kč</w:t>
      </w:r>
      <w:r w:rsidRPr="003F159E">
        <w:rPr>
          <w:rFonts w:ascii="Calibri" w:hAnsi="Calibri" w:cs="Calibri"/>
          <w:b/>
          <w:sz w:val="22"/>
          <w:szCs w:val="22"/>
        </w:rPr>
        <w:t xml:space="preserve"> a k tomu klienti navíc refinancoval</w:t>
      </w:r>
      <w:r w:rsidR="005D05FD">
        <w:rPr>
          <w:rFonts w:ascii="Calibri" w:hAnsi="Calibri" w:cs="Calibri"/>
          <w:b/>
          <w:sz w:val="22"/>
          <w:szCs w:val="22"/>
        </w:rPr>
        <w:t>i</w:t>
      </w:r>
      <w:r w:rsidRPr="003F159E">
        <w:rPr>
          <w:rFonts w:ascii="Calibri" w:hAnsi="Calibri" w:cs="Calibri"/>
          <w:b/>
          <w:sz w:val="22"/>
          <w:szCs w:val="22"/>
        </w:rPr>
        <w:t xml:space="preserve"> své hypotéky v rozsahu </w:t>
      </w:r>
      <w:r w:rsidR="008E136A" w:rsidRPr="003F159E">
        <w:rPr>
          <w:rFonts w:ascii="Calibri" w:hAnsi="Calibri" w:cs="Calibri"/>
          <w:b/>
          <w:sz w:val="22"/>
          <w:szCs w:val="22"/>
        </w:rPr>
        <w:t>4,1</w:t>
      </w:r>
      <w:r w:rsidRPr="003F159E">
        <w:rPr>
          <w:rFonts w:ascii="Calibri" w:hAnsi="Calibri" w:cs="Calibri"/>
          <w:b/>
          <w:sz w:val="22"/>
          <w:szCs w:val="22"/>
        </w:rPr>
        <w:t xml:space="preserve"> mld. Kč. </w:t>
      </w:r>
      <w:r w:rsidR="008E136A" w:rsidRPr="003F159E">
        <w:rPr>
          <w:rFonts w:ascii="Calibri" w:hAnsi="Calibri" w:cs="Calibri"/>
          <w:bCs/>
          <w:sz w:val="22"/>
          <w:szCs w:val="22"/>
        </w:rPr>
        <w:t>Oproti listopadu tak</w:t>
      </w:r>
      <w:r w:rsidR="001306A2" w:rsidRPr="003F159E">
        <w:rPr>
          <w:rFonts w:ascii="Calibri" w:hAnsi="Calibri" w:cs="Calibri"/>
          <w:bCs/>
          <w:sz w:val="22"/>
          <w:szCs w:val="22"/>
        </w:rPr>
        <w:t xml:space="preserve"> </w:t>
      </w:r>
      <w:r w:rsidR="00AF2617" w:rsidRPr="003F159E">
        <w:rPr>
          <w:rFonts w:ascii="Calibri" w:hAnsi="Calibri" w:cs="Calibri"/>
          <w:bCs/>
          <w:sz w:val="22"/>
          <w:szCs w:val="22"/>
        </w:rPr>
        <w:t xml:space="preserve">hypoteční aktivita </w:t>
      </w:r>
      <w:r w:rsidR="006C7663" w:rsidRPr="003F159E">
        <w:rPr>
          <w:rFonts w:ascii="Calibri" w:hAnsi="Calibri" w:cs="Calibri"/>
          <w:bCs/>
          <w:sz w:val="22"/>
          <w:szCs w:val="22"/>
        </w:rPr>
        <w:t>klesla přibližně o 8</w:t>
      </w:r>
      <w:r w:rsidR="00FE175F" w:rsidRPr="003F159E">
        <w:rPr>
          <w:rFonts w:ascii="Calibri" w:hAnsi="Calibri" w:cs="Calibri"/>
          <w:bCs/>
          <w:sz w:val="22"/>
          <w:szCs w:val="22"/>
        </w:rPr>
        <w:t xml:space="preserve"> %, což lze ovšem částečně připsat spíše sezónnímu </w:t>
      </w:r>
      <w:r w:rsidR="007F3B50" w:rsidRPr="003F159E">
        <w:rPr>
          <w:rFonts w:ascii="Calibri" w:hAnsi="Calibri" w:cs="Calibri"/>
          <w:bCs/>
          <w:sz w:val="22"/>
          <w:szCs w:val="22"/>
        </w:rPr>
        <w:t>vliv</w:t>
      </w:r>
      <w:r w:rsidR="002A5D11" w:rsidRPr="003F159E">
        <w:rPr>
          <w:rFonts w:ascii="Calibri" w:hAnsi="Calibri" w:cs="Calibri"/>
          <w:bCs/>
          <w:sz w:val="22"/>
          <w:szCs w:val="22"/>
        </w:rPr>
        <w:t>u Vánoc</w:t>
      </w:r>
      <w:r w:rsidR="007F3B50" w:rsidRPr="003F159E">
        <w:rPr>
          <w:rFonts w:ascii="Calibri" w:hAnsi="Calibri" w:cs="Calibri"/>
          <w:bCs/>
          <w:sz w:val="22"/>
          <w:szCs w:val="22"/>
        </w:rPr>
        <w:t xml:space="preserve">. Naopak po úpravě o rozdílný počet </w:t>
      </w:r>
      <w:r w:rsidR="00FB7510" w:rsidRPr="003F159E">
        <w:rPr>
          <w:rFonts w:ascii="Calibri" w:hAnsi="Calibri" w:cs="Calibri"/>
          <w:bCs/>
          <w:sz w:val="22"/>
          <w:szCs w:val="22"/>
        </w:rPr>
        <w:t xml:space="preserve">pracovních dní přinesla </w:t>
      </w:r>
      <w:r w:rsidR="000F0A03" w:rsidRPr="003F159E">
        <w:rPr>
          <w:rFonts w:ascii="Calibri" w:hAnsi="Calibri" w:cs="Calibri"/>
          <w:bCs/>
          <w:sz w:val="22"/>
          <w:szCs w:val="22"/>
        </w:rPr>
        <w:t>prosincová čísla</w:t>
      </w:r>
      <w:r w:rsidR="00FB7510" w:rsidRPr="003F159E">
        <w:rPr>
          <w:rFonts w:ascii="Calibri" w:hAnsi="Calibri" w:cs="Calibri"/>
          <w:bCs/>
          <w:sz w:val="22"/>
          <w:szCs w:val="22"/>
        </w:rPr>
        <w:t xml:space="preserve"> mírný nárůst</w:t>
      </w:r>
      <w:r w:rsidR="003C185F" w:rsidRPr="003F159E">
        <w:rPr>
          <w:rFonts w:ascii="Calibri" w:hAnsi="Calibri" w:cs="Calibri"/>
          <w:bCs/>
          <w:sz w:val="22"/>
          <w:szCs w:val="22"/>
        </w:rPr>
        <w:t xml:space="preserve"> a z</w:t>
      </w:r>
      <w:r w:rsidR="00ED23A2" w:rsidRPr="003F159E">
        <w:rPr>
          <w:rFonts w:ascii="Calibri" w:hAnsi="Calibri" w:cs="Calibri"/>
          <w:bCs/>
          <w:sz w:val="22"/>
          <w:szCs w:val="22"/>
        </w:rPr>
        <w:t>ůst</w:t>
      </w:r>
      <w:r w:rsidR="003C185F" w:rsidRPr="003F159E">
        <w:rPr>
          <w:rFonts w:ascii="Calibri" w:hAnsi="Calibri" w:cs="Calibri"/>
          <w:bCs/>
          <w:sz w:val="22"/>
          <w:szCs w:val="22"/>
        </w:rPr>
        <w:t>ala tak přibližně</w:t>
      </w:r>
      <w:r w:rsidR="00CE0CE1" w:rsidRPr="003F159E">
        <w:rPr>
          <w:rFonts w:ascii="Calibri" w:hAnsi="Calibri" w:cs="Calibri"/>
          <w:bCs/>
          <w:sz w:val="22"/>
          <w:szCs w:val="22"/>
        </w:rPr>
        <w:t xml:space="preserve"> o čtvrtinu</w:t>
      </w:r>
      <w:r w:rsidR="002A5D11" w:rsidRPr="003F159E">
        <w:rPr>
          <w:rFonts w:ascii="Calibri" w:hAnsi="Calibri" w:cs="Calibri"/>
          <w:bCs/>
          <w:sz w:val="22"/>
          <w:szCs w:val="22"/>
        </w:rPr>
        <w:t xml:space="preserve"> výše</w:t>
      </w:r>
      <w:r w:rsidR="00CE0CE1" w:rsidRPr="003F159E">
        <w:rPr>
          <w:rFonts w:ascii="Calibri" w:hAnsi="Calibri" w:cs="Calibri"/>
          <w:bCs/>
          <w:sz w:val="22"/>
          <w:szCs w:val="22"/>
        </w:rPr>
        <w:t xml:space="preserve"> </w:t>
      </w:r>
      <w:r w:rsidR="00ED23A2" w:rsidRPr="003F159E">
        <w:rPr>
          <w:rFonts w:ascii="Calibri" w:hAnsi="Calibri" w:cs="Calibri"/>
          <w:bCs/>
          <w:sz w:val="22"/>
          <w:szCs w:val="22"/>
        </w:rPr>
        <w:t>ve srovnání s první polovinou letošního roku.</w:t>
      </w:r>
      <w:r w:rsidR="000F0A03" w:rsidRPr="003F159E">
        <w:rPr>
          <w:rFonts w:ascii="Calibri" w:hAnsi="Calibri" w:cs="Calibri"/>
          <w:bCs/>
          <w:sz w:val="22"/>
          <w:szCs w:val="22"/>
        </w:rPr>
        <w:t xml:space="preserve"> </w:t>
      </w:r>
      <w:r w:rsidR="00ED23A2" w:rsidRPr="003F159E">
        <w:rPr>
          <w:rFonts w:ascii="Calibri" w:hAnsi="Calibri" w:cs="Calibri"/>
          <w:bCs/>
          <w:sz w:val="22"/>
          <w:szCs w:val="22"/>
        </w:rPr>
        <w:t>V m</w:t>
      </w:r>
      <w:r w:rsidR="00AF2617" w:rsidRPr="003F159E">
        <w:rPr>
          <w:rFonts w:ascii="Calibri" w:hAnsi="Calibri" w:cs="Calibri"/>
          <w:bCs/>
          <w:sz w:val="22"/>
          <w:szCs w:val="22"/>
        </w:rPr>
        <w:t xml:space="preserve">eziročním vyjádření růst </w:t>
      </w:r>
      <w:r w:rsidR="004522D4" w:rsidRPr="003F159E">
        <w:rPr>
          <w:rFonts w:ascii="Calibri" w:hAnsi="Calibri" w:cs="Calibri"/>
          <w:bCs/>
          <w:sz w:val="22"/>
          <w:szCs w:val="22"/>
        </w:rPr>
        <w:t>objemu poskytnutých hypoték</w:t>
      </w:r>
      <w:r w:rsidR="00C01BF8" w:rsidRPr="003F159E">
        <w:rPr>
          <w:rFonts w:ascii="Calibri" w:hAnsi="Calibri" w:cs="Calibri"/>
          <w:bCs/>
          <w:sz w:val="22"/>
          <w:szCs w:val="22"/>
        </w:rPr>
        <w:t xml:space="preserve"> v</w:t>
      </w:r>
      <w:r w:rsidR="00493C14" w:rsidRPr="003F159E">
        <w:rPr>
          <w:rFonts w:ascii="Calibri" w:hAnsi="Calibri" w:cs="Calibri"/>
          <w:bCs/>
          <w:sz w:val="22"/>
          <w:szCs w:val="22"/>
        </w:rPr>
        <w:t> </w:t>
      </w:r>
      <w:r w:rsidR="00CE0CE1" w:rsidRPr="003F159E">
        <w:rPr>
          <w:rFonts w:ascii="Calibri" w:hAnsi="Calibri" w:cs="Calibri"/>
          <w:bCs/>
          <w:sz w:val="22"/>
          <w:szCs w:val="22"/>
        </w:rPr>
        <w:t>prosinci</w:t>
      </w:r>
      <w:r w:rsidR="00493C14" w:rsidRPr="003F159E">
        <w:rPr>
          <w:rFonts w:ascii="Calibri" w:hAnsi="Calibri" w:cs="Calibri"/>
          <w:bCs/>
          <w:sz w:val="22"/>
          <w:szCs w:val="22"/>
        </w:rPr>
        <w:t xml:space="preserve"> dále zvolnil na 56</w:t>
      </w:r>
      <w:r w:rsidR="005B4653">
        <w:rPr>
          <w:rFonts w:ascii="Calibri" w:hAnsi="Calibri" w:cs="Calibri"/>
          <w:bCs/>
          <w:sz w:val="22"/>
          <w:szCs w:val="22"/>
        </w:rPr>
        <w:t xml:space="preserve"> </w:t>
      </w:r>
      <w:r w:rsidR="00493C14" w:rsidRPr="003F159E">
        <w:rPr>
          <w:rFonts w:ascii="Calibri" w:hAnsi="Calibri" w:cs="Calibri"/>
          <w:bCs/>
          <w:sz w:val="22"/>
          <w:szCs w:val="22"/>
        </w:rPr>
        <w:t>%</w:t>
      </w:r>
      <w:r w:rsidR="00AF2617" w:rsidRPr="003F159E">
        <w:rPr>
          <w:rFonts w:ascii="Calibri" w:hAnsi="Calibri" w:cs="Calibri"/>
          <w:bCs/>
          <w:sz w:val="22"/>
          <w:szCs w:val="22"/>
        </w:rPr>
        <w:t xml:space="preserve"> </w:t>
      </w:r>
      <w:r w:rsidR="001306A2" w:rsidRPr="003F159E">
        <w:rPr>
          <w:rFonts w:ascii="Calibri" w:hAnsi="Calibri" w:cs="Calibri"/>
          <w:bCs/>
          <w:sz w:val="22"/>
          <w:szCs w:val="22"/>
        </w:rPr>
        <w:t>z</w:t>
      </w:r>
      <w:r w:rsidR="000F0A03" w:rsidRPr="003F159E">
        <w:rPr>
          <w:rFonts w:ascii="Calibri" w:hAnsi="Calibri" w:cs="Calibri"/>
          <w:bCs/>
          <w:sz w:val="22"/>
          <w:szCs w:val="22"/>
        </w:rPr>
        <w:t> listopadových 61</w:t>
      </w:r>
      <w:r w:rsidR="005D05FD">
        <w:rPr>
          <w:rFonts w:ascii="Calibri" w:hAnsi="Calibri" w:cs="Calibri"/>
          <w:bCs/>
          <w:sz w:val="22"/>
          <w:szCs w:val="22"/>
        </w:rPr>
        <w:t xml:space="preserve"> </w:t>
      </w:r>
      <w:r w:rsidR="000F0A03" w:rsidRPr="003F159E">
        <w:rPr>
          <w:rFonts w:ascii="Calibri" w:hAnsi="Calibri" w:cs="Calibri"/>
          <w:bCs/>
          <w:sz w:val="22"/>
          <w:szCs w:val="22"/>
        </w:rPr>
        <w:t xml:space="preserve">% </w:t>
      </w:r>
      <w:r w:rsidR="003F159E" w:rsidRPr="003F159E">
        <w:rPr>
          <w:rFonts w:ascii="Calibri" w:hAnsi="Calibri" w:cs="Calibri"/>
          <w:bCs/>
          <w:sz w:val="22"/>
          <w:szCs w:val="22"/>
        </w:rPr>
        <w:t>a</w:t>
      </w:r>
      <w:r w:rsidR="00493C14" w:rsidRPr="003F159E">
        <w:rPr>
          <w:rFonts w:ascii="Calibri" w:hAnsi="Calibri" w:cs="Calibri"/>
          <w:bCs/>
          <w:sz w:val="22"/>
          <w:szCs w:val="22"/>
        </w:rPr>
        <w:t xml:space="preserve"> po 94% nárůstu v prvních třech čtvrtletích letošního roku.</w:t>
      </w:r>
      <w:r w:rsidR="000F680C">
        <w:rPr>
          <w:rFonts w:ascii="Calibri" w:hAnsi="Calibri" w:cs="Calibri"/>
          <w:bCs/>
          <w:sz w:val="22"/>
          <w:szCs w:val="22"/>
        </w:rPr>
        <w:t xml:space="preserve"> </w:t>
      </w:r>
    </w:p>
    <w:p w14:paraId="636F0A3D" w14:textId="6E705B70" w:rsidR="00660931" w:rsidRDefault="00263207" w:rsidP="003C185F">
      <w:pPr>
        <w:rPr>
          <w:rFonts w:ascii="Calibri" w:hAnsi="Calibri" w:cs="Calibri"/>
          <w:bCs/>
          <w:sz w:val="22"/>
          <w:szCs w:val="22"/>
        </w:rPr>
      </w:pPr>
      <w:bookmarkStart w:id="3" w:name="_Hlk119308363"/>
      <w:r w:rsidRPr="002138C0">
        <w:rPr>
          <w:rFonts w:ascii="Calibri" w:hAnsi="Calibri" w:cs="Calibri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805053" wp14:editId="244793F7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519545" cy="695325"/>
                <wp:effectExtent l="0" t="0" r="14605" b="28575"/>
                <wp:wrapTopAndBottom/>
                <wp:docPr id="1319296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6953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17E9F" w14:textId="63DD71C2" w:rsidR="00A02F5D" w:rsidRPr="00A72DB7" w:rsidRDefault="00A02F5D" w:rsidP="00A02F5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8530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„Prosinec se z pohledu zájmu o nové hypotéky rozdělil na 2 samostatná období, kdy o ně kvůli </w:t>
                            </w:r>
                            <w:r w:rsidR="0028530F" w:rsidRPr="0028530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Vánocům</w:t>
                            </w:r>
                            <w:r w:rsidRPr="0028530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ve druhé polovině prosince velmi oslabil zájem, a to i přes snížení sazeb. Zájem se ovšem viditelně posunul na začátek ledna,“ </w:t>
                            </w:r>
                            <w:r w:rsidRPr="0028530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říká Marek Richter, </w:t>
                            </w:r>
                            <w:r w:rsidR="0028530F" w:rsidRPr="0028530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vedoucí hypotečních služeb</w:t>
                            </w:r>
                            <w:r w:rsidR="0028530F" w:rsidRPr="0028530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530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z</w:t>
                            </w:r>
                            <w:r w:rsidR="006F138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  <w:r w:rsidRPr="0028530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Air</w:t>
                            </w:r>
                            <w:r w:rsidR="006F138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</w:t>
                            </w:r>
                            <w:r w:rsidRPr="0028530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ank.</w:t>
                            </w:r>
                          </w:p>
                          <w:p w14:paraId="0B44AA3D" w14:textId="54A6D858" w:rsidR="00C16E21" w:rsidRPr="00A72DB7" w:rsidRDefault="00C16E21" w:rsidP="00BE4C2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05053" id="Rectangle 1" o:spid="_x0000_s1026" style="position:absolute;left:0;text-align:left;margin-left:0;margin-top:15.35pt;width:513.35pt;height:54.75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" fillcolor="white [3201]" strokecolor="black [3213]" strokeweight=".5pt">
                <v:textbox>
                  <w:txbxContent>
                    <w:p w14:paraId="44417E9F" w14:textId="63DD71C2" w:rsidR="00A02F5D" w:rsidRPr="00A72DB7" w:rsidRDefault="00A02F5D" w:rsidP="00A02F5D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8530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„Prosinec se z pohledu zájmu o nové hypotéky rozdělil na 2 samostatná období, kdy o ně kvůli </w:t>
                      </w:r>
                      <w:r w:rsidR="0028530F" w:rsidRPr="0028530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Vánocům</w:t>
                      </w:r>
                      <w:r w:rsidRPr="0028530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ve druhé polovině prosince velmi oslabil zájem, a to i přes snížení sazeb. Zájem se ovšem viditelně posunul na začátek ledna,“ </w:t>
                      </w:r>
                      <w:r w:rsidRPr="0028530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říká Marek Richter, </w:t>
                      </w:r>
                      <w:r w:rsidR="0028530F" w:rsidRPr="0028530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vedoucí hypotečních služeb</w:t>
                      </w:r>
                      <w:r w:rsidR="0028530F" w:rsidRPr="0028530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8530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z</w:t>
                      </w:r>
                      <w:r w:rsidR="006F138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  <w:r w:rsidRPr="0028530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Air</w:t>
                      </w:r>
                      <w:r w:rsidR="006F138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B</w:t>
                      </w:r>
                      <w:r w:rsidRPr="0028530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ank.</w:t>
                      </w:r>
                    </w:p>
                    <w:p w14:paraId="0B44AA3D" w14:textId="54A6D858" w:rsidR="00C16E21" w:rsidRPr="00A72DB7" w:rsidRDefault="00C16E21" w:rsidP="00BE4C20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bookmarkEnd w:id="3"/>
    </w:p>
    <w:p w14:paraId="2241D5AC" w14:textId="66C9B8C9" w:rsidR="000F680C" w:rsidRPr="00F625CA" w:rsidRDefault="00F625CA" w:rsidP="000F680C">
      <w:pPr>
        <w:spacing w:before="120" w:after="120"/>
        <w:rPr>
          <w:rFonts w:ascii="Calibri" w:hAnsi="Calibri" w:cs="Calibri"/>
          <w:sz w:val="22"/>
          <w:szCs w:val="22"/>
        </w:rPr>
      </w:pPr>
      <w:r w:rsidRPr="005B4653">
        <w:rPr>
          <w:rFonts w:ascii="Calibri" w:hAnsi="Calibri" w:cs="Calibri"/>
          <w:b/>
          <w:bCs/>
          <w:sz w:val="22"/>
          <w:szCs w:val="22"/>
        </w:rPr>
        <w:t>Objem refinancovaných úvěrů (interně či z jiné instituce) po jednorázovém srpnovém nárůstu v prosinci klesl na 4,1 mld. Kč na úroveň z poloviny letošního roku</w:t>
      </w:r>
      <w:r w:rsidRPr="00F625CA">
        <w:rPr>
          <w:rFonts w:ascii="Calibri" w:hAnsi="Calibri" w:cs="Calibri"/>
          <w:sz w:val="22"/>
          <w:szCs w:val="22"/>
        </w:rPr>
        <w:t>. Podíl refinancovaných úvěrů na celkovém objemu poskytnutých hypoték tak nepatrně klesl na 17 %, což je nepatrně nad letošním průměrem 16,9 %. Zůstává tak lehce pod 17,2% podíl</w:t>
      </w:r>
      <w:r w:rsidR="00F27940">
        <w:rPr>
          <w:rFonts w:ascii="Calibri" w:hAnsi="Calibri" w:cs="Calibri"/>
          <w:sz w:val="22"/>
          <w:szCs w:val="22"/>
        </w:rPr>
        <w:t>em</w:t>
      </w:r>
      <w:r w:rsidRPr="00F625CA">
        <w:rPr>
          <w:rFonts w:ascii="Calibri" w:hAnsi="Calibri" w:cs="Calibri"/>
          <w:sz w:val="22"/>
          <w:szCs w:val="22"/>
        </w:rPr>
        <w:t xml:space="preserve"> z let 2022-2023, ovšem stále pod téměř 29% podílem z období 2020-2021, kdy domácnosti refinancovaly za hypoteční sazbu 2,14 %. Zatímco v prosinci 2024 se domácnosti refinancovaly za úrokovou sazbu 4,72 %, ale stále výrazně pod 5,6 % z prosince 2023</w:t>
      </w:r>
    </w:p>
    <w:p w14:paraId="3D11BAD7" w14:textId="65C67B13" w:rsidR="00660931" w:rsidRDefault="00A02F5D" w:rsidP="003C185F">
      <w:pPr>
        <w:rPr>
          <w:rFonts w:ascii="Calibri" w:hAnsi="Calibri" w:cs="Calibri"/>
          <w:b/>
          <w:color w:val="13576B"/>
          <w:sz w:val="22"/>
          <w:szCs w:val="22"/>
          <w:highlight w:val="yellow"/>
        </w:rPr>
      </w:pPr>
      <w:r w:rsidRPr="002138C0">
        <w:rPr>
          <w:rFonts w:ascii="Calibri" w:hAnsi="Calibri" w:cs="Calibri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BBC4C7" wp14:editId="359B9CCA">
                <wp:simplePos x="0" y="0"/>
                <wp:positionH relativeFrom="margin">
                  <wp:align>left</wp:align>
                </wp:positionH>
                <wp:positionV relativeFrom="paragraph">
                  <wp:posOffset>328930</wp:posOffset>
                </wp:positionV>
                <wp:extent cx="6519545" cy="1162050"/>
                <wp:effectExtent l="0" t="0" r="14605" b="19050"/>
                <wp:wrapTopAndBottom/>
                <wp:docPr id="4856127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1620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41BE8" w14:textId="4F317A2F" w:rsidR="00A02F5D" w:rsidRPr="00A72DB7" w:rsidRDefault="00A02F5D" w:rsidP="00A02F5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8530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„Prosincová čísla hypotečního trhu byla stále velmi dobrá. Dále se potvrzuje pozitivní korelace s rostoucími cenami nemovitostí, což se projevuje ve stále vyšší částce průměrně sjednané hypotéky. Dobrou zprávou pro klienty je pak to, že pokračuje pokles úrokových sazeb, nicméně vzhledem k prosincovému nárůstu ceny úrokových swapů je pravděpodobné, že hypoteční sazby nepůjdou dolů tak rychle, jak se očekávalo ještě v průběhu minulého roku,“ </w:t>
                            </w:r>
                            <w:r w:rsidRPr="0028530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podotýká Ondřej </w:t>
                            </w:r>
                            <w:proofErr w:type="spellStart"/>
                            <w:r w:rsidR="0028530F" w:rsidRPr="0028530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Š</w:t>
                            </w:r>
                            <w:r w:rsidRPr="0028530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uchman</w:t>
                            </w:r>
                            <w:proofErr w:type="spellEnd"/>
                            <w:r w:rsidRPr="0028530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 manažer hypoték z Komerční banky.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BC4C7" id="_x0000_s1027" style="position:absolute;left:0;text-align:left;margin-left:0;margin-top:25.9pt;width:513.35pt;height:91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" fillcolor="white [3201]" strokecolor="black [3213]" strokeweight=".5pt">
                <v:textbox>
                  <w:txbxContent>
                    <w:p w14:paraId="51E41BE8" w14:textId="4F317A2F" w:rsidR="00A02F5D" w:rsidRPr="00A72DB7" w:rsidRDefault="00A02F5D" w:rsidP="00A02F5D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8530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„Prosincová čísla hypotečního trhu byla stále velmi dobrá. Dále se potvrzuje pozitivní korelace s rostoucími cenami nemovitostí, což se projevuje ve stále vyšší částce průměrně sjednané hypotéky. Dobrou zprávou pro klienty je pak to, že pokračuje pokles úrokových sazeb, nicméně vzhledem k prosincovému nárůstu ceny úrokových swapů je pravděpodobné, že hypoteční sazby nepůjdou dolů tak rychle, jak se očekávalo ještě v průběhu minulého roku,“ </w:t>
                      </w:r>
                      <w:r w:rsidRPr="0028530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podotýká Ondřej </w:t>
                      </w:r>
                      <w:proofErr w:type="spellStart"/>
                      <w:r w:rsidR="0028530F" w:rsidRPr="0028530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Š</w:t>
                      </w:r>
                      <w:r w:rsidRPr="0028530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uchman</w:t>
                      </w:r>
                      <w:proofErr w:type="spellEnd"/>
                      <w:r w:rsidRPr="0028530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 manažer hypoték z Komerční banky.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124D2D31" w14:textId="33B45E82" w:rsidR="00F61FFC" w:rsidRDefault="006E04F7" w:rsidP="000B0992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bookmarkStart w:id="4" w:name="_Hlk111121228"/>
      <w:bookmarkStart w:id="5" w:name="_Hlk119308742"/>
      <w:r w:rsidRPr="003F159E">
        <w:rPr>
          <w:rFonts w:ascii="Calibri" w:hAnsi="Calibri" w:cs="Calibri"/>
          <w:b/>
          <w:color w:val="13576B"/>
          <w:sz w:val="23"/>
          <w:szCs w:val="23"/>
        </w:rPr>
        <w:lastRenderedPageBreak/>
        <w:t>Tabulka č. 1: Shrnutí objemu poskytnutých hypoték a průměrných úrokových sazeb za</w:t>
      </w:r>
      <w:r w:rsidR="003E393C" w:rsidRPr="003F159E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C53EEF" w:rsidRPr="003F159E">
        <w:rPr>
          <w:rFonts w:ascii="Calibri" w:hAnsi="Calibri" w:cs="Calibri"/>
          <w:b/>
          <w:color w:val="13576B"/>
          <w:sz w:val="23"/>
          <w:szCs w:val="23"/>
        </w:rPr>
        <w:t>prosinec</w:t>
      </w:r>
      <w:r w:rsidR="001306A2" w:rsidRPr="003F159E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Pr="003F159E">
        <w:rPr>
          <w:rFonts w:ascii="Calibri" w:hAnsi="Calibri" w:cs="Calibri"/>
          <w:b/>
          <w:color w:val="13576B"/>
          <w:sz w:val="23"/>
          <w:szCs w:val="23"/>
        </w:rPr>
        <w:t>202</w:t>
      </w:r>
      <w:r w:rsidR="003E393C" w:rsidRPr="003F159E">
        <w:rPr>
          <w:rFonts w:ascii="Calibri" w:hAnsi="Calibri" w:cs="Calibri"/>
          <w:b/>
          <w:color w:val="13576B"/>
          <w:sz w:val="23"/>
          <w:szCs w:val="23"/>
        </w:rPr>
        <w:t>4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01"/>
        <w:gridCol w:w="960"/>
        <w:gridCol w:w="960"/>
      </w:tblGrid>
      <w:tr w:rsidR="006E04F7" w:rsidRPr="002138C0" w14:paraId="17FF1971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3251" w14:textId="4B78F9C6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2D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A24DE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3183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E958C3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6E04F7" w:rsidRPr="002138C0" w14:paraId="07461CAA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FCD68" w14:textId="28BCC108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E1F4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18F2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DC471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</w:tr>
      <w:tr w:rsidR="00072DB9" w:rsidRPr="002138C0" w14:paraId="35D90BA7" w14:textId="77777777" w:rsidTr="00991D3E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651BE" w14:textId="55D0463E" w:rsidR="00072DB9" w:rsidRPr="00072DB9" w:rsidRDefault="00072DB9" w:rsidP="00072DB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B166" w14:textId="7F1733E3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8BEB" w14:textId="6B917DCC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6366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88592" w14:textId="129BA3B5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4,79</w:t>
            </w:r>
          </w:p>
        </w:tc>
      </w:tr>
      <w:tr w:rsidR="00072DB9" w:rsidRPr="002138C0" w14:paraId="76C06795" w14:textId="77777777" w:rsidTr="00991D3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62A0E8CC" w14:textId="77777777" w:rsidR="00072DB9" w:rsidRPr="00072DB9" w:rsidRDefault="00072DB9" w:rsidP="00072DB9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520FBFDC" w14:textId="037A5ED3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19,7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41404E63" w14:textId="419529E3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5110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5B0C0248" w14:textId="2355E5F1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4,80</w:t>
            </w:r>
          </w:p>
        </w:tc>
      </w:tr>
      <w:tr w:rsidR="00072DB9" w:rsidRPr="002138C0" w14:paraId="6E865282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C0C1" w14:textId="77777777" w:rsidR="00072DB9" w:rsidRPr="00072DB9" w:rsidRDefault="00072DB9" w:rsidP="00072DB9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8F3E" w14:textId="4284A7D9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2348" w14:textId="77F3E992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27E5" w14:textId="38AF7850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072DB9" w:rsidRPr="002138C0" w14:paraId="10DD8204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28A8" w14:textId="74481CAD" w:rsidR="00072DB9" w:rsidRPr="00072DB9" w:rsidRDefault="00072DB9" w:rsidP="00072DB9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905E" w14:textId="34F52C85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5019" w14:textId="39C19114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4205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CA2C7" w14:textId="3B949A06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4,79</w:t>
            </w:r>
          </w:p>
        </w:tc>
      </w:tr>
      <w:tr w:rsidR="00072DB9" w:rsidRPr="002138C0" w14:paraId="6815BAA0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7F24" w14:textId="02A472AC" w:rsidR="00072DB9" w:rsidRPr="00072DB9" w:rsidRDefault="00072DB9" w:rsidP="00072DB9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3796" w14:textId="59F73D80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2F1D" w14:textId="6676385E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392A" w14:textId="7A17931B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4,77</w:t>
            </w:r>
          </w:p>
        </w:tc>
      </w:tr>
      <w:tr w:rsidR="00072DB9" w:rsidRPr="002138C0" w14:paraId="13F97586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57913" w14:textId="6B59A630" w:rsidR="00072DB9" w:rsidRPr="00072DB9" w:rsidRDefault="00072DB9" w:rsidP="00072DB9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856C" w14:textId="6A68FC51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70EC" w14:textId="3CD0B4C1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A1522" w14:textId="4A9A2720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5,15</w:t>
            </w:r>
          </w:p>
        </w:tc>
      </w:tr>
      <w:tr w:rsidR="00072DB9" w:rsidRPr="002138C0" w14:paraId="219FB66B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43AF" w14:textId="77777777" w:rsidR="00072DB9" w:rsidRPr="00072DB9" w:rsidRDefault="00072DB9" w:rsidP="00072DB9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7EA4" w14:textId="0C3A9B7D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5343" w14:textId="249CB0EA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10A95" w14:textId="5084BF56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4,69</w:t>
            </w:r>
          </w:p>
        </w:tc>
      </w:tr>
      <w:tr w:rsidR="00072DB9" w:rsidRPr="002138C0" w14:paraId="3D627EA7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5FADF" w14:textId="733CDA02" w:rsidR="00072DB9" w:rsidRPr="00072DB9" w:rsidRDefault="00072DB9" w:rsidP="00072DB9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E1E0" w14:textId="02C833DF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364C" w14:textId="5A9C1B92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AFF57" w14:textId="285E291C" w:rsidR="00072DB9" w:rsidRPr="00072DB9" w:rsidRDefault="00072DB9" w:rsidP="00072D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4,83</w:t>
            </w:r>
          </w:p>
        </w:tc>
      </w:tr>
      <w:tr w:rsidR="006E04F7" w:rsidRPr="002138C0" w14:paraId="763F0D46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1A28A" w14:textId="63A22841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072DB9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072DB9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41C2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56BD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47165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</w:tbl>
    <w:p w14:paraId="7D8871E8" w14:textId="5A42DFFC" w:rsidR="000B0992" w:rsidRPr="002138C0" w:rsidRDefault="000B0992" w:rsidP="00237E0B">
      <w:pPr>
        <w:spacing w:before="120" w:after="120"/>
        <w:rPr>
          <w:rFonts w:ascii="Calibri" w:hAnsi="Calibri" w:cs="Calibri"/>
          <w:b/>
          <w:bCs/>
          <w:sz w:val="22"/>
          <w:szCs w:val="22"/>
          <w:highlight w:val="yellow"/>
        </w:rPr>
      </w:pPr>
    </w:p>
    <w:bookmarkEnd w:id="1"/>
    <w:bookmarkEnd w:id="4"/>
    <w:bookmarkEnd w:id="5"/>
    <w:p w14:paraId="5A1704D2" w14:textId="3A07EEC2" w:rsidR="009A044E" w:rsidRDefault="009A044E" w:rsidP="009A044E">
      <w:pPr>
        <w:rPr>
          <w:rFonts w:ascii="Calibri" w:hAnsi="Calibri" w:cs="Calibri"/>
          <w:b/>
          <w:color w:val="13576B"/>
          <w:sz w:val="23"/>
          <w:szCs w:val="23"/>
        </w:rPr>
      </w:pPr>
      <w:r w:rsidRPr="008B048B">
        <w:rPr>
          <w:rFonts w:ascii="Calibri" w:hAnsi="Calibri" w:cs="Calibri"/>
          <w:b/>
          <w:color w:val="13576B"/>
          <w:sz w:val="23"/>
          <w:szCs w:val="23"/>
        </w:rPr>
        <w:t xml:space="preserve">Průměrná hypoteční sazba </w:t>
      </w:r>
      <w:r w:rsidR="00F625CA" w:rsidRPr="008B048B">
        <w:rPr>
          <w:rFonts w:ascii="Calibri" w:hAnsi="Calibri" w:cs="Calibri"/>
          <w:b/>
          <w:color w:val="13576B"/>
          <w:sz w:val="23"/>
          <w:szCs w:val="23"/>
        </w:rPr>
        <w:t xml:space="preserve">pokračuje v klesajícím trendu </w:t>
      </w:r>
    </w:p>
    <w:p w14:paraId="6B970EF6" w14:textId="050D6F9F" w:rsidR="008B048B" w:rsidRPr="008B048B" w:rsidRDefault="008B048B" w:rsidP="009A044E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B51CAF6" w14:textId="6A02777A" w:rsidR="008B048B" w:rsidRDefault="00F625CA" w:rsidP="00F625CA">
      <w:pPr>
        <w:rPr>
          <w:rFonts w:ascii="Calibri" w:hAnsi="Calibri" w:cs="Calibri"/>
          <w:sz w:val="22"/>
          <w:szCs w:val="22"/>
        </w:rPr>
      </w:pPr>
      <w:r w:rsidRPr="008B048B">
        <w:rPr>
          <w:rFonts w:ascii="Calibri" w:hAnsi="Calibri" w:cs="Calibri"/>
          <w:b/>
          <w:sz w:val="22"/>
          <w:szCs w:val="22"/>
        </w:rPr>
        <w:t xml:space="preserve">Průměrná hypoteční sazba u nových úvěrů se nepatrně dále snížila na 4,80 % z listopadových 4,85 %. </w:t>
      </w:r>
      <w:r w:rsidR="008B048B" w:rsidRPr="008B048B">
        <w:rPr>
          <w:rFonts w:ascii="Calibri" w:hAnsi="Calibri" w:cs="Calibri"/>
          <w:b/>
          <w:sz w:val="22"/>
          <w:szCs w:val="22"/>
        </w:rPr>
        <w:t>Její pokles tak potvrzuje klesající trend po</w:t>
      </w:r>
      <w:r w:rsidR="00263207">
        <w:rPr>
          <w:rFonts w:ascii="Calibri" w:hAnsi="Calibri" w:cs="Calibri"/>
          <w:b/>
          <w:sz w:val="22"/>
          <w:szCs w:val="22"/>
        </w:rPr>
        <w:t>d</w:t>
      </w:r>
      <w:r w:rsidR="008B048B" w:rsidRPr="008B048B">
        <w:rPr>
          <w:rFonts w:ascii="Calibri" w:hAnsi="Calibri" w:cs="Calibri"/>
          <w:b/>
          <w:sz w:val="22"/>
          <w:szCs w:val="22"/>
        </w:rPr>
        <w:t xml:space="preserve"> 5</w:t>
      </w:r>
      <w:r w:rsidR="00263207">
        <w:rPr>
          <w:rFonts w:ascii="Calibri" w:hAnsi="Calibri" w:cs="Calibri"/>
          <w:b/>
          <w:sz w:val="22"/>
          <w:szCs w:val="22"/>
        </w:rPr>
        <w:t xml:space="preserve"> </w:t>
      </w:r>
      <w:r w:rsidR="008B048B" w:rsidRPr="008B048B">
        <w:rPr>
          <w:rFonts w:ascii="Calibri" w:hAnsi="Calibri" w:cs="Calibri"/>
          <w:b/>
          <w:sz w:val="22"/>
          <w:szCs w:val="22"/>
        </w:rPr>
        <w:t>% naposledy</w:t>
      </w:r>
      <w:r w:rsidR="00263207">
        <w:rPr>
          <w:rFonts w:ascii="Calibri" w:hAnsi="Calibri" w:cs="Calibri"/>
          <w:b/>
          <w:sz w:val="22"/>
          <w:szCs w:val="22"/>
        </w:rPr>
        <w:t xml:space="preserve"> v průměru</w:t>
      </w:r>
      <w:r w:rsidR="008B048B" w:rsidRPr="008B048B">
        <w:rPr>
          <w:rFonts w:ascii="Calibri" w:hAnsi="Calibri" w:cs="Calibri"/>
          <w:b/>
          <w:sz w:val="22"/>
          <w:szCs w:val="22"/>
        </w:rPr>
        <w:t xml:space="preserve"> zaznamenaných v červenci 2024. </w:t>
      </w:r>
      <w:r w:rsidR="008B048B" w:rsidRPr="00592318">
        <w:rPr>
          <w:rFonts w:ascii="Calibri" w:hAnsi="Calibri" w:cs="Calibri"/>
          <w:bCs/>
          <w:sz w:val="22"/>
          <w:szCs w:val="22"/>
        </w:rPr>
        <w:t>Její prosincová úroveň j</w:t>
      </w:r>
      <w:r w:rsidRPr="00592318">
        <w:rPr>
          <w:rFonts w:ascii="Calibri" w:hAnsi="Calibri" w:cs="Calibri"/>
          <w:bCs/>
          <w:sz w:val="22"/>
          <w:szCs w:val="22"/>
        </w:rPr>
        <w:t>e</w:t>
      </w:r>
      <w:r w:rsidRPr="008B048B">
        <w:rPr>
          <w:rFonts w:ascii="Calibri" w:hAnsi="Calibri" w:cs="Calibri"/>
          <w:bCs/>
          <w:sz w:val="22"/>
          <w:szCs w:val="22"/>
        </w:rPr>
        <w:t xml:space="preserve"> tak o 0,84procentního bodu níže než </w:t>
      </w:r>
      <w:r w:rsidR="00942F66">
        <w:rPr>
          <w:rFonts w:ascii="Calibri" w:hAnsi="Calibri" w:cs="Calibri"/>
          <w:bCs/>
          <w:sz w:val="22"/>
          <w:szCs w:val="22"/>
        </w:rPr>
        <w:t xml:space="preserve">5,65 % </w:t>
      </w:r>
      <w:r w:rsidRPr="008B048B">
        <w:rPr>
          <w:rFonts w:ascii="Calibri" w:hAnsi="Calibri" w:cs="Calibri"/>
          <w:bCs/>
          <w:sz w:val="22"/>
          <w:szCs w:val="22"/>
        </w:rPr>
        <w:t>před rokem, což snižuje splátky přibližně o 2,2</w:t>
      </w:r>
      <w:r w:rsidR="00F27940">
        <w:rPr>
          <w:rFonts w:ascii="Calibri" w:hAnsi="Calibri" w:cs="Calibri"/>
          <w:bCs/>
          <w:sz w:val="22"/>
          <w:szCs w:val="22"/>
        </w:rPr>
        <w:t xml:space="preserve"> </w:t>
      </w:r>
      <w:r w:rsidRPr="008B048B">
        <w:rPr>
          <w:rFonts w:ascii="Calibri" w:hAnsi="Calibri" w:cs="Calibri"/>
          <w:bCs/>
          <w:sz w:val="22"/>
          <w:szCs w:val="22"/>
        </w:rPr>
        <w:t xml:space="preserve">% čistého přijmu žadatele o hypotéku. </w:t>
      </w:r>
      <w:r w:rsidR="00942F66">
        <w:rPr>
          <w:rFonts w:ascii="Calibri" w:hAnsi="Calibri" w:cs="Calibri"/>
          <w:bCs/>
          <w:sz w:val="22"/>
          <w:szCs w:val="22"/>
        </w:rPr>
        <w:t xml:space="preserve">Její průměrná hodnota za rok 2024 dosáhla </w:t>
      </w:r>
      <w:r w:rsidR="005B4653">
        <w:rPr>
          <w:rFonts w:ascii="Calibri" w:hAnsi="Calibri" w:cs="Calibri"/>
          <w:bCs/>
          <w:sz w:val="22"/>
          <w:szCs w:val="22"/>
        </w:rPr>
        <w:t xml:space="preserve">5,07 % </w:t>
      </w:r>
      <w:r w:rsidR="005B4653" w:rsidRPr="005B4653">
        <w:rPr>
          <w:rFonts w:ascii="Calibri" w:hAnsi="Calibri" w:cs="Calibri"/>
          <w:sz w:val="22"/>
          <w:szCs w:val="22"/>
        </w:rPr>
        <w:t>v porovnání s její průměrnou hodnotou 5,8 % v roce 2023.</w:t>
      </w:r>
      <w:r w:rsidR="005B4653">
        <w:rPr>
          <w:rFonts w:ascii="Calibri" w:hAnsi="Calibri" w:cs="Calibri"/>
          <w:sz w:val="22"/>
          <w:szCs w:val="22"/>
        </w:rPr>
        <w:t xml:space="preserve"> </w:t>
      </w:r>
    </w:p>
    <w:p w14:paraId="7D563F22" w14:textId="53E726C0" w:rsidR="00A02F5D" w:rsidRPr="008B048B" w:rsidRDefault="00A02F5D" w:rsidP="00F625CA">
      <w:pPr>
        <w:rPr>
          <w:rFonts w:ascii="Calibri" w:hAnsi="Calibri" w:cs="Calibri"/>
          <w:bCs/>
          <w:sz w:val="22"/>
          <w:szCs w:val="22"/>
        </w:rPr>
      </w:pPr>
    </w:p>
    <w:p w14:paraId="270B6825" w14:textId="54DACF7F" w:rsidR="00251393" w:rsidRPr="002138C0" w:rsidRDefault="00251393" w:rsidP="007826E0">
      <w:pPr>
        <w:rPr>
          <w:rFonts w:ascii="Calibri" w:hAnsi="Calibri" w:cs="Calibri"/>
          <w:sz w:val="22"/>
          <w:szCs w:val="22"/>
          <w:highlight w:val="yellow"/>
        </w:rPr>
      </w:pPr>
    </w:p>
    <w:p w14:paraId="6492840A" w14:textId="02F97018" w:rsidR="005874B8" w:rsidRDefault="005874B8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>Graf č. 1: Průměrná hypoteční sazba – nové obchody</w:t>
      </w:r>
    </w:p>
    <w:p w14:paraId="63E0611A" w14:textId="6C098961" w:rsidR="005874B8" w:rsidRPr="002138C0" w:rsidRDefault="00515ECA" w:rsidP="005874B8">
      <w:pPr>
        <w:rPr>
          <w:rFonts w:ascii="Calibri" w:hAnsi="Calibri" w:cs="Calibri"/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 wp14:anchorId="44E83EEE" wp14:editId="30970967">
            <wp:extent cx="5047619" cy="2771429"/>
            <wp:effectExtent l="0" t="0" r="635" b="0"/>
            <wp:docPr id="600940112" name="Picture 1" descr="A graph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40112" name="Picture 1" descr="A graph with numbers and line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2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F729" w14:textId="731F9940" w:rsidR="00691287" w:rsidRPr="00616069" w:rsidRDefault="00691287" w:rsidP="00691287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 w:rsidR="006F74BF"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1FA0ABF" w14:textId="16678DAD" w:rsidR="005874B8" w:rsidRDefault="005874B8" w:rsidP="005874B8">
      <w:pPr>
        <w:rPr>
          <w:rFonts w:ascii="Calibri" w:hAnsi="Calibri" w:cs="Calibri"/>
          <w:sz w:val="22"/>
          <w:szCs w:val="22"/>
          <w:highlight w:val="yellow"/>
        </w:rPr>
      </w:pPr>
    </w:p>
    <w:p w14:paraId="6FDE04AB" w14:textId="77777777" w:rsidR="00691287" w:rsidRPr="00A02F5D" w:rsidRDefault="00691287" w:rsidP="005874B8">
      <w:pPr>
        <w:rPr>
          <w:rFonts w:ascii="Calibri" w:hAnsi="Calibri" w:cs="Calibri"/>
          <w:sz w:val="22"/>
          <w:szCs w:val="22"/>
        </w:rPr>
      </w:pPr>
    </w:p>
    <w:p w14:paraId="63598547" w14:textId="75C7DD6C" w:rsidR="005578C6" w:rsidRPr="00A02F5D" w:rsidRDefault="005578C6" w:rsidP="005578C6">
      <w:pPr>
        <w:rPr>
          <w:rFonts w:ascii="Calibri" w:hAnsi="Calibri" w:cs="Calibri"/>
          <w:sz w:val="22"/>
          <w:szCs w:val="22"/>
        </w:rPr>
      </w:pPr>
      <w:bookmarkStart w:id="6" w:name="_Hlk137652102"/>
      <w:r w:rsidRPr="00A02F5D">
        <w:rPr>
          <w:rFonts w:ascii="Calibri" w:hAnsi="Calibri" w:cs="Calibri"/>
          <w:b/>
          <w:bCs/>
          <w:sz w:val="22"/>
          <w:szCs w:val="22"/>
        </w:rPr>
        <w:lastRenderedPageBreak/>
        <w:t>Hypoteční sazby reagují s několikaměsíčním zpožděním především na vývoj tržních úrokových sazeb delších splatností.</w:t>
      </w:r>
      <w:r w:rsidRPr="00A02F5D">
        <w:rPr>
          <w:rFonts w:ascii="Calibri" w:hAnsi="Calibri" w:cs="Calibri"/>
          <w:sz w:val="22"/>
          <w:szCs w:val="22"/>
        </w:rPr>
        <w:t xml:space="preserve"> Promítá se do nich řada faktorů, nejen vývoj úrokové sazby ČNB, ale i kombinace výhledu na inflaci, ekonomiku a dynamiky měnového kurzu. V současnosti například trh po mírnějším prosincovém růstu indexu českých spotřebitelských cen signalizuje pokles úrokové sazby ČNB během roku 2025 přibližně o </w:t>
      </w:r>
      <w:proofErr w:type="gramStart"/>
      <w:r w:rsidRPr="00A02F5D">
        <w:rPr>
          <w:rFonts w:ascii="Calibri" w:hAnsi="Calibri" w:cs="Calibri"/>
          <w:sz w:val="22"/>
          <w:szCs w:val="22"/>
        </w:rPr>
        <w:t>0,6</w:t>
      </w:r>
      <w:r w:rsidR="00D55E9A" w:rsidRPr="00A02F5D">
        <w:rPr>
          <w:rFonts w:ascii="Calibri" w:hAnsi="Calibri" w:cs="Calibri"/>
          <w:sz w:val="22"/>
          <w:szCs w:val="22"/>
        </w:rPr>
        <w:t xml:space="preserve"> </w:t>
      </w:r>
      <w:r w:rsidRPr="00A02F5D">
        <w:rPr>
          <w:rFonts w:ascii="Calibri" w:hAnsi="Calibri" w:cs="Calibri"/>
          <w:sz w:val="22"/>
          <w:szCs w:val="22"/>
        </w:rPr>
        <w:t>procentního</w:t>
      </w:r>
      <w:proofErr w:type="gramEnd"/>
      <w:r w:rsidRPr="00A02F5D">
        <w:rPr>
          <w:rFonts w:ascii="Calibri" w:hAnsi="Calibri" w:cs="Calibri"/>
          <w:sz w:val="22"/>
          <w:szCs w:val="22"/>
        </w:rPr>
        <w:t xml:space="preserve"> bodu. To je ovšem stále o více než půl procentního bodu méně, než předjímal v září. A to kvůli silnějšímu růstu spotřebitelské inflace, než se očekávalo v polovině minulého roku, či silnějšímu růstu mezd v ekonomice. </w:t>
      </w:r>
    </w:p>
    <w:p w14:paraId="12ECB61C" w14:textId="77777777" w:rsidR="005578C6" w:rsidRPr="00A02F5D" w:rsidRDefault="005578C6" w:rsidP="005578C6">
      <w:pPr>
        <w:rPr>
          <w:rFonts w:ascii="Calibri" w:hAnsi="Calibri" w:cs="Calibri"/>
          <w:sz w:val="22"/>
          <w:szCs w:val="22"/>
        </w:rPr>
      </w:pPr>
    </w:p>
    <w:p w14:paraId="26DDDBD2" w14:textId="2A3957EB" w:rsidR="005578C6" w:rsidRPr="00A02F5D" w:rsidRDefault="005578C6" w:rsidP="005578C6">
      <w:pPr>
        <w:rPr>
          <w:rFonts w:ascii="Calibri" w:hAnsi="Calibri" w:cs="Calibri"/>
          <w:b/>
          <w:bCs/>
          <w:sz w:val="22"/>
          <w:szCs w:val="22"/>
        </w:rPr>
      </w:pPr>
      <w:r w:rsidRPr="00A02F5D">
        <w:rPr>
          <w:rFonts w:ascii="Calibri" w:hAnsi="Calibri" w:cs="Calibri"/>
          <w:sz w:val="22"/>
          <w:szCs w:val="22"/>
        </w:rPr>
        <w:t>Zároveň do této dynamiky vstupuje i vývoj obdobných úrokových sazeb v zahraničí. Zmíněné tržní úrokové sazby delších splatností</w:t>
      </w:r>
      <w:r w:rsidRPr="00A02F5D">
        <w:rPr>
          <w:rStyle w:val="Znakapoznpodarou"/>
          <w:rFonts w:ascii="Calibri" w:hAnsi="Calibri" w:cs="Calibri"/>
          <w:i/>
          <w:iCs/>
          <w:sz w:val="22"/>
          <w:szCs w:val="22"/>
        </w:rPr>
        <w:footnoteReference w:id="1"/>
      </w:r>
      <w:r w:rsidRPr="00A02F5D">
        <w:rPr>
          <w:rFonts w:ascii="Calibri" w:hAnsi="Calibri" w:cs="Calibri"/>
          <w:sz w:val="22"/>
          <w:szCs w:val="22"/>
        </w:rPr>
        <w:t xml:space="preserve"> jsou v posledním období rozkolísané a reagují do velké míry na očekávání trhů spojené s vývojem sazeb v USA. Tato česká pětiletá sazba se nyní pohybuje přibližně okolo 3,7 %, tedy asi o </w:t>
      </w:r>
      <w:proofErr w:type="gramStart"/>
      <w:r w:rsidRPr="00A02F5D">
        <w:rPr>
          <w:rFonts w:ascii="Calibri" w:hAnsi="Calibri" w:cs="Calibri"/>
          <w:sz w:val="22"/>
          <w:szCs w:val="22"/>
        </w:rPr>
        <w:t xml:space="preserve">0,5 </w:t>
      </w:r>
      <w:r w:rsidR="00D55E9A" w:rsidRPr="00A02F5D">
        <w:rPr>
          <w:rFonts w:ascii="Calibri" w:hAnsi="Calibri" w:cs="Calibri"/>
          <w:sz w:val="22"/>
          <w:szCs w:val="22"/>
        </w:rPr>
        <w:t>procentního</w:t>
      </w:r>
      <w:proofErr w:type="gramEnd"/>
      <w:r w:rsidRPr="00A02F5D">
        <w:rPr>
          <w:rFonts w:ascii="Calibri" w:hAnsi="Calibri" w:cs="Calibri"/>
          <w:sz w:val="22"/>
          <w:szCs w:val="22"/>
        </w:rPr>
        <w:t xml:space="preserve"> bodu výše než v září a o 0,2</w:t>
      </w:r>
      <w:r w:rsidR="00D55E9A" w:rsidRPr="00A02F5D">
        <w:rPr>
          <w:rFonts w:ascii="Calibri" w:hAnsi="Calibri" w:cs="Calibri"/>
          <w:sz w:val="22"/>
          <w:szCs w:val="22"/>
        </w:rPr>
        <w:t xml:space="preserve"> procentního</w:t>
      </w:r>
      <w:r w:rsidRPr="00A02F5D">
        <w:rPr>
          <w:rFonts w:ascii="Calibri" w:hAnsi="Calibri" w:cs="Calibri"/>
          <w:sz w:val="22"/>
          <w:szCs w:val="22"/>
        </w:rPr>
        <w:t xml:space="preserve"> bodu výše než před měsícem. To odráží návrat těchto sazeb v USA přes 4,5 %, což je o více než jeden procentní bod nad úrovní ze září. To bylo doprovázeno návratem obdobných eurových sazeb na 2,5 %, asi o čtvrt procentního bodu výše než v září. </w:t>
      </w:r>
    </w:p>
    <w:bookmarkEnd w:id="6"/>
    <w:p w14:paraId="5578E9B0" w14:textId="224938A8" w:rsidR="00F61FFC" w:rsidRPr="00A02F5D" w:rsidRDefault="00A9017B" w:rsidP="00AB48D1">
      <w:pPr>
        <w:rPr>
          <w:rFonts w:ascii="Calibri" w:hAnsi="Calibri" w:cs="Calibri"/>
          <w:sz w:val="22"/>
          <w:szCs w:val="22"/>
        </w:rPr>
      </w:pPr>
      <w:r w:rsidRPr="00A02F5D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3D2F1B" wp14:editId="40575D41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519545" cy="1019175"/>
                <wp:effectExtent l="0" t="0" r="14605" b="28575"/>
                <wp:wrapTopAndBottom/>
                <wp:docPr id="8701281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0191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FF558" w14:textId="1F476AAE" w:rsidR="009A044E" w:rsidRPr="00143BF5" w:rsidRDefault="009A044E" w:rsidP="009A04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2F5D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="005578C6" w:rsidRPr="00A02F5D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Vývoj hypotečních úrokových sazeb byl příznivý pro nové hypotéky, jelikož snížil měsíční splátky hypoték přibližně o 2 300 Kč. Pokud pomineme nárůst cen nemovitostí, tak nižší úroky v podstatě pro tyto žadatele kompenzovaly dopad nárůstu spotřebitelských cen za rok 2024 na jejich reálné příjmy. Ovšem ti, kteří refinancovali úvěry poskytnuté dříve</w:t>
                            </w:r>
                            <w:r w:rsidR="00D55E9A" w:rsidRPr="00A02F5D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="005578C6" w:rsidRPr="00A02F5D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čelí vyšším splátkám z úvěrů, což tak dále ukrajuje z jejich reálného příjmu</w:t>
                            </w:r>
                            <w:r w:rsidR="00AF1091" w:rsidRPr="00A02F5D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Pr="00A02F5D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“ </w:t>
                            </w:r>
                            <w:r w:rsidR="0028055F"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podotýká</w:t>
                            </w:r>
                            <w:r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38C0"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Jaromír Šindel</w:t>
                            </w:r>
                            <w:r w:rsidR="00CD2107"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138C0"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hlavní ekonom</w:t>
                            </w:r>
                            <w:r w:rsidR="00CD2107"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Česk</w:t>
                            </w:r>
                            <w:r w:rsidR="002138C0"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é</w:t>
                            </w:r>
                            <w:r w:rsidR="00CD2107"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bankovní asociace</w:t>
                            </w:r>
                            <w:r w:rsidR="0028055F" w:rsidRPr="00A02F5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D0F8AD9" w14:textId="5F4A565C" w:rsidR="000E087A" w:rsidRPr="00143BF5" w:rsidRDefault="000E087A" w:rsidP="000E087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D2F1B" id="_x0000_s1028" style="position:absolute;left:0;text-align:left;margin-left:0;margin-top:15.9pt;width:513.35pt;height:80.25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" fillcolor="white [3201]" strokecolor="black [3213]" strokeweight=".5pt">
                <v:textbox>
                  <w:txbxContent>
                    <w:p w14:paraId="41DFF558" w14:textId="1F476AAE" w:rsidR="009A044E" w:rsidRPr="00143BF5" w:rsidRDefault="009A044E" w:rsidP="009A044E">
                      <w:pPr>
                        <w:rPr>
                          <w:b/>
                          <w:bCs/>
                        </w:rPr>
                      </w:pPr>
                      <w:r w:rsidRPr="00A02F5D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="005578C6" w:rsidRPr="00A02F5D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Vývoj hypotečních úrokových sazeb byl příznivý pro nové hypotéky, jelikož snížil měsíční splátky hypoték přibližně o 2 300 Kč. Pokud pomineme nárůst cen nemovitostí, tak nižší úroky v podstatě pro tyto žadatele kompenzovaly dopad nárůstu spotřebitelských cen za rok 2024 na jejich reálné příjmy. Ovšem ti, kteří refinancovali úvěry poskytnuté dříve</w:t>
                      </w:r>
                      <w:r w:rsidR="00D55E9A" w:rsidRPr="00A02F5D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="005578C6" w:rsidRPr="00A02F5D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čelí vyšším splátkám z úvěrů, což tak dále ukrajuje z jejich reálného příjmu</w:t>
                      </w:r>
                      <w:r w:rsidR="00AF1091" w:rsidRPr="00A02F5D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Pr="00A02F5D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“ </w:t>
                      </w:r>
                      <w:r w:rsidR="0028055F"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podotýká</w:t>
                      </w:r>
                      <w:r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2138C0"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Jaromír Šindel</w:t>
                      </w:r>
                      <w:r w:rsidR="00CD2107"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2138C0"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hlavní ekonom</w:t>
                      </w:r>
                      <w:r w:rsidR="00CD2107"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Česk</w:t>
                      </w:r>
                      <w:r w:rsidR="002138C0"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é</w:t>
                      </w:r>
                      <w:r w:rsidR="00CD2107"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bankovní asociace</w:t>
                      </w:r>
                      <w:r w:rsidR="0028055F" w:rsidRPr="00A02F5D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D0F8AD9" w14:textId="5F4A565C" w:rsidR="000E087A" w:rsidRPr="00143BF5" w:rsidRDefault="000E087A" w:rsidP="000E087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4C111FFA" w14:textId="6FB64D22" w:rsidR="00A9017B" w:rsidRPr="00A02F5D" w:rsidRDefault="00A9017B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7" w:name="_Hlk100672905"/>
    </w:p>
    <w:p w14:paraId="72E83631" w14:textId="5E75B11F" w:rsidR="00B04FE2" w:rsidRPr="00A02F5D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r w:rsidRPr="00A02F5D">
        <w:rPr>
          <w:rFonts w:ascii="Calibri" w:hAnsi="Calibri" w:cs="Calibri"/>
          <w:b/>
          <w:color w:val="13576B"/>
          <w:sz w:val="24"/>
          <w:szCs w:val="24"/>
        </w:rPr>
        <w:t xml:space="preserve">Průměrná velikost </w:t>
      </w:r>
      <w:r w:rsidR="00D73AAF" w:rsidRPr="00A02F5D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DE4BD0" w:rsidRPr="00A02F5D">
        <w:rPr>
          <w:rFonts w:ascii="Calibri" w:hAnsi="Calibri" w:cs="Calibri"/>
          <w:b/>
          <w:color w:val="13576B"/>
          <w:sz w:val="24"/>
          <w:szCs w:val="24"/>
        </w:rPr>
        <w:t>se v</w:t>
      </w:r>
      <w:r w:rsidR="00FF5D50" w:rsidRPr="00A02F5D">
        <w:rPr>
          <w:rFonts w:ascii="Calibri" w:hAnsi="Calibri" w:cs="Calibri"/>
          <w:b/>
          <w:color w:val="13576B"/>
          <w:sz w:val="24"/>
          <w:szCs w:val="24"/>
        </w:rPr>
        <w:t> </w:t>
      </w:r>
      <w:r w:rsidR="00B31E3C" w:rsidRPr="00A02F5D">
        <w:rPr>
          <w:rFonts w:ascii="Calibri" w:hAnsi="Calibri" w:cs="Calibri"/>
          <w:b/>
          <w:color w:val="13576B"/>
          <w:sz w:val="24"/>
          <w:szCs w:val="24"/>
        </w:rPr>
        <w:t>prosinci</w:t>
      </w:r>
      <w:r w:rsidR="00FF5D50" w:rsidRPr="00A02F5D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 w:rsidR="00A84D9C" w:rsidRPr="00A02F5D">
        <w:rPr>
          <w:rFonts w:ascii="Calibri" w:hAnsi="Calibri" w:cs="Calibri"/>
          <w:b/>
          <w:color w:val="13576B"/>
          <w:sz w:val="24"/>
          <w:szCs w:val="24"/>
        </w:rPr>
        <w:t>dále mírně zvýšila</w:t>
      </w:r>
    </w:p>
    <w:p w14:paraId="28ED20F8" w14:textId="77777777" w:rsidR="00B31E3C" w:rsidRPr="00A02F5D" w:rsidRDefault="00B31E3C" w:rsidP="00B04FE2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3A9CA915" w14:textId="32601A58" w:rsidR="00280AB4" w:rsidRPr="00A02F5D" w:rsidRDefault="00263207" w:rsidP="00263207">
      <w:pPr>
        <w:rPr>
          <w:rFonts w:ascii="Calibri" w:hAnsi="Calibri" w:cs="Calibri"/>
          <w:sz w:val="22"/>
          <w:szCs w:val="22"/>
        </w:rPr>
      </w:pPr>
      <w:r w:rsidRPr="00A02F5D">
        <w:rPr>
          <w:rFonts w:ascii="Calibri" w:hAnsi="Calibri" w:cs="Calibri"/>
          <w:b/>
          <w:sz w:val="22"/>
          <w:szCs w:val="22"/>
        </w:rPr>
        <w:t>Průměrná velikost nové hypotéky v prosinci dále mírně vzrostla na 3,86 mil. Kč z 3,37 mil.</w:t>
      </w:r>
      <w:r w:rsidR="00AE4002" w:rsidRPr="00A02F5D">
        <w:rPr>
          <w:rFonts w:ascii="Calibri" w:hAnsi="Calibri" w:cs="Calibri"/>
          <w:b/>
          <w:sz w:val="22"/>
          <w:szCs w:val="22"/>
        </w:rPr>
        <w:t xml:space="preserve"> Kč</w:t>
      </w:r>
      <w:r w:rsidRPr="00A02F5D">
        <w:rPr>
          <w:rFonts w:ascii="Calibri" w:hAnsi="Calibri" w:cs="Calibri"/>
          <w:b/>
          <w:sz w:val="22"/>
          <w:szCs w:val="22"/>
        </w:rPr>
        <w:t xml:space="preserve"> před rokem</w:t>
      </w:r>
      <w:r w:rsidRPr="00A02F5D">
        <w:rPr>
          <w:rFonts w:ascii="Calibri" w:hAnsi="Calibri" w:cs="Calibri"/>
          <w:bCs/>
          <w:sz w:val="22"/>
          <w:szCs w:val="22"/>
        </w:rPr>
        <w:t xml:space="preserve">. To může odrážet kombinaci vyšších cen nemovitostí, růstu mezd a nižších úrokových sazeb. </w:t>
      </w:r>
      <w:r w:rsidR="008D1695" w:rsidRPr="00A02F5D">
        <w:rPr>
          <w:rFonts w:ascii="Calibri" w:hAnsi="Calibri" w:cs="Calibri"/>
          <w:sz w:val="22"/>
          <w:szCs w:val="22"/>
        </w:rPr>
        <w:t>Odhlédneme-li od</w:t>
      </w:r>
      <w:r w:rsidR="000770D8" w:rsidRPr="00A02F5D">
        <w:rPr>
          <w:rFonts w:ascii="Calibri" w:hAnsi="Calibri" w:cs="Calibri"/>
          <w:sz w:val="22"/>
          <w:szCs w:val="22"/>
        </w:rPr>
        <w:t xml:space="preserve"> mimořád</w:t>
      </w:r>
      <w:r w:rsidR="00A84D9C" w:rsidRPr="00A02F5D">
        <w:rPr>
          <w:rFonts w:ascii="Calibri" w:hAnsi="Calibri" w:cs="Calibri"/>
          <w:sz w:val="22"/>
          <w:szCs w:val="22"/>
        </w:rPr>
        <w:t>né hodnoty</w:t>
      </w:r>
      <w:r w:rsidR="000202BA" w:rsidRPr="00A02F5D">
        <w:rPr>
          <w:rFonts w:ascii="Calibri" w:hAnsi="Calibri" w:cs="Calibri"/>
          <w:sz w:val="22"/>
          <w:szCs w:val="22"/>
        </w:rPr>
        <w:t xml:space="preserve"> téměř 4 mil. Kč</w:t>
      </w:r>
      <w:r w:rsidR="00A84D9C" w:rsidRPr="00A02F5D">
        <w:rPr>
          <w:rFonts w:ascii="Calibri" w:hAnsi="Calibri" w:cs="Calibri"/>
          <w:sz w:val="22"/>
          <w:szCs w:val="22"/>
        </w:rPr>
        <w:t xml:space="preserve"> v srpnu, </w:t>
      </w:r>
      <w:r w:rsidR="000202BA" w:rsidRPr="00A02F5D">
        <w:rPr>
          <w:rFonts w:ascii="Calibri" w:hAnsi="Calibri" w:cs="Calibri"/>
          <w:sz w:val="22"/>
          <w:szCs w:val="22"/>
        </w:rPr>
        <w:t xml:space="preserve">tak průměrná hodnota </w:t>
      </w:r>
      <w:r w:rsidR="008D1695" w:rsidRPr="00A02F5D">
        <w:rPr>
          <w:rFonts w:ascii="Calibri" w:hAnsi="Calibri" w:cs="Calibri"/>
          <w:sz w:val="22"/>
          <w:szCs w:val="22"/>
        </w:rPr>
        <w:t xml:space="preserve">od dubna postupně roste a </w:t>
      </w:r>
      <w:r w:rsidR="00F343CC" w:rsidRPr="00A02F5D">
        <w:rPr>
          <w:rFonts w:ascii="Calibri" w:hAnsi="Calibri" w:cs="Calibri"/>
          <w:sz w:val="22"/>
          <w:szCs w:val="22"/>
        </w:rPr>
        <w:t xml:space="preserve">převyšuje </w:t>
      </w:r>
      <w:r w:rsidR="000202BA" w:rsidRPr="00A02F5D">
        <w:rPr>
          <w:rFonts w:ascii="Calibri" w:hAnsi="Calibri" w:cs="Calibri"/>
          <w:sz w:val="22"/>
          <w:szCs w:val="22"/>
        </w:rPr>
        <w:t>předcházející</w:t>
      </w:r>
      <w:r w:rsidR="007877DC" w:rsidRPr="00A02F5D">
        <w:rPr>
          <w:rFonts w:ascii="Calibri" w:hAnsi="Calibri" w:cs="Calibri"/>
          <w:sz w:val="22"/>
          <w:szCs w:val="22"/>
        </w:rPr>
        <w:t xml:space="preserve"> rekordní úroveň z listopadu 2021 ve výši 3,46 mil</w:t>
      </w:r>
      <w:r w:rsidR="00E76B64" w:rsidRPr="00A02F5D">
        <w:rPr>
          <w:rFonts w:ascii="Calibri" w:hAnsi="Calibri" w:cs="Calibri"/>
          <w:sz w:val="22"/>
          <w:szCs w:val="22"/>
        </w:rPr>
        <w:t>.</w:t>
      </w:r>
      <w:r w:rsidR="007877DC" w:rsidRPr="00A02F5D">
        <w:rPr>
          <w:rFonts w:ascii="Calibri" w:hAnsi="Calibri" w:cs="Calibri"/>
          <w:sz w:val="22"/>
          <w:szCs w:val="22"/>
        </w:rPr>
        <w:t xml:space="preserve"> Kč.</w:t>
      </w:r>
      <w:r w:rsidR="00783BA7" w:rsidRPr="00A02F5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D4931" w:rsidRPr="00A02F5D">
        <w:rPr>
          <w:rFonts w:ascii="Calibri" w:hAnsi="Calibri" w:cs="Calibri"/>
          <w:sz w:val="22"/>
          <w:szCs w:val="22"/>
        </w:rPr>
        <w:t xml:space="preserve"> </w:t>
      </w:r>
      <w:r w:rsidR="00783BA7" w:rsidRPr="00A02F5D">
        <w:rPr>
          <w:rFonts w:ascii="Calibri" w:hAnsi="Calibri" w:cs="Calibri"/>
          <w:sz w:val="22"/>
          <w:szCs w:val="22"/>
        </w:rPr>
        <w:t xml:space="preserve">Dosáhnout na vyšší hypotéku umožňuje postupný pokles hypotečních sazeb či </w:t>
      </w:r>
      <w:r w:rsidR="000A5220" w:rsidRPr="00A02F5D">
        <w:rPr>
          <w:rFonts w:ascii="Calibri" w:hAnsi="Calibri" w:cs="Calibri"/>
          <w:sz w:val="22"/>
          <w:szCs w:val="22"/>
        </w:rPr>
        <w:t xml:space="preserve">pokračující </w:t>
      </w:r>
      <w:r w:rsidR="00783BA7" w:rsidRPr="00A02F5D">
        <w:rPr>
          <w:rFonts w:ascii="Calibri" w:hAnsi="Calibri" w:cs="Calibri"/>
          <w:sz w:val="22"/>
          <w:szCs w:val="22"/>
        </w:rPr>
        <w:t xml:space="preserve">uvolnění </w:t>
      </w:r>
      <w:proofErr w:type="spellStart"/>
      <w:r w:rsidR="00783BA7" w:rsidRPr="00A02F5D">
        <w:rPr>
          <w:rFonts w:ascii="Calibri" w:hAnsi="Calibri" w:cs="Calibri"/>
          <w:sz w:val="22"/>
          <w:szCs w:val="22"/>
        </w:rPr>
        <w:t>makroobezřetnostních</w:t>
      </w:r>
      <w:proofErr w:type="spellEnd"/>
      <w:r w:rsidR="00783BA7" w:rsidRPr="00A02F5D">
        <w:rPr>
          <w:rFonts w:ascii="Calibri" w:hAnsi="Calibri" w:cs="Calibri"/>
          <w:sz w:val="22"/>
          <w:szCs w:val="22"/>
        </w:rPr>
        <w:t xml:space="preserve"> příjmových limitů ze strany ČNB společně s postupným růstem reálných příjmů domácností. Výše hypotéky pak souvisí také s vývojem </w:t>
      </w:r>
      <w:hyperlink r:id="rId12" w:history="1">
        <w:r w:rsidR="00783BA7" w:rsidRPr="00A02F5D">
          <w:rPr>
            <w:rStyle w:val="Hypertextovodkaz"/>
            <w:rFonts w:ascii="Calibri" w:hAnsi="Calibri" w:cs="Calibri"/>
            <w:sz w:val="22"/>
            <w:szCs w:val="22"/>
          </w:rPr>
          <w:t>cen nemovitostí</w:t>
        </w:r>
      </w:hyperlink>
      <w:r w:rsidR="00783BA7" w:rsidRPr="00A02F5D">
        <w:rPr>
          <w:rFonts w:ascii="Calibri" w:hAnsi="Calibri" w:cs="Calibri"/>
          <w:sz w:val="22"/>
          <w:szCs w:val="22"/>
        </w:rPr>
        <w:t>, které byly</w:t>
      </w:r>
      <w:r w:rsidR="00F343CC" w:rsidRPr="00A02F5D">
        <w:rPr>
          <w:rFonts w:ascii="Calibri" w:hAnsi="Calibri" w:cs="Calibri"/>
          <w:sz w:val="22"/>
          <w:szCs w:val="22"/>
        </w:rPr>
        <w:t xml:space="preserve"> v</w:t>
      </w:r>
      <w:r w:rsidR="00105514" w:rsidRPr="00A02F5D">
        <w:rPr>
          <w:rFonts w:ascii="Calibri" w:hAnsi="Calibri" w:cs="Calibri"/>
          <w:sz w:val="22"/>
          <w:szCs w:val="22"/>
        </w:rPr>
        <w:t>e</w:t>
      </w:r>
      <w:r w:rsidR="00507747" w:rsidRPr="00A02F5D">
        <w:rPr>
          <w:rFonts w:ascii="Calibri" w:hAnsi="Calibri" w:cs="Calibri"/>
          <w:sz w:val="22"/>
          <w:szCs w:val="22"/>
        </w:rPr>
        <w:t xml:space="preserve"> </w:t>
      </w:r>
      <w:r w:rsidR="000202BA" w:rsidRPr="00A02F5D">
        <w:rPr>
          <w:rFonts w:ascii="Calibri" w:hAnsi="Calibri" w:cs="Calibri"/>
          <w:sz w:val="22"/>
          <w:szCs w:val="22"/>
        </w:rPr>
        <w:t>3</w:t>
      </w:r>
      <w:r w:rsidR="00F343CC" w:rsidRPr="00A02F5D">
        <w:rPr>
          <w:rFonts w:ascii="Calibri" w:hAnsi="Calibri" w:cs="Calibri"/>
          <w:sz w:val="22"/>
          <w:szCs w:val="22"/>
        </w:rPr>
        <w:t>. čtvrtletí letošního roku</w:t>
      </w:r>
      <w:r w:rsidR="00100394" w:rsidRPr="00A02F5D">
        <w:rPr>
          <w:rFonts w:ascii="Calibri" w:hAnsi="Calibri" w:cs="Calibri"/>
          <w:sz w:val="22"/>
          <w:szCs w:val="22"/>
        </w:rPr>
        <w:t xml:space="preserve"> </w:t>
      </w:r>
      <w:r w:rsidR="00507747" w:rsidRPr="00A02F5D">
        <w:rPr>
          <w:rFonts w:ascii="Calibri" w:hAnsi="Calibri" w:cs="Calibri"/>
          <w:sz w:val="22"/>
          <w:szCs w:val="22"/>
        </w:rPr>
        <w:t xml:space="preserve">zhruba </w:t>
      </w:r>
      <w:r w:rsidR="00105514" w:rsidRPr="00A02F5D">
        <w:rPr>
          <w:rFonts w:ascii="Calibri" w:hAnsi="Calibri" w:cs="Calibri"/>
          <w:sz w:val="22"/>
          <w:szCs w:val="22"/>
        </w:rPr>
        <w:t xml:space="preserve">o </w:t>
      </w:r>
      <w:r w:rsidR="00100394" w:rsidRPr="00A02F5D">
        <w:rPr>
          <w:rFonts w:ascii="Calibri" w:hAnsi="Calibri" w:cs="Calibri"/>
          <w:sz w:val="22"/>
          <w:szCs w:val="22"/>
        </w:rPr>
        <w:t>10</w:t>
      </w:r>
      <w:r w:rsidR="00EA73BA" w:rsidRPr="00A02F5D">
        <w:rPr>
          <w:rFonts w:ascii="Calibri" w:hAnsi="Calibri" w:cs="Calibri"/>
          <w:sz w:val="22"/>
          <w:szCs w:val="22"/>
        </w:rPr>
        <w:t xml:space="preserve"> </w:t>
      </w:r>
      <w:r w:rsidR="00100394" w:rsidRPr="00A02F5D">
        <w:rPr>
          <w:rFonts w:ascii="Calibri" w:hAnsi="Calibri" w:cs="Calibri"/>
          <w:sz w:val="22"/>
          <w:szCs w:val="22"/>
        </w:rPr>
        <w:t xml:space="preserve">% </w:t>
      </w:r>
      <w:r w:rsidR="00366A68" w:rsidRPr="00A02F5D">
        <w:rPr>
          <w:rFonts w:ascii="Calibri" w:hAnsi="Calibri" w:cs="Calibri"/>
          <w:sz w:val="22"/>
          <w:szCs w:val="22"/>
        </w:rPr>
        <w:t>meziročně výše</w:t>
      </w:r>
      <w:r w:rsidR="00B31E3C" w:rsidRPr="00A02F5D">
        <w:rPr>
          <w:rFonts w:ascii="Calibri" w:hAnsi="Calibri" w:cs="Calibri"/>
          <w:sz w:val="22"/>
          <w:szCs w:val="22"/>
        </w:rPr>
        <w:t xml:space="preserve">. </w:t>
      </w:r>
      <w:r w:rsidR="00EA73BA" w:rsidRPr="00A02F5D">
        <w:rPr>
          <w:rFonts w:ascii="Calibri" w:hAnsi="Calibri" w:cs="Calibri"/>
          <w:sz w:val="22"/>
          <w:szCs w:val="22"/>
        </w:rPr>
        <w:t xml:space="preserve"> </w:t>
      </w:r>
    </w:p>
    <w:p w14:paraId="6053D3C2" w14:textId="77777777" w:rsidR="00B31E3C" w:rsidRPr="00A02F5D" w:rsidRDefault="00B31E3C" w:rsidP="00263207">
      <w:pPr>
        <w:rPr>
          <w:rFonts w:ascii="Calibri" w:hAnsi="Calibri" w:cs="Calibri"/>
          <w:b/>
          <w:bCs/>
          <w:sz w:val="22"/>
          <w:szCs w:val="22"/>
        </w:rPr>
      </w:pPr>
    </w:p>
    <w:p w14:paraId="1324117A" w14:textId="4A917CD8" w:rsidR="005578C6" w:rsidRDefault="005578C6" w:rsidP="005578C6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A02F5D">
        <w:rPr>
          <w:rFonts w:ascii="Calibri" w:hAnsi="Calibri" w:cs="Calibri"/>
          <w:b/>
          <w:bCs/>
          <w:sz w:val="22"/>
          <w:szCs w:val="22"/>
        </w:rPr>
        <w:t>Pokles hypotečních úrokových sazeb v letošním roce snížil splátku u průměrné nové hypotéky o 10 %, téměř o 2,6 % čistého příjmu žadatele.</w:t>
      </w:r>
      <w:r w:rsidRPr="00A02F5D">
        <w:rPr>
          <w:rFonts w:ascii="Calibri" w:hAnsi="Calibri" w:cs="Calibri"/>
          <w:sz w:val="22"/>
          <w:szCs w:val="22"/>
        </w:rPr>
        <w:t xml:space="preserve"> Scénáře vývoje měsíční splátky pro různé délky splatnosti hypotéky znázorňuje tabulka č. 2. Z ní je patrné, že pokles hypotečních sazeb bezmála o jeden procentní bod vůči jejich průměrné výši v roce 2023 přinesl, pro průměrnou velikost hypotéky při jejím obvyklém skoro 27letém splácení, snížení měsíční splátky o více než 2 300 Kč.</w:t>
      </w:r>
      <w:r w:rsidRPr="00A02F5D">
        <w:rPr>
          <w:rStyle w:val="Znakapoznpodarou"/>
          <w:rFonts w:ascii="Calibri" w:hAnsi="Calibri" w:cs="Calibri"/>
          <w:sz w:val="22"/>
          <w:szCs w:val="22"/>
        </w:rPr>
        <w:t xml:space="preserve"> </w:t>
      </w:r>
      <w:r w:rsidRPr="00A02F5D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A02F5D">
        <w:rPr>
          <w:rFonts w:ascii="Calibri" w:hAnsi="Calibri" w:cs="Calibri"/>
          <w:sz w:val="22"/>
          <w:szCs w:val="22"/>
        </w:rPr>
        <w:t xml:space="preserve"> Naopak, ve srovnání s průměrnou </w:t>
      </w:r>
      <w:proofErr w:type="gramStart"/>
      <w:r w:rsidRPr="00A02F5D">
        <w:rPr>
          <w:rFonts w:ascii="Calibri" w:hAnsi="Calibri" w:cs="Calibri"/>
          <w:sz w:val="22"/>
          <w:szCs w:val="22"/>
        </w:rPr>
        <w:t>2,8%</w:t>
      </w:r>
      <w:proofErr w:type="gramEnd"/>
      <w:r w:rsidRPr="00A02F5D">
        <w:rPr>
          <w:rFonts w:ascii="Calibri" w:hAnsi="Calibri" w:cs="Calibri"/>
          <w:sz w:val="22"/>
          <w:szCs w:val="22"/>
        </w:rPr>
        <w:t xml:space="preserve"> úrokovou hypoteční sazbou pro nové hypotéky v roce 2019, tak současná hypoteční sazba pro refinancování ve výši 4,7 % při zkrácení splatnosti úvěru zvedá měsíční splátky u průměrné hypotéky více než o 5 600 Kč. </w:t>
      </w:r>
      <w:r w:rsidRPr="00A02F5D">
        <w:rPr>
          <w:rFonts w:ascii="Calibri" w:hAnsi="Calibri" w:cs="Calibri"/>
          <w:b/>
          <w:bCs/>
          <w:sz w:val="22"/>
          <w:szCs w:val="22"/>
        </w:rPr>
        <w:t>Splátka hypotéky ve výši jednoho milionu korun s 30letou splatností se současnými úrokovými sazbami se pohybuje kolem 5,3 tisíce Kč.</w:t>
      </w:r>
    </w:p>
    <w:p w14:paraId="3DCAE7D1" w14:textId="77777777" w:rsidR="00A02F5D" w:rsidRDefault="00A02F5D" w:rsidP="005578C6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57B6AE6F" w14:textId="77777777" w:rsidR="00A02F5D" w:rsidRDefault="00A02F5D" w:rsidP="005578C6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40B09437" w14:textId="77777777" w:rsidR="00A02F5D" w:rsidRPr="006B1C6C" w:rsidRDefault="00A02F5D" w:rsidP="005578C6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sz w:val="22"/>
          <w:szCs w:val="22"/>
        </w:rPr>
      </w:pPr>
    </w:p>
    <w:bookmarkEnd w:id="7"/>
    <w:p w14:paraId="1A267256" w14:textId="45AF01D0" w:rsidR="009D3067" w:rsidRPr="00515ECA" w:rsidRDefault="009D3067" w:rsidP="007F41A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515ECA">
        <w:rPr>
          <w:rFonts w:ascii="Calibri" w:hAnsi="Calibri" w:cs="Calibri"/>
          <w:b/>
          <w:color w:val="13576B"/>
          <w:sz w:val="23"/>
          <w:szCs w:val="23"/>
        </w:rPr>
        <w:t>Tabulka č. 2: Měsíční splátka průměrné hypotéky v závislosti na délce splatnosti a úrokové sazbě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31"/>
        <w:gridCol w:w="960"/>
        <w:gridCol w:w="960"/>
        <w:gridCol w:w="960"/>
        <w:gridCol w:w="960"/>
        <w:gridCol w:w="960"/>
        <w:gridCol w:w="960"/>
      </w:tblGrid>
      <w:tr w:rsidR="00D5517C" w:rsidRPr="002138C0" w14:paraId="2E0F9EE8" w14:textId="77777777" w:rsidTr="008B2AC1">
        <w:trPr>
          <w:trHeight w:val="555"/>
        </w:trPr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9691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DFC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1B2E" w14:textId="294A28AB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00C93" w:rsidRPr="00F236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8289" w14:textId="458EFFF1" w:rsidR="00490505" w:rsidRPr="00F23602" w:rsidRDefault="00C26B97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3 863 736</w:t>
            </w:r>
          </w:p>
        </w:tc>
      </w:tr>
      <w:tr w:rsidR="00F23602" w:rsidRPr="002138C0" w14:paraId="3A9D14C4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FFBA8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6198D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EE92" w14:textId="18F743FA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3214C" w14:textId="1130DD68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144F" w14:textId="1E0730A6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40BFFE69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49E02541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AC0A3" w14:textId="632AE5E6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D5517C" w:rsidRPr="002138C0" w14:paraId="4905349F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E1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EDC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A3F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A7A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98FF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F23602" w:rsidRPr="002138C0" w14:paraId="0A342D01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43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E9A3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F03F" w14:textId="18E9F95D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9F84" w14:textId="7B741487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63E5" w14:textId="6E79CC2C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324AFD4C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28A0FB95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0922" w14:textId="2F289AA6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32 604</w:t>
            </w:r>
          </w:p>
        </w:tc>
      </w:tr>
      <w:tr w:rsidR="00F23602" w:rsidRPr="002138C0" w14:paraId="4A78BEF2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610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CE37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FBFB" w14:textId="7504BAFE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AA86" w14:textId="35D76B46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7E18" w14:textId="0DD76FAA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610894F5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485DD657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BDBD" w14:textId="0CD15060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27 681</w:t>
            </w:r>
          </w:p>
        </w:tc>
      </w:tr>
      <w:tr w:rsidR="00F23602" w:rsidRPr="002138C0" w14:paraId="6CF32913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81A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2D49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1A11" w14:textId="42B9AF90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222" w14:textId="1FEE4F6F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1AB" w14:textId="46026E10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0841F82E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11C591B1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8C7" w14:textId="48EF9EC5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24 894</w:t>
            </w:r>
          </w:p>
        </w:tc>
      </w:tr>
      <w:tr w:rsidR="00F23602" w:rsidRPr="002138C0" w14:paraId="46B86678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BB57D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E525A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2DA6" w14:textId="4F39316A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14 281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602F5" w14:textId="32EBDF80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600D" w14:textId="3304A558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670C18C7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0E7950B5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1B34" w14:textId="7EBF0525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23 165</w:t>
            </w:r>
          </w:p>
        </w:tc>
      </w:tr>
      <w:tr w:rsidR="00D5517C" w:rsidRPr="002138C0" w14:paraId="58395EC8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D57F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13576B"/>
                <w:sz w:val="22"/>
                <w:szCs w:val="22"/>
              </w:rPr>
              <w:t>Pramen: ČBA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430D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225D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F0D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AAF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A2A" w14:textId="77777777" w:rsidR="00D5517C" w:rsidRPr="002138C0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15A" w14:textId="77777777" w:rsidR="00D5517C" w:rsidRPr="002138C0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2E4" w14:textId="77777777" w:rsidR="00D5517C" w:rsidRPr="002138C0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D5517C" w:rsidRPr="002138C0" w14:paraId="17E5FF51" w14:textId="77777777" w:rsidTr="008B2AC1">
        <w:trPr>
          <w:trHeight w:val="300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336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13576B"/>
                <w:sz w:val="22"/>
                <w:szCs w:val="22"/>
              </w:rPr>
              <w:t>Pozn.: barevný sloupec odpovídá úrokové sazbě posledního ČBA Hypomonitoru, ostatní sazby jsou ilustrační</w:t>
            </w:r>
          </w:p>
        </w:tc>
      </w:tr>
    </w:tbl>
    <w:p w14:paraId="058F8495" w14:textId="77777777" w:rsidR="0000226C" w:rsidRPr="002138C0" w:rsidRDefault="0000226C" w:rsidP="003417B4">
      <w:pPr>
        <w:rPr>
          <w:rFonts w:ascii="Calibri" w:hAnsi="Calibri" w:cs="Calibri"/>
          <w:b/>
          <w:color w:val="13576B"/>
          <w:sz w:val="24"/>
          <w:szCs w:val="24"/>
          <w:highlight w:val="yellow"/>
        </w:rPr>
      </w:pPr>
    </w:p>
    <w:p w14:paraId="7D566DD6" w14:textId="36D98E28" w:rsidR="00B44209" w:rsidRPr="002138C0" w:rsidRDefault="00B44209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b/>
          <w:color w:val="13576B"/>
          <w:sz w:val="24"/>
          <w:szCs w:val="24"/>
          <w:highlight w:val="yellow"/>
        </w:rPr>
      </w:pPr>
    </w:p>
    <w:p w14:paraId="0D5FBC63" w14:textId="77777777" w:rsidR="002A5D11" w:rsidRPr="002A5D11" w:rsidRDefault="002A5D11" w:rsidP="002A5D11">
      <w:pPr>
        <w:rPr>
          <w:rFonts w:ascii="Calibri" w:hAnsi="Calibri" w:cs="Calibri"/>
          <w:b/>
          <w:color w:val="13576B"/>
          <w:sz w:val="24"/>
          <w:szCs w:val="24"/>
        </w:rPr>
      </w:pPr>
      <w:r w:rsidRPr="002A5D11">
        <w:rPr>
          <w:rFonts w:ascii="Calibri" w:hAnsi="Calibri" w:cs="Calibri"/>
          <w:b/>
          <w:color w:val="13576B"/>
          <w:sz w:val="24"/>
          <w:szCs w:val="24"/>
        </w:rPr>
        <w:t>Hypoteční trh v roce 2024: Rekordní růst o 83 %</w:t>
      </w:r>
    </w:p>
    <w:p w14:paraId="4743E758" w14:textId="77777777" w:rsidR="001002CD" w:rsidRPr="00840F7C" w:rsidRDefault="001002CD" w:rsidP="003E393C">
      <w:pPr>
        <w:rPr>
          <w:rFonts w:ascii="Calibri" w:hAnsi="Calibri" w:cs="Calibri"/>
          <w:b/>
          <w:bCs/>
          <w:sz w:val="22"/>
          <w:szCs w:val="22"/>
        </w:rPr>
      </w:pPr>
    </w:p>
    <w:p w14:paraId="2BEF2B35" w14:textId="036FD876" w:rsidR="003E393C" w:rsidRPr="002138C0" w:rsidRDefault="001002CD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 celý rok 2024 poskytly banky a stavební spořitelny nové hypoteční úvěry v objemu 228 miliard Kč.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To je více než 83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%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skok vůči objemu z roku 2023. K tomu se navíc refinancovaly hypotéky v rozsahu 47 miliard Kč a celý hypoteční trh tak v roce 2024 narostl na 275 miliard Kč ze 150 miliard v roce 2023. Pokud upravíme objemy o nárůst cen nemovitostí o 4-8 % (dle různých statistik během 1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-3. čtvrtletí 2024), objem nových hypoték vzrostl reálně o něco méně. To odpovídá i mírnějšímu nárůstu počtu nových hypoték v roce 2024 o 53 % meziročně na téměř 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>62 tisíc a téměř 20% nárůstu průměrné výše poskytnuté nové hypotéky na 3,7 milion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Kč</w:t>
      </w:r>
      <w:r w:rsidR="00693034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>Ve srovnání s předpandemickými roky 2017-2019 byl objem poskytnutých</w:t>
      </w:r>
      <w:r w:rsidR="00872E78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nových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hypoték v roce 202</w:t>
      </w:r>
      <w:r w:rsidR="003E4820" w:rsidRPr="00872E78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zhruba o </w:t>
      </w:r>
      <w:r w:rsidR="00FE400F" w:rsidRPr="00872E78">
        <w:rPr>
          <w:rFonts w:ascii="Calibri" w:hAnsi="Calibri" w:cs="Calibri"/>
          <w:color w:val="000000" w:themeColor="text1"/>
          <w:sz w:val="22"/>
          <w:szCs w:val="22"/>
        </w:rPr>
        <w:t>necelou pětinu vyšší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FD17B82" w14:textId="77777777" w:rsidR="005F105B" w:rsidRPr="002138C0" w:rsidRDefault="005F105B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1595CC2" w14:textId="635689CB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10371D" w:rsidRPr="002F4CBD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: Celoroční objem a počet poskytnutých hypoték v letech 2021 až 202</w:t>
      </w:r>
      <w:r w:rsidR="002138C0" w:rsidRPr="002F4CBD">
        <w:rPr>
          <w:rFonts w:ascii="Calibri" w:hAnsi="Calibri" w:cs="Calibri"/>
          <w:b/>
          <w:color w:val="13576B"/>
          <w:sz w:val="23"/>
          <w:szCs w:val="23"/>
        </w:rPr>
        <w:t>4</w:t>
      </w:r>
    </w:p>
    <w:p w14:paraId="6B4EF12D" w14:textId="28831766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</w:p>
    <w:p w14:paraId="2F4D295D" w14:textId="57A93BDF" w:rsidR="002F4CBD" w:rsidRPr="002F4CBD" w:rsidRDefault="002F4CBD" w:rsidP="003E393C">
      <w:pPr>
        <w:rPr>
          <w:rFonts w:ascii="Calibri" w:hAnsi="Calibri" w:cs="Calibri"/>
          <w:sz w:val="22"/>
          <w:szCs w:val="22"/>
        </w:rPr>
      </w:pPr>
      <w:r w:rsidRPr="002F4CBD">
        <w:rPr>
          <w:noProof/>
        </w:rPr>
        <w:drawing>
          <wp:inline distT="0" distB="0" distL="0" distR="0" wp14:anchorId="126AC1CA" wp14:editId="276DF6AD">
            <wp:extent cx="6480810" cy="2711450"/>
            <wp:effectExtent l="0" t="0" r="0" b="0"/>
            <wp:docPr id="564655201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55201" name="Picture 1" descr="A screenshot of a graph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lastRenderedPageBreak/>
        <w:t xml:space="preserve">Pramen: 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019F3D7D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14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15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146C6D89" w14:textId="77777777" w:rsidR="0028530F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Metodika ČBA Hypomonitoru</w:t>
                            </w:r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      </w:r>
                            <w:proofErr w:type="gram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podílu,</w:t>
                            </w:r>
                            <w:proofErr w:type="gram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08A7140E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Oberbank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stavební spořitelna, Raiffeisenbank, Stavební spořitelna České spořitelny,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UniCredit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9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Metodika ČBA Hypomonitoru</w:t>
                      </w:r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</w:r>
                      <w:proofErr w:type="gram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podílu,</w:t>
                      </w:r>
                      <w:proofErr w:type="gram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08A7140E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Oberbank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stavební spořitelna, Raiffeisenbank, Stavební spořitelna České spořitelny,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UniCredit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384"/>
      </w:tblGrid>
      <w:tr w:rsidR="0028530F" w:rsidRPr="00D80B55" w14:paraId="4825E599" w14:textId="77777777" w:rsidTr="001B1140">
        <w:trPr>
          <w:trHeight w:val="1364"/>
        </w:trPr>
        <w:tc>
          <w:tcPr>
            <w:tcW w:w="6817" w:type="dxa"/>
            <w:shd w:val="clear" w:color="auto" w:fill="13576B"/>
          </w:tcPr>
          <w:p w14:paraId="1EB2DC0A" w14:textId="77777777" w:rsidR="0028530F" w:rsidRPr="00D80B55" w:rsidRDefault="0028530F" w:rsidP="001B1140">
            <w:pPr>
              <w:pStyle w:val="CBANadpis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>O České bankovní asociaci</w:t>
            </w:r>
          </w:p>
          <w:p w14:paraId="4EB0391C" w14:textId="376AE2CD" w:rsidR="0028530F" w:rsidRPr="00D80B55" w:rsidRDefault="0028530F" w:rsidP="001B1140">
            <w:pPr>
              <w:rPr>
                <w:rFonts w:cs="Arial"/>
                <w:color w:val="FFFFFF" w:themeColor="background1"/>
                <w:sz w:val="22"/>
              </w:rPr>
            </w:pPr>
            <w:r w:rsidRPr="00D80B55">
              <w:rPr>
                <w:rFonts w:cs="Arial"/>
                <w:color w:val="FFFFFF" w:themeColor="background1"/>
              </w:rPr>
              <w:t>Česká bankovní asociace (ČBA) je dobrovolné sdružení 3</w:t>
            </w:r>
            <w:r>
              <w:rPr>
                <w:rFonts w:cs="Arial"/>
                <w:color w:val="FFFFFF" w:themeColor="background1"/>
              </w:rPr>
              <w:t>3</w:t>
            </w:r>
            <w:r w:rsidRPr="00D80B55">
              <w:rPr>
                <w:rFonts w:cs="Arial"/>
                <w:color w:val="FFFFFF" w:themeColor="background1"/>
              </w:rPr>
              <w:t xml:space="preserve"> bank, které v ČR působí a reprezentuje tak 99 % trhu. </w:t>
            </w:r>
            <w:r>
              <w:rPr>
                <w:rFonts w:cs="Arial"/>
                <w:color w:val="FFFFFF" w:themeColor="background1"/>
              </w:rPr>
              <w:t>Více než</w:t>
            </w:r>
            <w:r w:rsidRPr="00D80B55">
              <w:rPr>
                <w:rFonts w:cs="Arial"/>
                <w:color w:val="FFFFFF" w:themeColor="background1"/>
              </w:rPr>
              <w:t xml:space="preserve"> 30 let podporuje nejen rozvoj bankovního sektoru, ale i celé ekonomiky a všeobecné finanční gramotnosti. ČBA je členem Evropské bankovní federace (EBF).</w:t>
            </w:r>
          </w:p>
          <w:p w14:paraId="598BB9F7" w14:textId="77777777" w:rsidR="0028530F" w:rsidRPr="00D80B55" w:rsidRDefault="0028530F" w:rsidP="001B1140">
            <w:pPr>
              <w:pStyle w:val="CBAodstavec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 xml:space="preserve">Více informací na </w:t>
            </w:r>
            <w:r w:rsidRPr="00D80B55">
              <w:rPr>
                <w:rFonts w:cs="Arial"/>
                <w:color w:val="FFFFFF" w:themeColor="background1"/>
                <w:szCs w:val="18"/>
                <w:u w:val="single"/>
              </w:rPr>
              <w:t>www.cbaonline.cz.</w:t>
            </w:r>
            <w:r w:rsidRPr="00D80B55">
              <w:rPr>
                <w:rFonts w:cs="Arial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606A2DEB" w14:textId="77777777" w:rsidR="0028530F" w:rsidRPr="00D80B55" w:rsidRDefault="0028530F" w:rsidP="001B1140">
            <w:pPr>
              <w:pStyle w:val="CBAodstavecvTABULCE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               Dotazy posílejte na</w:t>
            </w:r>
          </w:p>
          <w:p w14:paraId="64706D81" w14:textId="77777777" w:rsidR="0028530F" w:rsidRPr="00D80B55" w:rsidRDefault="0028530F" w:rsidP="001B1140">
            <w:pPr>
              <w:pStyle w:val="CBAodstavecvTABULCE"/>
              <w:jc w:val="center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>radek.salsa@cbaonline.cz</w:t>
            </w:r>
          </w:p>
        </w:tc>
      </w:tr>
    </w:tbl>
    <w:p w14:paraId="79952D08" w14:textId="7B44AB4C" w:rsidR="00C42F00" w:rsidRPr="00B04FE2" w:rsidRDefault="00C42F00" w:rsidP="00CA3B41">
      <w:pPr>
        <w:rPr>
          <w:rFonts w:ascii="Calibri" w:hAnsi="Calibri" w:cs="Calibri"/>
          <w:sz w:val="22"/>
          <w:szCs w:val="22"/>
        </w:rPr>
      </w:pPr>
    </w:p>
    <w:sectPr w:rsidR="00C42F00" w:rsidRPr="00B04FE2" w:rsidSect="000C6834">
      <w:headerReference w:type="default" r:id="rId16"/>
      <w:footerReference w:type="default" r:id="rId17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36A0" w14:textId="77777777" w:rsidR="00116F2A" w:rsidRPr="00616069" w:rsidRDefault="00116F2A" w:rsidP="00F573F1">
      <w:r w:rsidRPr="00616069">
        <w:separator/>
      </w:r>
    </w:p>
  </w:endnote>
  <w:endnote w:type="continuationSeparator" w:id="0">
    <w:p w14:paraId="0B408722" w14:textId="77777777" w:rsidR="00116F2A" w:rsidRPr="00616069" w:rsidRDefault="00116F2A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3D29" w14:textId="77777777" w:rsidR="00116F2A" w:rsidRPr="00616069" w:rsidRDefault="00116F2A" w:rsidP="00F573F1">
      <w:r w:rsidRPr="00616069">
        <w:separator/>
      </w:r>
    </w:p>
  </w:footnote>
  <w:footnote w:type="continuationSeparator" w:id="0">
    <w:p w14:paraId="5CB9F32B" w14:textId="77777777" w:rsidR="00116F2A" w:rsidRPr="00616069" w:rsidRDefault="00116F2A" w:rsidP="00F573F1">
      <w:r w:rsidRPr="00616069">
        <w:continuationSeparator/>
      </w:r>
    </w:p>
  </w:footnote>
  <w:footnote w:id="1">
    <w:p w14:paraId="2846C8C7" w14:textId="77777777" w:rsidR="005578C6" w:rsidRPr="00616069" w:rsidRDefault="005578C6" w:rsidP="005578C6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Jedná se především o dlouholeté úrokové swapy (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interest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rate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swap, IRS), které odráží cenu peněz v delších splatnostech, například </w:t>
      </w:r>
      <w:r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69BF359B" w14:textId="77777777" w:rsidR="005578C6" w:rsidRDefault="005578C6" w:rsidP="005578C6">
      <w:pPr>
        <w:pStyle w:val="Textpoznpodarou"/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Tabulka je k dispozici v souboru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xls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přiloženém na webových stránkách ČBA Hypomonitoru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6D98A52B" w:rsidR="00A86552" w:rsidRPr="00616069" w:rsidRDefault="00A86552" w:rsidP="00A86552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6D98A52B" w:rsidR="00A86552" w:rsidRPr="00616069" w:rsidRDefault="00A86552" w:rsidP="00A86552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3B95BFB4" w:rsidR="002D4720" w:rsidRPr="00616069" w:rsidRDefault="007F41A0" w:rsidP="002138C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15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2F0F08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31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3B95BFB4" w:rsidR="002D4720" w:rsidRPr="00616069" w:rsidRDefault="007F41A0" w:rsidP="002138C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15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2F0F08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2"/>
  </w:num>
  <w:num w:numId="2" w16cid:durableId="1910113698">
    <w:abstractNumId w:val="8"/>
  </w:num>
  <w:num w:numId="3" w16cid:durableId="405613309">
    <w:abstractNumId w:val="25"/>
  </w:num>
  <w:num w:numId="4" w16cid:durableId="240213499">
    <w:abstractNumId w:val="14"/>
  </w:num>
  <w:num w:numId="5" w16cid:durableId="740492638">
    <w:abstractNumId w:val="4"/>
  </w:num>
  <w:num w:numId="6" w16cid:durableId="211576891">
    <w:abstractNumId w:val="23"/>
  </w:num>
  <w:num w:numId="7" w16cid:durableId="1918248069">
    <w:abstractNumId w:val="6"/>
  </w:num>
  <w:num w:numId="8" w16cid:durableId="1159419045">
    <w:abstractNumId w:val="28"/>
  </w:num>
  <w:num w:numId="9" w16cid:durableId="1798374138">
    <w:abstractNumId w:val="5"/>
  </w:num>
  <w:num w:numId="10" w16cid:durableId="1530677457">
    <w:abstractNumId w:val="24"/>
  </w:num>
  <w:num w:numId="11" w16cid:durableId="984315201">
    <w:abstractNumId w:val="1"/>
  </w:num>
  <w:num w:numId="12" w16cid:durableId="7762198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5"/>
  </w:num>
  <w:num w:numId="15" w16cid:durableId="1323195451">
    <w:abstractNumId w:val="12"/>
  </w:num>
  <w:num w:numId="16" w16cid:durableId="467165265">
    <w:abstractNumId w:val="9"/>
  </w:num>
  <w:num w:numId="17" w16cid:durableId="676033370">
    <w:abstractNumId w:val="11"/>
  </w:num>
  <w:num w:numId="18" w16cid:durableId="1742554342">
    <w:abstractNumId w:val="17"/>
  </w:num>
  <w:num w:numId="19" w16cid:durableId="613287013">
    <w:abstractNumId w:val="20"/>
  </w:num>
  <w:num w:numId="20" w16cid:durableId="8067070">
    <w:abstractNumId w:val="10"/>
  </w:num>
  <w:num w:numId="21" w16cid:durableId="825434180">
    <w:abstractNumId w:val="0"/>
  </w:num>
  <w:num w:numId="22" w16cid:durableId="1082681076">
    <w:abstractNumId w:val="22"/>
  </w:num>
  <w:num w:numId="23" w16cid:durableId="1901165520">
    <w:abstractNumId w:val="27"/>
  </w:num>
  <w:num w:numId="24" w16cid:durableId="1991010767">
    <w:abstractNumId w:val="21"/>
  </w:num>
  <w:num w:numId="25" w16cid:durableId="1542282676">
    <w:abstractNumId w:val="16"/>
  </w:num>
  <w:num w:numId="26" w16cid:durableId="986973659">
    <w:abstractNumId w:val="13"/>
  </w:num>
  <w:num w:numId="27" w16cid:durableId="815336034">
    <w:abstractNumId w:val="26"/>
  </w:num>
  <w:num w:numId="28" w16cid:durableId="1895651473">
    <w:abstractNumId w:val="7"/>
  </w:num>
  <w:num w:numId="29" w16cid:durableId="1858687908">
    <w:abstractNumId w:val="3"/>
  </w:num>
  <w:num w:numId="30" w16cid:durableId="1758164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4596"/>
    <w:rsid w:val="00005419"/>
    <w:rsid w:val="000054D2"/>
    <w:rsid w:val="00005B3F"/>
    <w:rsid w:val="00006511"/>
    <w:rsid w:val="00006C79"/>
    <w:rsid w:val="000070E2"/>
    <w:rsid w:val="00010564"/>
    <w:rsid w:val="000118C2"/>
    <w:rsid w:val="0001227F"/>
    <w:rsid w:val="00015933"/>
    <w:rsid w:val="000159E5"/>
    <w:rsid w:val="0001656C"/>
    <w:rsid w:val="000175B3"/>
    <w:rsid w:val="000176E6"/>
    <w:rsid w:val="000202BA"/>
    <w:rsid w:val="00020581"/>
    <w:rsid w:val="00020ED0"/>
    <w:rsid w:val="00020FE5"/>
    <w:rsid w:val="000213CC"/>
    <w:rsid w:val="00023E9F"/>
    <w:rsid w:val="0002473E"/>
    <w:rsid w:val="000264B4"/>
    <w:rsid w:val="000265A3"/>
    <w:rsid w:val="00027099"/>
    <w:rsid w:val="00027B22"/>
    <w:rsid w:val="00027BAD"/>
    <w:rsid w:val="00031418"/>
    <w:rsid w:val="00031478"/>
    <w:rsid w:val="00035040"/>
    <w:rsid w:val="00036FAB"/>
    <w:rsid w:val="00037707"/>
    <w:rsid w:val="00037C17"/>
    <w:rsid w:val="00040FA4"/>
    <w:rsid w:val="00043889"/>
    <w:rsid w:val="00043DB1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6F52"/>
    <w:rsid w:val="0006711A"/>
    <w:rsid w:val="00072447"/>
    <w:rsid w:val="00072DB9"/>
    <w:rsid w:val="000733AD"/>
    <w:rsid w:val="0007445A"/>
    <w:rsid w:val="00074C45"/>
    <w:rsid w:val="000752D6"/>
    <w:rsid w:val="00075932"/>
    <w:rsid w:val="0007638A"/>
    <w:rsid w:val="00076C37"/>
    <w:rsid w:val="000770D8"/>
    <w:rsid w:val="00080102"/>
    <w:rsid w:val="00081E35"/>
    <w:rsid w:val="00083D1A"/>
    <w:rsid w:val="000841C2"/>
    <w:rsid w:val="000842AE"/>
    <w:rsid w:val="00084CF9"/>
    <w:rsid w:val="00086094"/>
    <w:rsid w:val="00086BE0"/>
    <w:rsid w:val="0008743D"/>
    <w:rsid w:val="0009101B"/>
    <w:rsid w:val="00091B3B"/>
    <w:rsid w:val="0009491E"/>
    <w:rsid w:val="00097293"/>
    <w:rsid w:val="000976B9"/>
    <w:rsid w:val="00097B42"/>
    <w:rsid w:val="000A019A"/>
    <w:rsid w:val="000A0285"/>
    <w:rsid w:val="000A0ECE"/>
    <w:rsid w:val="000A16EA"/>
    <w:rsid w:val="000A2779"/>
    <w:rsid w:val="000A29DE"/>
    <w:rsid w:val="000A2C3B"/>
    <w:rsid w:val="000A3ECF"/>
    <w:rsid w:val="000A4D59"/>
    <w:rsid w:val="000A5220"/>
    <w:rsid w:val="000A549A"/>
    <w:rsid w:val="000A664C"/>
    <w:rsid w:val="000B0992"/>
    <w:rsid w:val="000B2005"/>
    <w:rsid w:val="000B3BFA"/>
    <w:rsid w:val="000B4C8F"/>
    <w:rsid w:val="000B510F"/>
    <w:rsid w:val="000B51A4"/>
    <w:rsid w:val="000B70C8"/>
    <w:rsid w:val="000B79A4"/>
    <w:rsid w:val="000C045B"/>
    <w:rsid w:val="000C11CC"/>
    <w:rsid w:val="000C12F1"/>
    <w:rsid w:val="000C1E4E"/>
    <w:rsid w:val="000C234E"/>
    <w:rsid w:val="000C3211"/>
    <w:rsid w:val="000C4910"/>
    <w:rsid w:val="000C502F"/>
    <w:rsid w:val="000C5651"/>
    <w:rsid w:val="000C6834"/>
    <w:rsid w:val="000D011A"/>
    <w:rsid w:val="000D02A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810"/>
    <w:rsid w:val="000E4ABC"/>
    <w:rsid w:val="000E563F"/>
    <w:rsid w:val="000E59CE"/>
    <w:rsid w:val="000F02C1"/>
    <w:rsid w:val="000F02FD"/>
    <w:rsid w:val="000F0342"/>
    <w:rsid w:val="000F0636"/>
    <w:rsid w:val="000F0A03"/>
    <w:rsid w:val="000F4318"/>
    <w:rsid w:val="000F617D"/>
    <w:rsid w:val="000F61F5"/>
    <w:rsid w:val="000F680C"/>
    <w:rsid w:val="000F70CA"/>
    <w:rsid w:val="00100269"/>
    <w:rsid w:val="001002CD"/>
    <w:rsid w:val="00100394"/>
    <w:rsid w:val="0010159F"/>
    <w:rsid w:val="00102262"/>
    <w:rsid w:val="0010268F"/>
    <w:rsid w:val="0010277A"/>
    <w:rsid w:val="00102D9A"/>
    <w:rsid w:val="00103662"/>
    <w:rsid w:val="0010371D"/>
    <w:rsid w:val="00105514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113B"/>
    <w:rsid w:val="001126B2"/>
    <w:rsid w:val="00112AA1"/>
    <w:rsid w:val="00112C5A"/>
    <w:rsid w:val="00112D3E"/>
    <w:rsid w:val="00112E70"/>
    <w:rsid w:val="0011443F"/>
    <w:rsid w:val="00115D53"/>
    <w:rsid w:val="00115DDC"/>
    <w:rsid w:val="00116003"/>
    <w:rsid w:val="00116F2A"/>
    <w:rsid w:val="00116F4B"/>
    <w:rsid w:val="00117860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063"/>
    <w:rsid w:val="00130359"/>
    <w:rsid w:val="001306A2"/>
    <w:rsid w:val="00131D36"/>
    <w:rsid w:val="00131E94"/>
    <w:rsid w:val="00132EE9"/>
    <w:rsid w:val="0013407D"/>
    <w:rsid w:val="001348D9"/>
    <w:rsid w:val="00134A41"/>
    <w:rsid w:val="001361CA"/>
    <w:rsid w:val="00136825"/>
    <w:rsid w:val="00136D3A"/>
    <w:rsid w:val="00136EC9"/>
    <w:rsid w:val="00136FC5"/>
    <w:rsid w:val="00137050"/>
    <w:rsid w:val="0013716D"/>
    <w:rsid w:val="00137560"/>
    <w:rsid w:val="00140E10"/>
    <w:rsid w:val="001438F4"/>
    <w:rsid w:val="00143BF5"/>
    <w:rsid w:val="00143DCC"/>
    <w:rsid w:val="00144794"/>
    <w:rsid w:val="00144D53"/>
    <w:rsid w:val="00145506"/>
    <w:rsid w:val="001457AA"/>
    <w:rsid w:val="00145E7A"/>
    <w:rsid w:val="00146F46"/>
    <w:rsid w:val="0015125A"/>
    <w:rsid w:val="00151A74"/>
    <w:rsid w:val="001526EE"/>
    <w:rsid w:val="0015295E"/>
    <w:rsid w:val="00152A73"/>
    <w:rsid w:val="001534F6"/>
    <w:rsid w:val="00154EE2"/>
    <w:rsid w:val="001553F8"/>
    <w:rsid w:val="00155A3F"/>
    <w:rsid w:val="00157080"/>
    <w:rsid w:val="001570E1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15A2"/>
    <w:rsid w:val="0017388B"/>
    <w:rsid w:val="0017441E"/>
    <w:rsid w:val="00175839"/>
    <w:rsid w:val="00175A85"/>
    <w:rsid w:val="00175E6C"/>
    <w:rsid w:val="00175FBC"/>
    <w:rsid w:val="00176669"/>
    <w:rsid w:val="001766FF"/>
    <w:rsid w:val="00176C20"/>
    <w:rsid w:val="00177598"/>
    <w:rsid w:val="00180856"/>
    <w:rsid w:val="0018097B"/>
    <w:rsid w:val="00180A13"/>
    <w:rsid w:val="00182C97"/>
    <w:rsid w:val="00183066"/>
    <w:rsid w:val="001833C7"/>
    <w:rsid w:val="00183FB4"/>
    <w:rsid w:val="00184412"/>
    <w:rsid w:val="00186A7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E"/>
    <w:rsid w:val="001A46CC"/>
    <w:rsid w:val="001A6304"/>
    <w:rsid w:val="001B1060"/>
    <w:rsid w:val="001B11F1"/>
    <w:rsid w:val="001B1467"/>
    <w:rsid w:val="001B1C5E"/>
    <w:rsid w:val="001B3197"/>
    <w:rsid w:val="001B39D3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280D"/>
    <w:rsid w:val="001C306A"/>
    <w:rsid w:val="001C49DC"/>
    <w:rsid w:val="001C6945"/>
    <w:rsid w:val="001C698F"/>
    <w:rsid w:val="001C7200"/>
    <w:rsid w:val="001C7CD3"/>
    <w:rsid w:val="001C7F88"/>
    <w:rsid w:val="001D12D6"/>
    <w:rsid w:val="001D169B"/>
    <w:rsid w:val="001D1B1C"/>
    <w:rsid w:val="001D2B76"/>
    <w:rsid w:val="001D2C14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D7DA5"/>
    <w:rsid w:val="001E15FD"/>
    <w:rsid w:val="001E1AED"/>
    <w:rsid w:val="001E27B8"/>
    <w:rsid w:val="001E31AB"/>
    <w:rsid w:val="001E3706"/>
    <w:rsid w:val="001E4032"/>
    <w:rsid w:val="001E432A"/>
    <w:rsid w:val="001E4D27"/>
    <w:rsid w:val="001E5169"/>
    <w:rsid w:val="001E5571"/>
    <w:rsid w:val="001E60C5"/>
    <w:rsid w:val="001E6F5D"/>
    <w:rsid w:val="001E71FE"/>
    <w:rsid w:val="001F0819"/>
    <w:rsid w:val="001F1677"/>
    <w:rsid w:val="001F2A1F"/>
    <w:rsid w:val="001F3DF4"/>
    <w:rsid w:val="001F49EA"/>
    <w:rsid w:val="001F5CF7"/>
    <w:rsid w:val="001F64C3"/>
    <w:rsid w:val="001F6A78"/>
    <w:rsid w:val="001F72D8"/>
    <w:rsid w:val="001F7B28"/>
    <w:rsid w:val="002010C8"/>
    <w:rsid w:val="0020121A"/>
    <w:rsid w:val="00201DDA"/>
    <w:rsid w:val="002027D4"/>
    <w:rsid w:val="0020296D"/>
    <w:rsid w:val="00203021"/>
    <w:rsid w:val="00203302"/>
    <w:rsid w:val="00203A7B"/>
    <w:rsid w:val="002045A5"/>
    <w:rsid w:val="00204F09"/>
    <w:rsid w:val="0020667A"/>
    <w:rsid w:val="00206F7E"/>
    <w:rsid w:val="00207AE7"/>
    <w:rsid w:val="00207CB1"/>
    <w:rsid w:val="002105A2"/>
    <w:rsid w:val="00210A9C"/>
    <w:rsid w:val="00211E6F"/>
    <w:rsid w:val="002128AF"/>
    <w:rsid w:val="002137B0"/>
    <w:rsid w:val="002138C0"/>
    <w:rsid w:val="002150BF"/>
    <w:rsid w:val="00215481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165F"/>
    <w:rsid w:val="00231F3A"/>
    <w:rsid w:val="002328F4"/>
    <w:rsid w:val="0023393E"/>
    <w:rsid w:val="0023493E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B7F"/>
    <w:rsid w:val="00263207"/>
    <w:rsid w:val="00264741"/>
    <w:rsid w:val="00264C92"/>
    <w:rsid w:val="0026639E"/>
    <w:rsid w:val="00266980"/>
    <w:rsid w:val="00267ACA"/>
    <w:rsid w:val="00270A4E"/>
    <w:rsid w:val="00270F52"/>
    <w:rsid w:val="00271563"/>
    <w:rsid w:val="00271569"/>
    <w:rsid w:val="00272177"/>
    <w:rsid w:val="002748F6"/>
    <w:rsid w:val="00274D15"/>
    <w:rsid w:val="00275209"/>
    <w:rsid w:val="002753D6"/>
    <w:rsid w:val="00277D90"/>
    <w:rsid w:val="0028055F"/>
    <w:rsid w:val="002808DB"/>
    <w:rsid w:val="00280AB4"/>
    <w:rsid w:val="00280D31"/>
    <w:rsid w:val="00280F92"/>
    <w:rsid w:val="002817B5"/>
    <w:rsid w:val="00282BE6"/>
    <w:rsid w:val="00283681"/>
    <w:rsid w:val="0028530F"/>
    <w:rsid w:val="002853A9"/>
    <w:rsid w:val="00285A75"/>
    <w:rsid w:val="00290498"/>
    <w:rsid w:val="0029071C"/>
    <w:rsid w:val="00291656"/>
    <w:rsid w:val="00291BE8"/>
    <w:rsid w:val="00293122"/>
    <w:rsid w:val="0029502E"/>
    <w:rsid w:val="00296021"/>
    <w:rsid w:val="0029774E"/>
    <w:rsid w:val="00297B85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5D11"/>
    <w:rsid w:val="002A6290"/>
    <w:rsid w:val="002A6A60"/>
    <w:rsid w:val="002B1743"/>
    <w:rsid w:val="002B1996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373"/>
    <w:rsid w:val="002F477C"/>
    <w:rsid w:val="002F4A74"/>
    <w:rsid w:val="002F4CBD"/>
    <w:rsid w:val="002F4CDA"/>
    <w:rsid w:val="002F506A"/>
    <w:rsid w:val="002F52DA"/>
    <w:rsid w:val="002F557F"/>
    <w:rsid w:val="002F6432"/>
    <w:rsid w:val="003012B9"/>
    <w:rsid w:val="0030161E"/>
    <w:rsid w:val="00301915"/>
    <w:rsid w:val="003028DC"/>
    <w:rsid w:val="003029D1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42AD"/>
    <w:rsid w:val="003143A4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7407"/>
    <w:rsid w:val="00327CB6"/>
    <w:rsid w:val="00330A92"/>
    <w:rsid w:val="0033298A"/>
    <w:rsid w:val="00333B31"/>
    <w:rsid w:val="00334257"/>
    <w:rsid w:val="00335341"/>
    <w:rsid w:val="00335B88"/>
    <w:rsid w:val="00336412"/>
    <w:rsid w:val="00336CA6"/>
    <w:rsid w:val="00337157"/>
    <w:rsid w:val="003373BE"/>
    <w:rsid w:val="00340F22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4EBB"/>
    <w:rsid w:val="00345842"/>
    <w:rsid w:val="0034612F"/>
    <w:rsid w:val="00346684"/>
    <w:rsid w:val="003472AF"/>
    <w:rsid w:val="00347FD9"/>
    <w:rsid w:val="003508FE"/>
    <w:rsid w:val="00351369"/>
    <w:rsid w:val="0035167B"/>
    <w:rsid w:val="003522BD"/>
    <w:rsid w:val="00352D4E"/>
    <w:rsid w:val="003543D2"/>
    <w:rsid w:val="0035493D"/>
    <w:rsid w:val="00356528"/>
    <w:rsid w:val="00356C7A"/>
    <w:rsid w:val="00356FF7"/>
    <w:rsid w:val="0035718C"/>
    <w:rsid w:val="003608A1"/>
    <w:rsid w:val="003608FD"/>
    <w:rsid w:val="0036420C"/>
    <w:rsid w:val="00364A11"/>
    <w:rsid w:val="00366057"/>
    <w:rsid w:val="00366A68"/>
    <w:rsid w:val="003677E2"/>
    <w:rsid w:val="0037051F"/>
    <w:rsid w:val="003707E0"/>
    <w:rsid w:val="00370F35"/>
    <w:rsid w:val="003725F0"/>
    <w:rsid w:val="003732C7"/>
    <w:rsid w:val="003739F0"/>
    <w:rsid w:val="00373FC2"/>
    <w:rsid w:val="003742A8"/>
    <w:rsid w:val="003749A5"/>
    <w:rsid w:val="00375CF8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4F6F"/>
    <w:rsid w:val="003952ED"/>
    <w:rsid w:val="00395549"/>
    <w:rsid w:val="00395F29"/>
    <w:rsid w:val="00396610"/>
    <w:rsid w:val="00396DEC"/>
    <w:rsid w:val="00396F9D"/>
    <w:rsid w:val="00397430"/>
    <w:rsid w:val="003A0443"/>
    <w:rsid w:val="003A0F5E"/>
    <w:rsid w:val="003A1E08"/>
    <w:rsid w:val="003A1F79"/>
    <w:rsid w:val="003A39B8"/>
    <w:rsid w:val="003A424B"/>
    <w:rsid w:val="003A46D3"/>
    <w:rsid w:val="003A542D"/>
    <w:rsid w:val="003A5636"/>
    <w:rsid w:val="003A5765"/>
    <w:rsid w:val="003A623D"/>
    <w:rsid w:val="003A68A3"/>
    <w:rsid w:val="003A76ED"/>
    <w:rsid w:val="003B0433"/>
    <w:rsid w:val="003B04C1"/>
    <w:rsid w:val="003B2C84"/>
    <w:rsid w:val="003B4E23"/>
    <w:rsid w:val="003B4F01"/>
    <w:rsid w:val="003B505C"/>
    <w:rsid w:val="003B519E"/>
    <w:rsid w:val="003B5E6F"/>
    <w:rsid w:val="003C0B1B"/>
    <w:rsid w:val="003C1195"/>
    <w:rsid w:val="003C12B6"/>
    <w:rsid w:val="003C185F"/>
    <w:rsid w:val="003C2D27"/>
    <w:rsid w:val="003C373E"/>
    <w:rsid w:val="003C3D7F"/>
    <w:rsid w:val="003C41DD"/>
    <w:rsid w:val="003C5F2E"/>
    <w:rsid w:val="003C6326"/>
    <w:rsid w:val="003C6710"/>
    <w:rsid w:val="003C6D87"/>
    <w:rsid w:val="003C7600"/>
    <w:rsid w:val="003D079C"/>
    <w:rsid w:val="003D0D7D"/>
    <w:rsid w:val="003D164F"/>
    <w:rsid w:val="003D18F0"/>
    <w:rsid w:val="003D224C"/>
    <w:rsid w:val="003D3759"/>
    <w:rsid w:val="003D45D4"/>
    <w:rsid w:val="003D613B"/>
    <w:rsid w:val="003D684B"/>
    <w:rsid w:val="003D7D9E"/>
    <w:rsid w:val="003E0FC6"/>
    <w:rsid w:val="003E14DF"/>
    <w:rsid w:val="003E1F42"/>
    <w:rsid w:val="003E3584"/>
    <w:rsid w:val="003E382B"/>
    <w:rsid w:val="003E393C"/>
    <w:rsid w:val="003E3ACA"/>
    <w:rsid w:val="003E3DCB"/>
    <w:rsid w:val="003E4312"/>
    <w:rsid w:val="003E4820"/>
    <w:rsid w:val="003E48FA"/>
    <w:rsid w:val="003E4ADE"/>
    <w:rsid w:val="003E5891"/>
    <w:rsid w:val="003E7ED0"/>
    <w:rsid w:val="003F021E"/>
    <w:rsid w:val="003F03DF"/>
    <w:rsid w:val="003F1189"/>
    <w:rsid w:val="003F12BC"/>
    <w:rsid w:val="003F12D5"/>
    <w:rsid w:val="003F159E"/>
    <w:rsid w:val="003F1CB9"/>
    <w:rsid w:val="003F2050"/>
    <w:rsid w:val="003F37CA"/>
    <w:rsid w:val="003F512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5D7E"/>
    <w:rsid w:val="00406F40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A84"/>
    <w:rsid w:val="00425B3B"/>
    <w:rsid w:val="0042602B"/>
    <w:rsid w:val="004279BD"/>
    <w:rsid w:val="00430F3C"/>
    <w:rsid w:val="004325D3"/>
    <w:rsid w:val="00435176"/>
    <w:rsid w:val="004371EE"/>
    <w:rsid w:val="00437589"/>
    <w:rsid w:val="0043780A"/>
    <w:rsid w:val="00440A53"/>
    <w:rsid w:val="00442170"/>
    <w:rsid w:val="0044352D"/>
    <w:rsid w:val="004444EE"/>
    <w:rsid w:val="004445E7"/>
    <w:rsid w:val="00444BDA"/>
    <w:rsid w:val="00445609"/>
    <w:rsid w:val="004464CF"/>
    <w:rsid w:val="00446AAD"/>
    <w:rsid w:val="004476C2"/>
    <w:rsid w:val="00451368"/>
    <w:rsid w:val="004522D4"/>
    <w:rsid w:val="00453473"/>
    <w:rsid w:val="004555E6"/>
    <w:rsid w:val="00456A9B"/>
    <w:rsid w:val="00460772"/>
    <w:rsid w:val="00461E79"/>
    <w:rsid w:val="00462717"/>
    <w:rsid w:val="004641CC"/>
    <w:rsid w:val="00464E64"/>
    <w:rsid w:val="00465403"/>
    <w:rsid w:val="00465526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3136"/>
    <w:rsid w:val="0048354D"/>
    <w:rsid w:val="00483FA6"/>
    <w:rsid w:val="0048489E"/>
    <w:rsid w:val="004852E3"/>
    <w:rsid w:val="00485ADC"/>
    <w:rsid w:val="00486858"/>
    <w:rsid w:val="004904F6"/>
    <w:rsid w:val="00490505"/>
    <w:rsid w:val="004908DB"/>
    <w:rsid w:val="00490E1A"/>
    <w:rsid w:val="00491DB6"/>
    <w:rsid w:val="00492636"/>
    <w:rsid w:val="004935C1"/>
    <w:rsid w:val="00493A20"/>
    <w:rsid w:val="00493C14"/>
    <w:rsid w:val="00495C6A"/>
    <w:rsid w:val="004969D8"/>
    <w:rsid w:val="0049704E"/>
    <w:rsid w:val="004975FD"/>
    <w:rsid w:val="004979BF"/>
    <w:rsid w:val="004A1724"/>
    <w:rsid w:val="004A2349"/>
    <w:rsid w:val="004A31A7"/>
    <w:rsid w:val="004A435C"/>
    <w:rsid w:val="004A44DB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3F04"/>
    <w:rsid w:val="004B4571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3997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E58"/>
    <w:rsid w:val="004D4156"/>
    <w:rsid w:val="004D4333"/>
    <w:rsid w:val="004D6531"/>
    <w:rsid w:val="004E011D"/>
    <w:rsid w:val="004E0D15"/>
    <w:rsid w:val="004E1AC6"/>
    <w:rsid w:val="004E2434"/>
    <w:rsid w:val="004E26E2"/>
    <w:rsid w:val="004E3070"/>
    <w:rsid w:val="004E32FB"/>
    <w:rsid w:val="004E4B5B"/>
    <w:rsid w:val="004E5779"/>
    <w:rsid w:val="004E5E51"/>
    <w:rsid w:val="004E668A"/>
    <w:rsid w:val="004E7E07"/>
    <w:rsid w:val="004F32E1"/>
    <w:rsid w:val="004F34F2"/>
    <w:rsid w:val="004F3D9B"/>
    <w:rsid w:val="004F4632"/>
    <w:rsid w:val="004F46CE"/>
    <w:rsid w:val="004F5C1C"/>
    <w:rsid w:val="004F62FF"/>
    <w:rsid w:val="004F69E2"/>
    <w:rsid w:val="004F6CFB"/>
    <w:rsid w:val="004F6EA8"/>
    <w:rsid w:val="004F70A7"/>
    <w:rsid w:val="005019FE"/>
    <w:rsid w:val="00502C28"/>
    <w:rsid w:val="00503D06"/>
    <w:rsid w:val="00504229"/>
    <w:rsid w:val="00504370"/>
    <w:rsid w:val="00505434"/>
    <w:rsid w:val="005063FD"/>
    <w:rsid w:val="005069C2"/>
    <w:rsid w:val="00507747"/>
    <w:rsid w:val="00510452"/>
    <w:rsid w:val="00510AD7"/>
    <w:rsid w:val="00510EB1"/>
    <w:rsid w:val="0051164C"/>
    <w:rsid w:val="00512176"/>
    <w:rsid w:val="005122E9"/>
    <w:rsid w:val="005137DB"/>
    <w:rsid w:val="0051437A"/>
    <w:rsid w:val="0051449F"/>
    <w:rsid w:val="0051508B"/>
    <w:rsid w:val="0051570C"/>
    <w:rsid w:val="00515A05"/>
    <w:rsid w:val="00515ECA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245"/>
    <w:rsid w:val="00530967"/>
    <w:rsid w:val="00530DE6"/>
    <w:rsid w:val="00531FAE"/>
    <w:rsid w:val="0053589B"/>
    <w:rsid w:val="00535CDB"/>
    <w:rsid w:val="00535E49"/>
    <w:rsid w:val="0053659F"/>
    <w:rsid w:val="00537D18"/>
    <w:rsid w:val="00537D95"/>
    <w:rsid w:val="005417AF"/>
    <w:rsid w:val="00543780"/>
    <w:rsid w:val="005442D1"/>
    <w:rsid w:val="005450EB"/>
    <w:rsid w:val="0054574A"/>
    <w:rsid w:val="00545AC2"/>
    <w:rsid w:val="00546646"/>
    <w:rsid w:val="0054665C"/>
    <w:rsid w:val="00547A43"/>
    <w:rsid w:val="00550C47"/>
    <w:rsid w:val="00552694"/>
    <w:rsid w:val="00552D45"/>
    <w:rsid w:val="0055337B"/>
    <w:rsid w:val="0055377C"/>
    <w:rsid w:val="00553860"/>
    <w:rsid w:val="005541F4"/>
    <w:rsid w:val="00554717"/>
    <w:rsid w:val="00555261"/>
    <w:rsid w:val="00556DE6"/>
    <w:rsid w:val="005574AF"/>
    <w:rsid w:val="0055785D"/>
    <w:rsid w:val="005578C6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F62"/>
    <w:rsid w:val="00574588"/>
    <w:rsid w:val="00574619"/>
    <w:rsid w:val="005746F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AC8"/>
    <w:rsid w:val="00581CC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0699"/>
    <w:rsid w:val="00591A31"/>
    <w:rsid w:val="00591E29"/>
    <w:rsid w:val="00592318"/>
    <w:rsid w:val="00594C44"/>
    <w:rsid w:val="0059556C"/>
    <w:rsid w:val="00596B76"/>
    <w:rsid w:val="00597DD9"/>
    <w:rsid w:val="005A0ACF"/>
    <w:rsid w:val="005A0C34"/>
    <w:rsid w:val="005A2501"/>
    <w:rsid w:val="005A292F"/>
    <w:rsid w:val="005A2FF8"/>
    <w:rsid w:val="005A34B6"/>
    <w:rsid w:val="005A3E34"/>
    <w:rsid w:val="005A44FF"/>
    <w:rsid w:val="005A4BD9"/>
    <w:rsid w:val="005A4D8E"/>
    <w:rsid w:val="005A51C6"/>
    <w:rsid w:val="005A576D"/>
    <w:rsid w:val="005A5BAB"/>
    <w:rsid w:val="005A5CB3"/>
    <w:rsid w:val="005A6604"/>
    <w:rsid w:val="005A78DE"/>
    <w:rsid w:val="005A7E09"/>
    <w:rsid w:val="005B08A6"/>
    <w:rsid w:val="005B0F22"/>
    <w:rsid w:val="005B0F27"/>
    <w:rsid w:val="005B1A31"/>
    <w:rsid w:val="005B2B4F"/>
    <w:rsid w:val="005B2CB5"/>
    <w:rsid w:val="005B3439"/>
    <w:rsid w:val="005B4653"/>
    <w:rsid w:val="005B4E85"/>
    <w:rsid w:val="005B5E17"/>
    <w:rsid w:val="005B6419"/>
    <w:rsid w:val="005B6CC1"/>
    <w:rsid w:val="005C1943"/>
    <w:rsid w:val="005C22C2"/>
    <w:rsid w:val="005C501A"/>
    <w:rsid w:val="005C5673"/>
    <w:rsid w:val="005C6D52"/>
    <w:rsid w:val="005C6F67"/>
    <w:rsid w:val="005C7858"/>
    <w:rsid w:val="005C7A9A"/>
    <w:rsid w:val="005C7FCE"/>
    <w:rsid w:val="005D05FD"/>
    <w:rsid w:val="005D11A5"/>
    <w:rsid w:val="005D1A7D"/>
    <w:rsid w:val="005D3508"/>
    <w:rsid w:val="005D48E0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105B"/>
    <w:rsid w:val="005F1295"/>
    <w:rsid w:val="005F2075"/>
    <w:rsid w:val="005F2341"/>
    <w:rsid w:val="005F2B48"/>
    <w:rsid w:val="005F3ADE"/>
    <w:rsid w:val="005F432C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07B8A"/>
    <w:rsid w:val="00611A97"/>
    <w:rsid w:val="00611B3C"/>
    <w:rsid w:val="00611C5C"/>
    <w:rsid w:val="00612686"/>
    <w:rsid w:val="006131E9"/>
    <w:rsid w:val="0061392C"/>
    <w:rsid w:val="00613C92"/>
    <w:rsid w:val="00615685"/>
    <w:rsid w:val="00616069"/>
    <w:rsid w:val="00616FDD"/>
    <w:rsid w:val="00617E42"/>
    <w:rsid w:val="00617E6C"/>
    <w:rsid w:val="006203EC"/>
    <w:rsid w:val="00622015"/>
    <w:rsid w:val="00622191"/>
    <w:rsid w:val="00622D62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314F"/>
    <w:rsid w:val="0063422F"/>
    <w:rsid w:val="006354FF"/>
    <w:rsid w:val="00635832"/>
    <w:rsid w:val="00635AB6"/>
    <w:rsid w:val="006361B1"/>
    <w:rsid w:val="006365E9"/>
    <w:rsid w:val="00636E18"/>
    <w:rsid w:val="00637228"/>
    <w:rsid w:val="00641E0B"/>
    <w:rsid w:val="0064225E"/>
    <w:rsid w:val="0064298D"/>
    <w:rsid w:val="0064364F"/>
    <w:rsid w:val="006445A3"/>
    <w:rsid w:val="00645115"/>
    <w:rsid w:val="006462F1"/>
    <w:rsid w:val="006464CF"/>
    <w:rsid w:val="00647A7A"/>
    <w:rsid w:val="00650724"/>
    <w:rsid w:val="0065124E"/>
    <w:rsid w:val="006513A0"/>
    <w:rsid w:val="00652C4F"/>
    <w:rsid w:val="0065308E"/>
    <w:rsid w:val="006541D1"/>
    <w:rsid w:val="00654860"/>
    <w:rsid w:val="00654F37"/>
    <w:rsid w:val="00655662"/>
    <w:rsid w:val="00656ABE"/>
    <w:rsid w:val="00657521"/>
    <w:rsid w:val="0066000B"/>
    <w:rsid w:val="0066030A"/>
    <w:rsid w:val="00660931"/>
    <w:rsid w:val="00661C43"/>
    <w:rsid w:val="00662C23"/>
    <w:rsid w:val="0066473E"/>
    <w:rsid w:val="00664F66"/>
    <w:rsid w:val="00665069"/>
    <w:rsid w:val="0066537B"/>
    <w:rsid w:val="00665718"/>
    <w:rsid w:val="00665E8C"/>
    <w:rsid w:val="0066692E"/>
    <w:rsid w:val="00666CC6"/>
    <w:rsid w:val="006677D7"/>
    <w:rsid w:val="00667828"/>
    <w:rsid w:val="00670CDD"/>
    <w:rsid w:val="00670F37"/>
    <w:rsid w:val="00676079"/>
    <w:rsid w:val="00676326"/>
    <w:rsid w:val="006777C7"/>
    <w:rsid w:val="006839E8"/>
    <w:rsid w:val="00683D65"/>
    <w:rsid w:val="00684AB4"/>
    <w:rsid w:val="00685F12"/>
    <w:rsid w:val="00687672"/>
    <w:rsid w:val="00690FB6"/>
    <w:rsid w:val="00691287"/>
    <w:rsid w:val="006919FC"/>
    <w:rsid w:val="00693034"/>
    <w:rsid w:val="0069373F"/>
    <w:rsid w:val="00693FDC"/>
    <w:rsid w:val="006963D2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1FE2"/>
    <w:rsid w:val="006B2EBD"/>
    <w:rsid w:val="006B2F86"/>
    <w:rsid w:val="006B3690"/>
    <w:rsid w:val="006B37A6"/>
    <w:rsid w:val="006B3C0D"/>
    <w:rsid w:val="006C0355"/>
    <w:rsid w:val="006C090C"/>
    <w:rsid w:val="006C13D5"/>
    <w:rsid w:val="006C3A40"/>
    <w:rsid w:val="006C3F79"/>
    <w:rsid w:val="006C4E8E"/>
    <w:rsid w:val="006C53A0"/>
    <w:rsid w:val="006C5E9B"/>
    <w:rsid w:val="006C6D77"/>
    <w:rsid w:val="006C7240"/>
    <w:rsid w:val="006C74D6"/>
    <w:rsid w:val="006C7663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81E"/>
    <w:rsid w:val="006D7F80"/>
    <w:rsid w:val="006D7FC7"/>
    <w:rsid w:val="006E00DA"/>
    <w:rsid w:val="006E04F7"/>
    <w:rsid w:val="006E0941"/>
    <w:rsid w:val="006E0B68"/>
    <w:rsid w:val="006E0EAD"/>
    <w:rsid w:val="006E1DC5"/>
    <w:rsid w:val="006E2EFD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380"/>
    <w:rsid w:val="006F13D2"/>
    <w:rsid w:val="006F1A53"/>
    <w:rsid w:val="006F2196"/>
    <w:rsid w:val="006F2B29"/>
    <w:rsid w:val="006F3620"/>
    <w:rsid w:val="006F3D73"/>
    <w:rsid w:val="006F5A87"/>
    <w:rsid w:val="006F74BF"/>
    <w:rsid w:val="006F7BDA"/>
    <w:rsid w:val="00700C93"/>
    <w:rsid w:val="00701FC8"/>
    <w:rsid w:val="0070288A"/>
    <w:rsid w:val="00702D07"/>
    <w:rsid w:val="00703676"/>
    <w:rsid w:val="00706655"/>
    <w:rsid w:val="007078D6"/>
    <w:rsid w:val="007106DD"/>
    <w:rsid w:val="00710F87"/>
    <w:rsid w:val="007116F8"/>
    <w:rsid w:val="00712900"/>
    <w:rsid w:val="007133E9"/>
    <w:rsid w:val="007137B3"/>
    <w:rsid w:val="00713BD4"/>
    <w:rsid w:val="00714542"/>
    <w:rsid w:val="00714837"/>
    <w:rsid w:val="00714EF0"/>
    <w:rsid w:val="00714F04"/>
    <w:rsid w:val="00715087"/>
    <w:rsid w:val="00715712"/>
    <w:rsid w:val="007158C7"/>
    <w:rsid w:val="00715D0C"/>
    <w:rsid w:val="0071628B"/>
    <w:rsid w:val="00716F27"/>
    <w:rsid w:val="00717727"/>
    <w:rsid w:val="00717B00"/>
    <w:rsid w:val="00720DE3"/>
    <w:rsid w:val="00721C6A"/>
    <w:rsid w:val="007227EC"/>
    <w:rsid w:val="00722F2C"/>
    <w:rsid w:val="00723293"/>
    <w:rsid w:val="00723439"/>
    <w:rsid w:val="00723CB3"/>
    <w:rsid w:val="00724D46"/>
    <w:rsid w:val="007252D4"/>
    <w:rsid w:val="00727012"/>
    <w:rsid w:val="0072723A"/>
    <w:rsid w:val="00727D29"/>
    <w:rsid w:val="00730E2D"/>
    <w:rsid w:val="0073142D"/>
    <w:rsid w:val="007330A4"/>
    <w:rsid w:val="00733C05"/>
    <w:rsid w:val="00734568"/>
    <w:rsid w:val="0073460E"/>
    <w:rsid w:val="007349F9"/>
    <w:rsid w:val="00734A12"/>
    <w:rsid w:val="00736EAE"/>
    <w:rsid w:val="00737F9B"/>
    <w:rsid w:val="007402C2"/>
    <w:rsid w:val="0074044C"/>
    <w:rsid w:val="007405B1"/>
    <w:rsid w:val="007419ED"/>
    <w:rsid w:val="00742174"/>
    <w:rsid w:val="00742C4C"/>
    <w:rsid w:val="00743577"/>
    <w:rsid w:val="007435D3"/>
    <w:rsid w:val="00744220"/>
    <w:rsid w:val="00744C66"/>
    <w:rsid w:val="007464CC"/>
    <w:rsid w:val="00747238"/>
    <w:rsid w:val="00747B4B"/>
    <w:rsid w:val="00750679"/>
    <w:rsid w:val="00751EDA"/>
    <w:rsid w:val="00754851"/>
    <w:rsid w:val="007575D0"/>
    <w:rsid w:val="00757649"/>
    <w:rsid w:val="007609D5"/>
    <w:rsid w:val="00760C75"/>
    <w:rsid w:val="007611AD"/>
    <w:rsid w:val="0076126B"/>
    <w:rsid w:val="007613B3"/>
    <w:rsid w:val="00762FBA"/>
    <w:rsid w:val="00763FB6"/>
    <w:rsid w:val="0076473F"/>
    <w:rsid w:val="00764748"/>
    <w:rsid w:val="00765515"/>
    <w:rsid w:val="00766F28"/>
    <w:rsid w:val="007713E8"/>
    <w:rsid w:val="00771967"/>
    <w:rsid w:val="00771AA1"/>
    <w:rsid w:val="0077322C"/>
    <w:rsid w:val="00774715"/>
    <w:rsid w:val="007747EE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BB9"/>
    <w:rsid w:val="00786FE5"/>
    <w:rsid w:val="007870B3"/>
    <w:rsid w:val="00787297"/>
    <w:rsid w:val="007877DC"/>
    <w:rsid w:val="0079039B"/>
    <w:rsid w:val="007908E2"/>
    <w:rsid w:val="00793842"/>
    <w:rsid w:val="007953B5"/>
    <w:rsid w:val="00795F3C"/>
    <w:rsid w:val="00796271"/>
    <w:rsid w:val="00796431"/>
    <w:rsid w:val="007964DC"/>
    <w:rsid w:val="00797D07"/>
    <w:rsid w:val="00797EC1"/>
    <w:rsid w:val="007A03B9"/>
    <w:rsid w:val="007A06C5"/>
    <w:rsid w:val="007A0B4E"/>
    <w:rsid w:val="007A117C"/>
    <w:rsid w:val="007A2635"/>
    <w:rsid w:val="007A3BFB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1271"/>
    <w:rsid w:val="007C12F0"/>
    <w:rsid w:val="007C15B2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196"/>
    <w:rsid w:val="007D1E88"/>
    <w:rsid w:val="007D275E"/>
    <w:rsid w:val="007D2928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0678"/>
    <w:rsid w:val="007E0A18"/>
    <w:rsid w:val="007E0EF4"/>
    <w:rsid w:val="007E1035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3B50"/>
    <w:rsid w:val="007F4023"/>
    <w:rsid w:val="007F40D6"/>
    <w:rsid w:val="007F41A0"/>
    <w:rsid w:val="007F5346"/>
    <w:rsid w:val="007F742B"/>
    <w:rsid w:val="007F7CBC"/>
    <w:rsid w:val="00800C45"/>
    <w:rsid w:val="0080130F"/>
    <w:rsid w:val="008026FE"/>
    <w:rsid w:val="00802F9F"/>
    <w:rsid w:val="00803E55"/>
    <w:rsid w:val="00804358"/>
    <w:rsid w:val="00804F92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4399"/>
    <w:rsid w:val="00815A51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749"/>
    <w:rsid w:val="00840F7C"/>
    <w:rsid w:val="008412E1"/>
    <w:rsid w:val="008413A8"/>
    <w:rsid w:val="00842443"/>
    <w:rsid w:val="00843285"/>
    <w:rsid w:val="00843386"/>
    <w:rsid w:val="00844479"/>
    <w:rsid w:val="00844C79"/>
    <w:rsid w:val="00846122"/>
    <w:rsid w:val="008466C4"/>
    <w:rsid w:val="00850FDB"/>
    <w:rsid w:val="008510D6"/>
    <w:rsid w:val="008522B5"/>
    <w:rsid w:val="00853C4A"/>
    <w:rsid w:val="00854190"/>
    <w:rsid w:val="00854682"/>
    <w:rsid w:val="00856359"/>
    <w:rsid w:val="00856DA4"/>
    <w:rsid w:val="00857078"/>
    <w:rsid w:val="00857A3C"/>
    <w:rsid w:val="00860613"/>
    <w:rsid w:val="00861279"/>
    <w:rsid w:val="008612B4"/>
    <w:rsid w:val="00862A90"/>
    <w:rsid w:val="00863D31"/>
    <w:rsid w:val="0086454A"/>
    <w:rsid w:val="00866E95"/>
    <w:rsid w:val="00870102"/>
    <w:rsid w:val="00870456"/>
    <w:rsid w:val="008721A5"/>
    <w:rsid w:val="00872847"/>
    <w:rsid w:val="00872C9B"/>
    <w:rsid w:val="00872E78"/>
    <w:rsid w:val="00872FDB"/>
    <w:rsid w:val="00873451"/>
    <w:rsid w:val="00873471"/>
    <w:rsid w:val="00873C14"/>
    <w:rsid w:val="0087619E"/>
    <w:rsid w:val="00877706"/>
    <w:rsid w:val="00877F7D"/>
    <w:rsid w:val="008811FC"/>
    <w:rsid w:val="00881D54"/>
    <w:rsid w:val="008825CE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BF0"/>
    <w:rsid w:val="00891F38"/>
    <w:rsid w:val="00893E72"/>
    <w:rsid w:val="00896BC2"/>
    <w:rsid w:val="00896C06"/>
    <w:rsid w:val="008A072D"/>
    <w:rsid w:val="008A1815"/>
    <w:rsid w:val="008A1C42"/>
    <w:rsid w:val="008A2D63"/>
    <w:rsid w:val="008A3348"/>
    <w:rsid w:val="008A3889"/>
    <w:rsid w:val="008A4BAF"/>
    <w:rsid w:val="008A5CE1"/>
    <w:rsid w:val="008A5EE6"/>
    <w:rsid w:val="008A6398"/>
    <w:rsid w:val="008B048B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3273"/>
    <w:rsid w:val="008D3CA0"/>
    <w:rsid w:val="008D4696"/>
    <w:rsid w:val="008D6805"/>
    <w:rsid w:val="008D6CA8"/>
    <w:rsid w:val="008D733D"/>
    <w:rsid w:val="008E0A95"/>
    <w:rsid w:val="008E136A"/>
    <w:rsid w:val="008E14A5"/>
    <w:rsid w:val="008E2336"/>
    <w:rsid w:val="008E27A7"/>
    <w:rsid w:val="008E33F9"/>
    <w:rsid w:val="008E34A2"/>
    <w:rsid w:val="008E34AE"/>
    <w:rsid w:val="008E4D1F"/>
    <w:rsid w:val="008E694D"/>
    <w:rsid w:val="008E78B4"/>
    <w:rsid w:val="008F047E"/>
    <w:rsid w:val="008F2841"/>
    <w:rsid w:val="008F2959"/>
    <w:rsid w:val="008F399F"/>
    <w:rsid w:val="008F39F1"/>
    <w:rsid w:val="008F432C"/>
    <w:rsid w:val="008F7ADB"/>
    <w:rsid w:val="009001B0"/>
    <w:rsid w:val="00900940"/>
    <w:rsid w:val="0090288E"/>
    <w:rsid w:val="009038F9"/>
    <w:rsid w:val="00905028"/>
    <w:rsid w:val="009055D6"/>
    <w:rsid w:val="00905AAB"/>
    <w:rsid w:val="009068C3"/>
    <w:rsid w:val="00906F53"/>
    <w:rsid w:val="0090775D"/>
    <w:rsid w:val="00910432"/>
    <w:rsid w:val="0091050C"/>
    <w:rsid w:val="00911865"/>
    <w:rsid w:val="00911A8D"/>
    <w:rsid w:val="009139AF"/>
    <w:rsid w:val="009148EC"/>
    <w:rsid w:val="00914BFD"/>
    <w:rsid w:val="00914CD2"/>
    <w:rsid w:val="00915EF9"/>
    <w:rsid w:val="009174F6"/>
    <w:rsid w:val="00917A99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EAC"/>
    <w:rsid w:val="00937529"/>
    <w:rsid w:val="00940DF7"/>
    <w:rsid w:val="00940F2E"/>
    <w:rsid w:val="00942405"/>
    <w:rsid w:val="00942818"/>
    <w:rsid w:val="00942AD5"/>
    <w:rsid w:val="00942F66"/>
    <w:rsid w:val="00943510"/>
    <w:rsid w:val="00943A66"/>
    <w:rsid w:val="00944371"/>
    <w:rsid w:val="00944529"/>
    <w:rsid w:val="00944CB3"/>
    <w:rsid w:val="00944D10"/>
    <w:rsid w:val="009450BA"/>
    <w:rsid w:val="009454B6"/>
    <w:rsid w:val="00946929"/>
    <w:rsid w:val="00946D29"/>
    <w:rsid w:val="009474F2"/>
    <w:rsid w:val="00950E7E"/>
    <w:rsid w:val="00955C33"/>
    <w:rsid w:val="0095625A"/>
    <w:rsid w:val="00956446"/>
    <w:rsid w:val="00957B4C"/>
    <w:rsid w:val="009603BF"/>
    <w:rsid w:val="00960F24"/>
    <w:rsid w:val="00960FAF"/>
    <w:rsid w:val="0096172B"/>
    <w:rsid w:val="00961C91"/>
    <w:rsid w:val="00962AB8"/>
    <w:rsid w:val="00962CB7"/>
    <w:rsid w:val="00962E64"/>
    <w:rsid w:val="00963AA3"/>
    <w:rsid w:val="00963B80"/>
    <w:rsid w:val="00966080"/>
    <w:rsid w:val="0096628F"/>
    <w:rsid w:val="009664DD"/>
    <w:rsid w:val="00966F48"/>
    <w:rsid w:val="0096744E"/>
    <w:rsid w:val="009704A0"/>
    <w:rsid w:val="00970792"/>
    <w:rsid w:val="00971E1A"/>
    <w:rsid w:val="00971EE1"/>
    <w:rsid w:val="00973197"/>
    <w:rsid w:val="00973E14"/>
    <w:rsid w:val="009753FB"/>
    <w:rsid w:val="00975439"/>
    <w:rsid w:val="009756E8"/>
    <w:rsid w:val="00977317"/>
    <w:rsid w:val="009802E6"/>
    <w:rsid w:val="009804C2"/>
    <w:rsid w:val="00980C11"/>
    <w:rsid w:val="00981086"/>
    <w:rsid w:val="0098257D"/>
    <w:rsid w:val="0098302F"/>
    <w:rsid w:val="009831C8"/>
    <w:rsid w:val="00983D28"/>
    <w:rsid w:val="0098474E"/>
    <w:rsid w:val="00986110"/>
    <w:rsid w:val="009869D5"/>
    <w:rsid w:val="00987232"/>
    <w:rsid w:val="009877E3"/>
    <w:rsid w:val="00990EC7"/>
    <w:rsid w:val="00991B95"/>
    <w:rsid w:val="00991D3E"/>
    <w:rsid w:val="00992840"/>
    <w:rsid w:val="00994C6F"/>
    <w:rsid w:val="00994CC4"/>
    <w:rsid w:val="00995379"/>
    <w:rsid w:val="009968AC"/>
    <w:rsid w:val="00996911"/>
    <w:rsid w:val="00996DB9"/>
    <w:rsid w:val="009976E7"/>
    <w:rsid w:val="009A044E"/>
    <w:rsid w:val="009A10AD"/>
    <w:rsid w:val="009A10DD"/>
    <w:rsid w:val="009A11ED"/>
    <w:rsid w:val="009A1795"/>
    <w:rsid w:val="009A1CB0"/>
    <w:rsid w:val="009A2547"/>
    <w:rsid w:val="009A4D66"/>
    <w:rsid w:val="009A5821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DD6"/>
    <w:rsid w:val="009C1B29"/>
    <w:rsid w:val="009C1C07"/>
    <w:rsid w:val="009C1F84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674E"/>
    <w:rsid w:val="009D6791"/>
    <w:rsid w:val="009D7835"/>
    <w:rsid w:val="009D7CDF"/>
    <w:rsid w:val="009D7EFC"/>
    <w:rsid w:val="009E05AC"/>
    <w:rsid w:val="009E1649"/>
    <w:rsid w:val="009E172B"/>
    <w:rsid w:val="009E1B55"/>
    <w:rsid w:val="009E204D"/>
    <w:rsid w:val="009E253A"/>
    <w:rsid w:val="009E25F5"/>
    <w:rsid w:val="009E39C0"/>
    <w:rsid w:val="009E4CE0"/>
    <w:rsid w:val="009E523E"/>
    <w:rsid w:val="009E5367"/>
    <w:rsid w:val="009E7B93"/>
    <w:rsid w:val="009F0062"/>
    <w:rsid w:val="009F0349"/>
    <w:rsid w:val="009F1E76"/>
    <w:rsid w:val="009F2FEB"/>
    <w:rsid w:val="009F3268"/>
    <w:rsid w:val="009F4230"/>
    <w:rsid w:val="009F4860"/>
    <w:rsid w:val="009F5F2C"/>
    <w:rsid w:val="009F6749"/>
    <w:rsid w:val="009F6A7F"/>
    <w:rsid w:val="009F6C56"/>
    <w:rsid w:val="00A0021A"/>
    <w:rsid w:val="00A0178C"/>
    <w:rsid w:val="00A01D67"/>
    <w:rsid w:val="00A02A33"/>
    <w:rsid w:val="00A02F5D"/>
    <w:rsid w:val="00A031CC"/>
    <w:rsid w:val="00A0323B"/>
    <w:rsid w:val="00A04192"/>
    <w:rsid w:val="00A04474"/>
    <w:rsid w:val="00A0482C"/>
    <w:rsid w:val="00A0762A"/>
    <w:rsid w:val="00A0776D"/>
    <w:rsid w:val="00A0778F"/>
    <w:rsid w:val="00A1004D"/>
    <w:rsid w:val="00A1182A"/>
    <w:rsid w:val="00A13DB8"/>
    <w:rsid w:val="00A13F1D"/>
    <w:rsid w:val="00A1482D"/>
    <w:rsid w:val="00A14AA1"/>
    <w:rsid w:val="00A155ED"/>
    <w:rsid w:val="00A15F37"/>
    <w:rsid w:val="00A16191"/>
    <w:rsid w:val="00A163E3"/>
    <w:rsid w:val="00A220C0"/>
    <w:rsid w:val="00A22229"/>
    <w:rsid w:val="00A2295F"/>
    <w:rsid w:val="00A22A52"/>
    <w:rsid w:val="00A23246"/>
    <w:rsid w:val="00A24A2E"/>
    <w:rsid w:val="00A25889"/>
    <w:rsid w:val="00A2710F"/>
    <w:rsid w:val="00A3034C"/>
    <w:rsid w:val="00A325EE"/>
    <w:rsid w:val="00A338A1"/>
    <w:rsid w:val="00A349CB"/>
    <w:rsid w:val="00A34E5A"/>
    <w:rsid w:val="00A3508F"/>
    <w:rsid w:val="00A35D8A"/>
    <w:rsid w:val="00A364F7"/>
    <w:rsid w:val="00A36DDD"/>
    <w:rsid w:val="00A378ED"/>
    <w:rsid w:val="00A425BA"/>
    <w:rsid w:val="00A42EEB"/>
    <w:rsid w:val="00A430E2"/>
    <w:rsid w:val="00A4316F"/>
    <w:rsid w:val="00A44A0C"/>
    <w:rsid w:val="00A454B6"/>
    <w:rsid w:val="00A4559F"/>
    <w:rsid w:val="00A45FC0"/>
    <w:rsid w:val="00A472F8"/>
    <w:rsid w:val="00A50571"/>
    <w:rsid w:val="00A50AEA"/>
    <w:rsid w:val="00A5314F"/>
    <w:rsid w:val="00A53F81"/>
    <w:rsid w:val="00A54055"/>
    <w:rsid w:val="00A54B25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F1E"/>
    <w:rsid w:val="00A6760A"/>
    <w:rsid w:val="00A676D3"/>
    <w:rsid w:val="00A679AD"/>
    <w:rsid w:val="00A71142"/>
    <w:rsid w:val="00A711B7"/>
    <w:rsid w:val="00A7149F"/>
    <w:rsid w:val="00A72C93"/>
    <w:rsid w:val="00A72DB7"/>
    <w:rsid w:val="00A72FF3"/>
    <w:rsid w:val="00A7410C"/>
    <w:rsid w:val="00A754A0"/>
    <w:rsid w:val="00A76082"/>
    <w:rsid w:val="00A7784F"/>
    <w:rsid w:val="00A80A07"/>
    <w:rsid w:val="00A811D6"/>
    <w:rsid w:val="00A81F02"/>
    <w:rsid w:val="00A82860"/>
    <w:rsid w:val="00A82F07"/>
    <w:rsid w:val="00A832BA"/>
    <w:rsid w:val="00A8331B"/>
    <w:rsid w:val="00A84963"/>
    <w:rsid w:val="00A84D9C"/>
    <w:rsid w:val="00A85048"/>
    <w:rsid w:val="00A86552"/>
    <w:rsid w:val="00A86CD7"/>
    <w:rsid w:val="00A86D7C"/>
    <w:rsid w:val="00A8750A"/>
    <w:rsid w:val="00A9017B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253F"/>
    <w:rsid w:val="00AA25AC"/>
    <w:rsid w:val="00AA28D2"/>
    <w:rsid w:val="00AA2D58"/>
    <w:rsid w:val="00AA4A27"/>
    <w:rsid w:val="00AA4C06"/>
    <w:rsid w:val="00AA5C1F"/>
    <w:rsid w:val="00AA7E5F"/>
    <w:rsid w:val="00AB0ED1"/>
    <w:rsid w:val="00AB16F3"/>
    <w:rsid w:val="00AB23B0"/>
    <w:rsid w:val="00AB2567"/>
    <w:rsid w:val="00AB3537"/>
    <w:rsid w:val="00AB365A"/>
    <w:rsid w:val="00AB3A63"/>
    <w:rsid w:val="00AB4201"/>
    <w:rsid w:val="00AB453D"/>
    <w:rsid w:val="00AB48D1"/>
    <w:rsid w:val="00AB4CFC"/>
    <w:rsid w:val="00AB58F2"/>
    <w:rsid w:val="00AB5E9F"/>
    <w:rsid w:val="00AB61EF"/>
    <w:rsid w:val="00AB689B"/>
    <w:rsid w:val="00AB7541"/>
    <w:rsid w:val="00AB7CDE"/>
    <w:rsid w:val="00AC0AAA"/>
    <w:rsid w:val="00AC1771"/>
    <w:rsid w:val="00AC1934"/>
    <w:rsid w:val="00AC277A"/>
    <w:rsid w:val="00AC41F9"/>
    <w:rsid w:val="00AC4EEC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613B"/>
    <w:rsid w:val="00AE079E"/>
    <w:rsid w:val="00AE0D0C"/>
    <w:rsid w:val="00AE1BA9"/>
    <w:rsid w:val="00AE2387"/>
    <w:rsid w:val="00AE4002"/>
    <w:rsid w:val="00AE6E19"/>
    <w:rsid w:val="00AE724E"/>
    <w:rsid w:val="00AE76A8"/>
    <w:rsid w:val="00AF09A0"/>
    <w:rsid w:val="00AF1091"/>
    <w:rsid w:val="00AF18A6"/>
    <w:rsid w:val="00AF18CA"/>
    <w:rsid w:val="00AF1CFD"/>
    <w:rsid w:val="00AF2617"/>
    <w:rsid w:val="00AF2AE5"/>
    <w:rsid w:val="00AF2B00"/>
    <w:rsid w:val="00AF3AD9"/>
    <w:rsid w:val="00AF4640"/>
    <w:rsid w:val="00AF5145"/>
    <w:rsid w:val="00AF58F3"/>
    <w:rsid w:val="00AF5ABA"/>
    <w:rsid w:val="00B00317"/>
    <w:rsid w:val="00B0149D"/>
    <w:rsid w:val="00B014EC"/>
    <w:rsid w:val="00B04FE2"/>
    <w:rsid w:val="00B05126"/>
    <w:rsid w:val="00B05777"/>
    <w:rsid w:val="00B05B5E"/>
    <w:rsid w:val="00B06527"/>
    <w:rsid w:val="00B10C3C"/>
    <w:rsid w:val="00B11271"/>
    <w:rsid w:val="00B112A5"/>
    <w:rsid w:val="00B116FF"/>
    <w:rsid w:val="00B118CF"/>
    <w:rsid w:val="00B12833"/>
    <w:rsid w:val="00B12D4B"/>
    <w:rsid w:val="00B140E9"/>
    <w:rsid w:val="00B14557"/>
    <w:rsid w:val="00B1471D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1A01"/>
    <w:rsid w:val="00B31E3C"/>
    <w:rsid w:val="00B32C18"/>
    <w:rsid w:val="00B33037"/>
    <w:rsid w:val="00B33732"/>
    <w:rsid w:val="00B35C7E"/>
    <w:rsid w:val="00B36448"/>
    <w:rsid w:val="00B377F6"/>
    <w:rsid w:val="00B416B1"/>
    <w:rsid w:val="00B426A2"/>
    <w:rsid w:val="00B43376"/>
    <w:rsid w:val="00B44209"/>
    <w:rsid w:val="00B44CCC"/>
    <w:rsid w:val="00B44EAC"/>
    <w:rsid w:val="00B465C8"/>
    <w:rsid w:val="00B472C9"/>
    <w:rsid w:val="00B47F43"/>
    <w:rsid w:val="00B506AC"/>
    <w:rsid w:val="00B50773"/>
    <w:rsid w:val="00B50D1B"/>
    <w:rsid w:val="00B50E2C"/>
    <w:rsid w:val="00B51364"/>
    <w:rsid w:val="00B517ED"/>
    <w:rsid w:val="00B52041"/>
    <w:rsid w:val="00B52F1D"/>
    <w:rsid w:val="00B53170"/>
    <w:rsid w:val="00B536A8"/>
    <w:rsid w:val="00B53B00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475C"/>
    <w:rsid w:val="00B649F7"/>
    <w:rsid w:val="00B667C6"/>
    <w:rsid w:val="00B66DB7"/>
    <w:rsid w:val="00B67ADB"/>
    <w:rsid w:val="00B70A7F"/>
    <w:rsid w:val="00B716B3"/>
    <w:rsid w:val="00B719C9"/>
    <w:rsid w:val="00B71C25"/>
    <w:rsid w:val="00B71D4B"/>
    <w:rsid w:val="00B7214B"/>
    <w:rsid w:val="00B73636"/>
    <w:rsid w:val="00B7370E"/>
    <w:rsid w:val="00B73C08"/>
    <w:rsid w:val="00B7439C"/>
    <w:rsid w:val="00B743D7"/>
    <w:rsid w:val="00B7657E"/>
    <w:rsid w:val="00B76793"/>
    <w:rsid w:val="00B76C42"/>
    <w:rsid w:val="00B76CBC"/>
    <w:rsid w:val="00B770C9"/>
    <w:rsid w:val="00B80C63"/>
    <w:rsid w:val="00B819ED"/>
    <w:rsid w:val="00B8390E"/>
    <w:rsid w:val="00B83CA3"/>
    <w:rsid w:val="00B84219"/>
    <w:rsid w:val="00B84275"/>
    <w:rsid w:val="00B84382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335D"/>
    <w:rsid w:val="00B94400"/>
    <w:rsid w:val="00B95673"/>
    <w:rsid w:val="00B961C8"/>
    <w:rsid w:val="00B96C2A"/>
    <w:rsid w:val="00B96FD4"/>
    <w:rsid w:val="00B97971"/>
    <w:rsid w:val="00BA04E1"/>
    <w:rsid w:val="00BA18D1"/>
    <w:rsid w:val="00BA19E0"/>
    <w:rsid w:val="00BA1F8A"/>
    <w:rsid w:val="00BA258C"/>
    <w:rsid w:val="00BA3EDB"/>
    <w:rsid w:val="00BA4441"/>
    <w:rsid w:val="00BA46B0"/>
    <w:rsid w:val="00BA47DA"/>
    <w:rsid w:val="00BA4E91"/>
    <w:rsid w:val="00BA5E59"/>
    <w:rsid w:val="00BA6D0B"/>
    <w:rsid w:val="00BA75F2"/>
    <w:rsid w:val="00BB0F17"/>
    <w:rsid w:val="00BB1A4D"/>
    <w:rsid w:val="00BB228F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D0100"/>
    <w:rsid w:val="00BD297C"/>
    <w:rsid w:val="00BD2BB6"/>
    <w:rsid w:val="00BD4509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73"/>
    <w:rsid w:val="00BE0DD9"/>
    <w:rsid w:val="00BE180E"/>
    <w:rsid w:val="00BE19CD"/>
    <w:rsid w:val="00BE21A8"/>
    <w:rsid w:val="00BE2827"/>
    <w:rsid w:val="00BE2CB6"/>
    <w:rsid w:val="00BE331A"/>
    <w:rsid w:val="00BE391E"/>
    <w:rsid w:val="00BE4444"/>
    <w:rsid w:val="00BE48B7"/>
    <w:rsid w:val="00BE4C20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56"/>
    <w:rsid w:val="00BF6462"/>
    <w:rsid w:val="00BF6F8D"/>
    <w:rsid w:val="00BF7738"/>
    <w:rsid w:val="00C00471"/>
    <w:rsid w:val="00C014C6"/>
    <w:rsid w:val="00C01839"/>
    <w:rsid w:val="00C01BF8"/>
    <w:rsid w:val="00C02043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E21"/>
    <w:rsid w:val="00C17244"/>
    <w:rsid w:val="00C2000C"/>
    <w:rsid w:val="00C2020E"/>
    <w:rsid w:val="00C20265"/>
    <w:rsid w:val="00C20ECB"/>
    <w:rsid w:val="00C2112F"/>
    <w:rsid w:val="00C21CA1"/>
    <w:rsid w:val="00C21FB0"/>
    <w:rsid w:val="00C24142"/>
    <w:rsid w:val="00C257EC"/>
    <w:rsid w:val="00C25B6F"/>
    <w:rsid w:val="00C25CA5"/>
    <w:rsid w:val="00C2605E"/>
    <w:rsid w:val="00C2648E"/>
    <w:rsid w:val="00C26B97"/>
    <w:rsid w:val="00C27BE2"/>
    <w:rsid w:val="00C30194"/>
    <w:rsid w:val="00C30F85"/>
    <w:rsid w:val="00C31129"/>
    <w:rsid w:val="00C313E7"/>
    <w:rsid w:val="00C3210B"/>
    <w:rsid w:val="00C34EEE"/>
    <w:rsid w:val="00C3561D"/>
    <w:rsid w:val="00C3654D"/>
    <w:rsid w:val="00C369FE"/>
    <w:rsid w:val="00C410EB"/>
    <w:rsid w:val="00C4196A"/>
    <w:rsid w:val="00C41CF2"/>
    <w:rsid w:val="00C41E47"/>
    <w:rsid w:val="00C42F00"/>
    <w:rsid w:val="00C43453"/>
    <w:rsid w:val="00C44924"/>
    <w:rsid w:val="00C45097"/>
    <w:rsid w:val="00C45C93"/>
    <w:rsid w:val="00C461EB"/>
    <w:rsid w:val="00C50077"/>
    <w:rsid w:val="00C51720"/>
    <w:rsid w:val="00C520D7"/>
    <w:rsid w:val="00C52B35"/>
    <w:rsid w:val="00C5372C"/>
    <w:rsid w:val="00C53769"/>
    <w:rsid w:val="00C53EEF"/>
    <w:rsid w:val="00C55CD2"/>
    <w:rsid w:val="00C55E91"/>
    <w:rsid w:val="00C562B4"/>
    <w:rsid w:val="00C56832"/>
    <w:rsid w:val="00C56C08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49F"/>
    <w:rsid w:val="00C676D3"/>
    <w:rsid w:val="00C7054B"/>
    <w:rsid w:val="00C71439"/>
    <w:rsid w:val="00C72AE9"/>
    <w:rsid w:val="00C7375A"/>
    <w:rsid w:val="00C74048"/>
    <w:rsid w:val="00C74654"/>
    <w:rsid w:val="00C74775"/>
    <w:rsid w:val="00C74F0F"/>
    <w:rsid w:val="00C754A8"/>
    <w:rsid w:val="00C7556D"/>
    <w:rsid w:val="00C75F55"/>
    <w:rsid w:val="00C76725"/>
    <w:rsid w:val="00C81867"/>
    <w:rsid w:val="00C81AAE"/>
    <w:rsid w:val="00C81EBC"/>
    <w:rsid w:val="00C847AA"/>
    <w:rsid w:val="00C84C3A"/>
    <w:rsid w:val="00C86300"/>
    <w:rsid w:val="00C8679C"/>
    <w:rsid w:val="00C8685C"/>
    <w:rsid w:val="00C87645"/>
    <w:rsid w:val="00C87795"/>
    <w:rsid w:val="00C8788F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0C31"/>
    <w:rsid w:val="00CB0D84"/>
    <w:rsid w:val="00CB1580"/>
    <w:rsid w:val="00CB1A38"/>
    <w:rsid w:val="00CB21B3"/>
    <w:rsid w:val="00CB4072"/>
    <w:rsid w:val="00CB484D"/>
    <w:rsid w:val="00CB517A"/>
    <w:rsid w:val="00CB61C9"/>
    <w:rsid w:val="00CB62EE"/>
    <w:rsid w:val="00CB7176"/>
    <w:rsid w:val="00CB730C"/>
    <w:rsid w:val="00CC0F4A"/>
    <w:rsid w:val="00CC0F68"/>
    <w:rsid w:val="00CC22B1"/>
    <w:rsid w:val="00CC2A03"/>
    <w:rsid w:val="00CC2C93"/>
    <w:rsid w:val="00CC2DC4"/>
    <w:rsid w:val="00CC384C"/>
    <w:rsid w:val="00CC3988"/>
    <w:rsid w:val="00CC52C9"/>
    <w:rsid w:val="00CC53F4"/>
    <w:rsid w:val="00CC5AF3"/>
    <w:rsid w:val="00CC68BF"/>
    <w:rsid w:val="00CC6958"/>
    <w:rsid w:val="00CC7C45"/>
    <w:rsid w:val="00CD13B1"/>
    <w:rsid w:val="00CD2107"/>
    <w:rsid w:val="00CD28EC"/>
    <w:rsid w:val="00CD2DC8"/>
    <w:rsid w:val="00CD561D"/>
    <w:rsid w:val="00CD6EF5"/>
    <w:rsid w:val="00CE052C"/>
    <w:rsid w:val="00CE0CE1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72AC"/>
    <w:rsid w:val="00D0011E"/>
    <w:rsid w:val="00D004E5"/>
    <w:rsid w:val="00D0136A"/>
    <w:rsid w:val="00D0142A"/>
    <w:rsid w:val="00D0150B"/>
    <w:rsid w:val="00D0280B"/>
    <w:rsid w:val="00D038D7"/>
    <w:rsid w:val="00D052E6"/>
    <w:rsid w:val="00D05DDB"/>
    <w:rsid w:val="00D073F9"/>
    <w:rsid w:val="00D07DD7"/>
    <w:rsid w:val="00D10717"/>
    <w:rsid w:val="00D1147F"/>
    <w:rsid w:val="00D13DF1"/>
    <w:rsid w:val="00D13EDA"/>
    <w:rsid w:val="00D15061"/>
    <w:rsid w:val="00D15D74"/>
    <w:rsid w:val="00D1722E"/>
    <w:rsid w:val="00D176B7"/>
    <w:rsid w:val="00D20B08"/>
    <w:rsid w:val="00D2261D"/>
    <w:rsid w:val="00D228B8"/>
    <w:rsid w:val="00D24515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3CFC"/>
    <w:rsid w:val="00D344F3"/>
    <w:rsid w:val="00D3524B"/>
    <w:rsid w:val="00D357A4"/>
    <w:rsid w:val="00D36238"/>
    <w:rsid w:val="00D36EB1"/>
    <w:rsid w:val="00D375AE"/>
    <w:rsid w:val="00D4029D"/>
    <w:rsid w:val="00D44DF2"/>
    <w:rsid w:val="00D44EDE"/>
    <w:rsid w:val="00D451A5"/>
    <w:rsid w:val="00D451C1"/>
    <w:rsid w:val="00D45283"/>
    <w:rsid w:val="00D4541B"/>
    <w:rsid w:val="00D477C3"/>
    <w:rsid w:val="00D47DE7"/>
    <w:rsid w:val="00D51271"/>
    <w:rsid w:val="00D51828"/>
    <w:rsid w:val="00D53179"/>
    <w:rsid w:val="00D53DC5"/>
    <w:rsid w:val="00D5465D"/>
    <w:rsid w:val="00D5517C"/>
    <w:rsid w:val="00D55406"/>
    <w:rsid w:val="00D55E9A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36FB"/>
    <w:rsid w:val="00D73AAF"/>
    <w:rsid w:val="00D73B35"/>
    <w:rsid w:val="00D74B08"/>
    <w:rsid w:val="00D75B0B"/>
    <w:rsid w:val="00D77388"/>
    <w:rsid w:val="00D775D2"/>
    <w:rsid w:val="00D77855"/>
    <w:rsid w:val="00D80D94"/>
    <w:rsid w:val="00D8118D"/>
    <w:rsid w:val="00D82637"/>
    <w:rsid w:val="00D83283"/>
    <w:rsid w:val="00D83860"/>
    <w:rsid w:val="00D83D34"/>
    <w:rsid w:val="00D85155"/>
    <w:rsid w:val="00D85F3F"/>
    <w:rsid w:val="00D86169"/>
    <w:rsid w:val="00D8652F"/>
    <w:rsid w:val="00D86BF7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384"/>
    <w:rsid w:val="00D9583F"/>
    <w:rsid w:val="00D96C34"/>
    <w:rsid w:val="00D970E9"/>
    <w:rsid w:val="00D97E49"/>
    <w:rsid w:val="00DA073F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4E73"/>
    <w:rsid w:val="00DA5117"/>
    <w:rsid w:val="00DA61B6"/>
    <w:rsid w:val="00DA68C1"/>
    <w:rsid w:val="00DA71E0"/>
    <w:rsid w:val="00DA7808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4E8F"/>
    <w:rsid w:val="00DC545A"/>
    <w:rsid w:val="00DC585F"/>
    <w:rsid w:val="00DC77F2"/>
    <w:rsid w:val="00DC78DB"/>
    <w:rsid w:val="00DC7F7D"/>
    <w:rsid w:val="00DD028A"/>
    <w:rsid w:val="00DD08C1"/>
    <w:rsid w:val="00DD19C8"/>
    <w:rsid w:val="00DD2278"/>
    <w:rsid w:val="00DD4F3E"/>
    <w:rsid w:val="00DD67A9"/>
    <w:rsid w:val="00DD6EA5"/>
    <w:rsid w:val="00DD75C0"/>
    <w:rsid w:val="00DD7C85"/>
    <w:rsid w:val="00DE2574"/>
    <w:rsid w:val="00DE2C5D"/>
    <w:rsid w:val="00DE4BD0"/>
    <w:rsid w:val="00DE58C9"/>
    <w:rsid w:val="00DE58D7"/>
    <w:rsid w:val="00DE62BC"/>
    <w:rsid w:val="00DE7572"/>
    <w:rsid w:val="00DE7BEA"/>
    <w:rsid w:val="00DE7DAF"/>
    <w:rsid w:val="00DF154D"/>
    <w:rsid w:val="00DF16FC"/>
    <w:rsid w:val="00DF19F6"/>
    <w:rsid w:val="00DF376E"/>
    <w:rsid w:val="00DF431A"/>
    <w:rsid w:val="00DF62C6"/>
    <w:rsid w:val="00DF6D21"/>
    <w:rsid w:val="00DF7C00"/>
    <w:rsid w:val="00E00BBD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5C13"/>
    <w:rsid w:val="00E05C1A"/>
    <w:rsid w:val="00E064CA"/>
    <w:rsid w:val="00E06813"/>
    <w:rsid w:val="00E10053"/>
    <w:rsid w:val="00E111E4"/>
    <w:rsid w:val="00E11521"/>
    <w:rsid w:val="00E13B47"/>
    <w:rsid w:val="00E15933"/>
    <w:rsid w:val="00E15B99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7AC"/>
    <w:rsid w:val="00E413A5"/>
    <w:rsid w:val="00E41AF8"/>
    <w:rsid w:val="00E4296A"/>
    <w:rsid w:val="00E43380"/>
    <w:rsid w:val="00E44274"/>
    <w:rsid w:val="00E44603"/>
    <w:rsid w:val="00E44F24"/>
    <w:rsid w:val="00E455B4"/>
    <w:rsid w:val="00E46FA7"/>
    <w:rsid w:val="00E46FBA"/>
    <w:rsid w:val="00E47328"/>
    <w:rsid w:val="00E479DF"/>
    <w:rsid w:val="00E505D8"/>
    <w:rsid w:val="00E50B83"/>
    <w:rsid w:val="00E51530"/>
    <w:rsid w:val="00E5252F"/>
    <w:rsid w:val="00E528C6"/>
    <w:rsid w:val="00E52B26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F00"/>
    <w:rsid w:val="00E642DC"/>
    <w:rsid w:val="00E64E57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4E48"/>
    <w:rsid w:val="00E76B64"/>
    <w:rsid w:val="00E76BBE"/>
    <w:rsid w:val="00E77101"/>
    <w:rsid w:val="00E808C9"/>
    <w:rsid w:val="00E80943"/>
    <w:rsid w:val="00E8112D"/>
    <w:rsid w:val="00E81135"/>
    <w:rsid w:val="00E8148D"/>
    <w:rsid w:val="00E818C3"/>
    <w:rsid w:val="00E82DCF"/>
    <w:rsid w:val="00E84DC4"/>
    <w:rsid w:val="00E8561A"/>
    <w:rsid w:val="00E85DE8"/>
    <w:rsid w:val="00E86672"/>
    <w:rsid w:val="00E86E0C"/>
    <w:rsid w:val="00E900CF"/>
    <w:rsid w:val="00E908C6"/>
    <w:rsid w:val="00E93450"/>
    <w:rsid w:val="00E9372A"/>
    <w:rsid w:val="00E93AFD"/>
    <w:rsid w:val="00E95441"/>
    <w:rsid w:val="00E97970"/>
    <w:rsid w:val="00E979A5"/>
    <w:rsid w:val="00E97C50"/>
    <w:rsid w:val="00EA03D8"/>
    <w:rsid w:val="00EA0DB1"/>
    <w:rsid w:val="00EA507E"/>
    <w:rsid w:val="00EA5747"/>
    <w:rsid w:val="00EA73BA"/>
    <w:rsid w:val="00EA7745"/>
    <w:rsid w:val="00EB0F28"/>
    <w:rsid w:val="00EB2336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202F"/>
    <w:rsid w:val="00EC25AB"/>
    <w:rsid w:val="00EC3DF9"/>
    <w:rsid w:val="00EC4F93"/>
    <w:rsid w:val="00EC5679"/>
    <w:rsid w:val="00EC5764"/>
    <w:rsid w:val="00EC5DBE"/>
    <w:rsid w:val="00EC5DE6"/>
    <w:rsid w:val="00EC6C65"/>
    <w:rsid w:val="00ED0FC6"/>
    <w:rsid w:val="00ED1C3D"/>
    <w:rsid w:val="00ED2264"/>
    <w:rsid w:val="00ED23A2"/>
    <w:rsid w:val="00ED2B1D"/>
    <w:rsid w:val="00ED412E"/>
    <w:rsid w:val="00ED41A8"/>
    <w:rsid w:val="00ED44D2"/>
    <w:rsid w:val="00ED452D"/>
    <w:rsid w:val="00ED5035"/>
    <w:rsid w:val="00ED5703"/>
    <w:rsid w:val="00ED5DD6"/>
    <w:rsid w:val="00ED6AF2"/>
    <w:rsid w:val="00ED7BC1"/>
    <w:rsid w:val="00EE04D4"/>
    <w:rsid w:val="00EE0C71"/>
    <w:rsid w:val="00EE29BE"/>
    <w:rsid w:val="00EE3C34"/>
    <w:rsid w:val="00EE3CDA"/>
    <w:rsid w:val="00EF038F"/>
    <w:rsid w:val="00EF07C3"/>
    <w:rsid w:val="00EF1944"/>
    <w:rsid w:val="00EF26AE"/>
    <w:rsid w:val="00EF27B5"/>
    <w:rsid w:val="00EF493E"/>
    <w:rsid w:val="00EF607A"/>
    <w:rsid w:val="00EF6331"/>
    <w:rsid w:val="00EF6482"/>
    <w:rsid w:val="00EF71FF"/>
    <w:rsid w:val="00EF773B"/>
    <w:rsid w:val="00F00241"/>
    <w:rsid w:val="00F00777"/>
    <w:rsid w:val="00F01AED"/>
    <w:rsid w:val="00F02876"/>
    <w:rsid w:val="00F06185"/>
    <w:rsid w:val="00F064C3"/>
    <w:rsid w:val="00F109A7"/>
    <w:rsid w:val="00F10BFD"/>
    <w:rsid w:val="00F10D7E"/>
    <w:rsid w:val="00F11D60"/>
    <w:rsid w:val="00F12451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02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940"/>
    <w:rsid w:val="00F27A13"/>
    <w:rsid w:val="00F27FA1"/>
    <w:rsid w:val="00F3032E"/>
    <w:rsid w:val="00F3124A"/>
    <w:rsid w:val="00F313E8"/>
    <w:rsid w:val="00F31EFE"/>
    <w:rsid w:val="00F3277D"/>
    <w:rsid w:val="00F32822"/>
    <w:rsid w:val="00F3329B"/>
    <w:rsid w:val="00F33D35"/>
    <w:rsid w:val="00F340F0"/>
    <w:rsid w:val="00F343CC"/>
    <w:rsid w:val="00F34F38"/>
    <w:rsid w:val="00F350F7"/>
    <w:rsid w:val="00F35253"/>
    <w:rsid w:val="00F36405"/>
    <w:rsid w:val="00F36950"/>
    <w:rsid w:val="00F371E7"/>
    <w:rsid w:val="00F3733F"/>
    <w:rsid w:val="00F3738F"/>
    <w:rsid w:val="00F37625"/>
    <w:rsid w:val="00F41E87"/>
    <w:rsid w:val="00F42120"/>
    <w:rsid w:val="00F428F8"/>
    <w:rsid w:val="00F43B83"/>
    <w:rsid w:val="00F44EBF"/>
    <w:rsid w:val="00F45EB3"/>
    <w:rsid w:val="00F47502"/>
    <w:rsid w:val="00F47697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FFC"/>
    <w:rsid w:val="00F625CA"/>
    <w:rsid w:val="00F62A93"/>
    <w:rsid w:val="00F62AF9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1A4"/>
    <w:rsid w:val="00F7568A"/>
    <w:rsid w:val="00F77C1A"/>
    <w:rsid w:val="00F81073"/>
    <w:rsid w:val="00F812E4"/>
    <w:rsid w:val="00F815BB"/>
    <w:rsid w:val="00F825C9"/>
    <w:rsid w:val="00F8344B"/>
    <w:rsid w:val="00F83EEA"/>
    <w:rsid w:val="00F8461A"/>
    <w:rsid w:val="00F84BEC"/>
    <w:rsid w:val="00F852BE"/>
    <w:rsid w:val="00F8731D"/>
    <w:rsid w:val="00F87CAF"/>
    <w:rsid w:val="00F87FA4"/>
    <w:rsid w:val="00F90063"/>
    <w:rsid w:val="00F90A3D"/>
    <w:rsid w:val="00F90EC0"/>
    <w:rsid w:val="00F91222"/>
    <w:rsid w:val="00F92352"/>
    <w:rsid w:val="00F9267B"/>
    <w:rsid w:val="00F93B7A"/>
    <w:rsid w:val="00F94ACE"/>
    <w:rsid w:val="00F94AE5"/>
    <w:rsid w:val="00F94EAF"/>
    <w:rsid w:val="00F96581"/>
    <w:rsid w:val="00F96AF2"/>
    <w:rsid w:val="00F96F50"/>
    <w:rsid w:val="00F970A7"/>
    <w:rsid w:val="00F9738D"/>
    <w:rsid w:val="00FA1622"/>
    <w:rsid w:val="00FA1A3F"/>
    <w:rsid w:val="00FA2228"/>
    <w:rsid w:val="00FA2A03"/>
    <w:rsid w:val="00FA57BD"/>
    <w:rsid w:val="00FA59C4"/>
    <w:rsid w:val="00FA59C6"/>
    <w:rsid w:val="00FA5A3F"/>
    <w:rsid w:val="00FA5B04"/>
    <w:rsid w:val="00FA5F7E"/>
    <w:rsid w:val="00FA6AEF"/>
    <w:rsid w:val="00FB0167"/>
    <w:rsid w:val="00FB0EBB"/>
    <w:rsid w:val="00FB10F6"/>
    <w:rsid w:val="00FB13A2"/>
    <w:rsid w:val="00FB15EB"/>
    <w:rsid w:val="00FB19EB"/>
    <w:rsid w:val="00FB3A29"/>
    <w:rsid w:val="00FB41AF"/>
    <w:rsid w:val="00FB47DE"/>
    <w:rsid w:val="00FB4A1C"/>
    <w:rsid w:val="00FB60CC"/>
    <w:rsid w:val="00FB60FB"/>
    <w:rsid w:val="00FB6635"/>
    <w:rsid w:val="00FB6B37"/>
    <w:rsid w:val="00FB7510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5D0"/>
    <w:rsid w:val="00FC772C"/>
    <w:rsid w:val="00FD0284"/>
    <w:rsid w:val="00FD0BC0"/>
    <w:rsid w:val="00FD1078"/>
    <w:rsid w:val="00FD12DB"/>
    <w:rsid w:val="00FD1306"/>
    <w:rsid w:val="00FD3713"/>
    <w:rsid w:val="00FD4587"/>
    <w:rsid w:val="00FD57E2"/>
    <w:rsid w:val="00FD5B9B"/>
    <w:rsid w:val="00FD66DD"/>
    <w:rsid w:val="00FD6921"/>
    <w:rsid w:val="00FD77C2"/>
    <w:rsid w:val="00FE175F"/>
    <w:rsid w:val="00FE1F8E"/>
    <w:rsid w:val="00FE2ED7"/>
    <w:rsid w:val="00FE329D"/>
    <w:rsid w:val="00FE34B0"/>
    <w:rsid w:val="00FE3AFB"/>
    <w:rsid w:val="00FE3E6F"/>
    <w:rsid w:val="00FE400F"/>
    <w:rsid w:val="00FE4187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1B0"/>
    <w:rsid w:val="00FF3E5C"/>
    <w:rsid w:val="00FF4658"/>
    <w:rsid w:val="00FF473D"/>
    <w:rsid w:val="00FF4E8A"/>
    <w:rsid w:val="00FF556A"/>
    <w:rsid w:val="00FF5D50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4A2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4A27"/>
    <w:rPr>
      <w:vertAlign w:val="superscript"/>
    </w:rPr>
  </w:style>
  <w:style w:type="paragraph" w:customStyle="1" w:styleId="CBANadpisvTABULCE">
    <w:name w:val="CBA Nadpis v TABULCE"/>
    <w:basedOn w:val="Normln"/>
    <w:qFormat/>
    <w:rsid w:val="002853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28530F"/>
    <w:pPr>
      <w:spacing w:before="120" w:after="120"/>
      <w:jc w:val="left"/>
    </w:pPr>
    <w:rPr>
      <w:color w:val="13576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bamonitor.cz/kategorie/ceny-nemovitost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bamonitor.cz/kategorie/cba-hypomonito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baonlin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BE5B95D55468F8CF7D6D1C8CB6B" ma:contentTypeVersion="10" ma:contentTypeDescription="Create a new document." ma:contentTypeScope="" ma:versionID="03de8c559e19055c2732f6aae148e160">
  <xsd:schema xmlns:xsd="http://www.w3.org/2001/XMLSchema" xmlns:xs="http://www.w3.org/2001/XMLSchema" xmlns:p="http://schemas.microsoft.com/office/2006/metadata/properties" xmlns:ns3="b09ec118-0c61-46db-bb00-952e09940a1f" targetNamespace="http://schemas.microsoft.com/office/2006/metadata/properties" ma:root="true" ma:fieldsID="a58f24d30c88e6ff28d70a1926b856b7" ns3:_="">
    <xsd:import namespace="b09ec118-0c61-46db-bb00-952e09940a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c118-0c61-46db-bb00-952e09940a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9ec118-0c61-46db-bb00-952e09940a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4796-18D1-44D3-AEB3-40E11281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c118-0c61-46db-bb00-952e0994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695EA-D77D-4F66-A87E-5245D7A92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935B7-8C88-4CAE-A0AA-13A352B0843E}">
  <ds:schemaRefs>
    <ds:schemaRef ds:uri="http://schemas.microsoft.com/office/2006/metadata/properties"/>
    <ds:schemaRef ds:uri="http://schemas.microsoft.com/office/infopath/2007/PartnerControls"/>
    <ds:schemaRef ds:uri="b09ec118-0c61-46db-bb00-952e09940a1f"/>
  </ds:schemaRefs>
</ds:datastoreItem>
</file>

<file path=customXml/itemProps4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1369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4</cp:revision>
  <cp:lastPrinted>2024-08-12T11:42:00Z</cp:lastPrinted>
  <dcterms:created xsi:type="dcterms:W3CDTF">2025-01-14T14:22:00Z</dcterms:created>
  <dcterms:modified xsi:type="dcterms:W3CDTF">2025-01-14T15:28:00Z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0x0101004DC0CBE5B95D55468F8CF7D6D1C8CB6B</vt:lpwstr>
  </property>
</Properties>
</file>