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263AD" w14:textId="458FDB2B" w:rsidR="00574588" w:rsidRPr="00616069" w:rsidRDefault="003D3759" w:rsidP="003D3759">
      <w:pPr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Hypomonitor</w:t>
      </w:r>
      <w:proofErr w:type="spellEnd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FA5F7E">
        <w:rPr>
          <w:rFonts w:ascii="Calibri" w:hAnsi="Calibri" w:cs="Calibri"/>
          <w:b/>
          <w:color w:val="13576B"/>
          <w:sz w:val="32"/>
          <w:szCs w:val="32"/>
        </w:rPr>
        <w:t>Hypoteční aktivita v</w:t>
      </w:r>
      <w:r w:rsidR="00700C93">
        <w:rPr>
          <w:rFonts w:ascii="Calibri" w:hAnsi="Calibri" w:cs="Calibri"/>
          <w:b/>
          <w:color w:val="13576B"/>
          <w:sz w:val="32"/>
          <w:szCs w:val="32"/>
        </w:rPr>
        <w:t> říjnu dále rostla</w:t>
      </w:r>
      <w:r w:rsidR="002F0F08">
        <w:rPr>
          <w:rFonts w:ascii="Calibri" w:hAnsi="Calibri" w:cs="Calibri"/>
          <w:b/>
          <w:color w:val="13576B"/>
          <w:sz w:val="32"/>
          <w:szCs w:val="32"/>
        </w:rPr>
        <w:t xml:space="preserve">, </w:t>
      </w:r>
      <w:r w:rsidR="000070E2">
        <w:rPr>
          <w:rFonts w:ascii="Calibri" w:hAnsi="Calibri" w:cs="Calibri"/>
          <w:b/>
          <w:color w:val="13576B"/>
          <w:sz w:val="32"/>
          <w:szCs w:val="32"/>
        </w:rPr>
        <w:t xml:space="preserve">průměrná sazba </w:t>
      </w:r>
      <w:r w:rsidR="007E0A18">
        <w:rPr>
          <w:rFonts w:ascii="Calibri" w:hAnsi="Calibri" w:cs="Calibri"/>
          <w:b/>
          <w:color w:val="13576B"/>
          <w:sz w:val="32"/>
          <w:szCs w:val="32"/>
        </w:rPr>
        <w:t xml:space="preserve">klesla </w:t>
      </w:r>
      <w:r w:rsidR="00574588">
        <w:rPr>
          <w:rFonts w:ascii="Calibri" w:hAnsi="Calibri" w:cs="Calibri"/>
          <w:b/>
          <w:color w:val="13576B"/>
          <w:sz w:val="32"/>
          <w:szCs w:val="32"/>
        </w:rPr>
        <w:t>na 4,9 %</w:t>
      </w:r>
      <w:r w:rsidR="007E0A18">
        <w:rPr>
          <w:rFonts w:ascii="Calibri" w:hAnsi="Calibri" w:cs="Calibri"/>
          <w:b/>
          <w:color w:val="13576B"/>
          <w:sz w:val="32"/>
          <w:szCs w:val="32"/>
        </w:rPr>
        <w:t>.</w:t>
      </w:r>
    </w:p>
    <w:bookmarkEnd w:id="0"/>
    <w:p w14:paraId="5E7258BB" w14:textId="77777777" w:rsidR="0001227F" w:rsidRPr="00616069" w:rsidRDefault="0001227F" w:rsidP="0001227F">
      <w:pPr>
        <w:rPr>
          <w:rFonts w:ascii="Calibri" w:hAnsi="Calibri" w:cs="Calibri"/>
          <w:b/>
          <w:bCs/>
        </w:rPr>
      </w:pPr>
    </w:p>
    <w:p w14:paraId="44CE3940" w14:textId="7C860001" w:rsidR="0001227F" w:rsidRPr="00616069" w:rsidRDefault="000C12F1" w:rsidP="0001227F">
      <w:pPr>
        <w:rPr>
          <w:rFonts w:ascii="Calibri" w:hAnsi="Calibri" w:cs="Calibri"/>
          <w:b/>
          <w:color w:val="13576B"/>
          <w:sz w:val="22"/>
          <w:szCs w:val="22"/>
        </w:rPr>
      </w:pPr>
      <w:bookmarkStart w:id="2" w:name="_Hlk111121194"/>
      <w:r w:rsidRPr="00616069">
        <w:rPr>
          <w:rFonts w:ascii="Calibri" w:hAnsi="Calibri" w:cs="Calibri"/>
          <w:b/>
          <w:color w:val="13576B"/>
          <w:sz w:val="22"/>
          <w:szCs w:val="22"/>
        </w:rPr>
        <w:t xml:space="preserve">Praha, </w:t>
      </w:r>
      <w:r w:rsidR="005861DC">
        <w:rPr>
          <w:rFonts w:ascii="Calibri" w:hAnsi="Calibri" w:cs="Calibri"/>
          <w:b/>
          <w:color w:val="13576B"/>
          <w:sz w:val="22"/>
          <w:szCs w:val="22"/>
        </w:rPr>
        <w:t>1</w:t>
      </w:r>
      <w:r w:rsidR="00700C93">
        <w:rPr>
          <w:rFonts w:ascii="Calibri" w:hAnsi="Calibri" w:cs="Calibri"/>
          <w:b/>
          <w:color w:val="13576B"/>
          <w:sz w:val="22"/>
          <w:szCs w:val="22"/>
        </w:rPr>
        <w:t>8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.</w:t>
      </w:r>
      <w:r w:rsidR="00B96FD4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700C93">
        <w:rPr>
          <w:rFonts w:ascii="Calibri" w:hAnsi="Calibri" w:cs="Calibri"/>
          <w:b/>
          <w:color w:val="13576B"/>
          <w:sz w:val="22"/>
          <w:szCs w:val="22"/>
        </w:rPr>
        <w:t xml:space="preserve">listopadu 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202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4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 xml:space="preserve"> – </w:t>
      </w:r>
      <w:bookmarkEnd w:id="2"/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>Banky a stavební spořitelny poskytly v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 xml:space="preserve"> říjnu 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letošního roku hypoteční úvěry za 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více než 26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 mld. Kč, z toho skutečně nové úvěry činily 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bezmála 22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 mld. Kč. Oproti 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 xml:space="preserve">září 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se hypoteční aktivita 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zvýšila</w:t>
      </w:r>
      <w:r w:rsidR="00395F29">
        <w:rPr>
          <w:rFonts w:ascii="Calibri" w:hAnsi="Calibri" w:cs="Calibri"/>
          <w:b/>
          <w:color w:val="13576B"/>
          <w:sz w:val="22"/>
          <w:szCs w:val="22"/>
        </w:rPr>
        <w:t>,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4522D4">
        <w:rPr>
          <w:rFonts w:ascii="Calibri" w:hAnsi="Calibri" w:cs="Calibri"/>
          <w:b/>
          <w:color w:val="13576B"/>
          <w:sz w:val="22"/>
          <w:szCs w:val="22"/>
        </w:rPr>
        <w:t>a t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o o necelých 10 %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, 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což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 je však pro 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 xml:space="preserve">říjen 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tradiční vývoj a po jeho zohlednění by meziměsíční </w:t>
      </w:r>
      <w:r w:rsidR="004522D4">
        <w:rPr>
          <w:rFonts w:ascii="Calibri" w:hAnsi="Calibri" w:cs="Calibri"/>
          <w:b/>
          <w:color w:val="13576B"/>
          <w:sz w:val="22"/>
          <w:szCs w:val="22"/>
        </w:rPr>
        <w:t>růst byl mírnější.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 V meziročním vyjádření růst </w:t>
      </w:r>
      <w:r w:rsidR="004522D4">
        <w:rPr>
          <w:rFonts w:ascii="Calibri" w:hAnsi="Calibri" w:cs="Calibri"/>
          <w:b/>
          <w:color w:val="13576B"/>
          <w:sz w:val="22"/>
          <w:szCs w:val="22"/>
        </w:rPr>
        <w:t xml:space="preserve">objemu poskytnutých hypoték </w:t>
      </w:r>
      <w:r w:rsidR="00395F29">
        <w:rPr>
          <w:rFonts w:ascii="Calibri" w:hAnsi="Calibri" w:cs="Calibri"/>
          <w:b/>
          <w:color w:val="13576B"/>
          <w:sz w:val="22"/>
          <w:szCs w:val="22"/>
        </w:rPr>
        <w:t>zpomalil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 z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e zářijových bezmála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 xml:space="preserve"> 80 % na 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64 %</w:t>
      </w:r>
      <w:r w:rsidR="00395F29">
        <w:rPr>
          <w:rFonts w:ascii="Calibri" w:hAnsi="Calibri" w:cs="Calibri"/>
          <w:b/>
          <w:color w:val="13576B"/>
          <w:sz w:val="22"/>
          <w:szCs w:val="22"/>
        </w:rPr>
        <w:t>, což je</w:t>
      </w:r>
      <w:r w:rsidR="004522D4">
        <w:rPr>
          <w:rFonts w:ascii="Calibri" w:hAnsi="Calibri" w:cs="Calibri"/>
          <w:b/>
          <w:color w:val="13576B"/>
          <w:sz w:val="22"/>
          <w:szCs w:val="22"/>
        </w:rPr>
        <w:t xml:space="preserve"> však</w:t>
      </w:r>
      <w:r w:rsidR="00395F29">
        <w:rPr>
          <w:rFonts w:ascii="Calibri" w:hAnsi="Calibri" w:cs="Calibri"/>
          <w:b/>
          <w:color w:val="13576B"/>
          <w:sz w:val="22"/>
          <w:szCs w:val="22"/>
        </w:rPr>
        <w:t xml:space="preserve"> vliv</w:t>
      </w:r>
      <w:r w:rsidR="004522D4">
        <w:rPr>
          <w:rFonts w:ascii="Calibri" w:hAnsi="Calibri" w:cs="Calibri"/>
          <w:b/>
          <w:color w:val="13576B"/>
          <w:sz w:val="22"/>
          <w:szCs w:val="22"/>
        </w:rPr>
        <w:t xml:space="preserve"> postupně rostoucí </w:t>
      </w:r>
      <w:r w:rsidR="00395F29">
        <w:rPr>
          <w:rFonts w:ascii="Calibri" w:hAnsi="Calibri" w:cs="Calibri"/>
          <w:b/>
          <w:color w:val="13576B"/>
          <w:sz w:val="22"/>
          <w:szCs w:val="22"/>
        </w:rPr>
        <w:t>srovnávací základny.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AF2617" w:rsidRPr="00AF2617">
        <w:rPr>
          <w:rFonts w:ascii="Calibri" w:hAnsi="Calibri" w:cs="Calibri"/>
          <w:b/>
          <w:color w:val="13576B"/>
          <w:sz w:val="22"/>
          <w:szCs w:val="22"/>
        </w:rPr>
        <w:t>Hypoteční trh v letošním roce tak pokračuje v oživování a objemy poskytnutých hypoték se v posledních měsících již dostaly nad úrovně roku 2020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, ačkoli z pohledu počt</w:t>
      </w:r>
      <w:r w:rsidR="00395F29">
        <w:rPr>
          <w:rFonts w:ascii="Calibri" w:hAnsi="Calibri" w:cs="Calibri"/>
          <w:b/>
          <w:color w:val="13576B"/>
          <w:sz w:val="22"/>
          <w:szCs w:val="22"/>
        </w:rPr>
        <w:t>u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 xml:space="preserve"> setrvávají o čtvrtinu n</w:t>
      </w:r>
      <w:r w:rsidR="004C10E7">
        <w:rPr>
          <w:rFonts w:ascii="Calibri" w:hAnsi="Calibri" w:cs="Calibri"/>
          <w:b/>
          <w:color w:val="13576B"/>
          <w:sz w:val="22"/>
          <w:szCs w:val="22"/>
        </w:rPr>
        <w:t>í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ž</w:t>
      </w:r>
      <w:r w:rsidR="004C10E7">
        <w:rPr>
          <w:rFonts w:ascii="Calibri" w:hAnsi="Calibri" w:cs="Calibri"/>
          <w:b/>
          <w:color w:val="13576B"/>
          <w:sz w:val="22"/>
          <w:szCs w:val="22"/>
        </w:rPr>
        <w:t>e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Průměrná hypoteční sazba</w:t>
      </w:r>
      <w:r w:rsidR="008E27A7" w:rsidRPr="00616069">
        <w:rPr>
          <w:rFonts w:ascii="Calibri" w:hAnsi="Calibri" w:cs="Calibri"/>
          <w:b/>
          <w:color w:val="13576B"/>
          <w:sz w:val="22"/>
          <w:szCs w:val="22"/>
        </w:rPr>
        <w:t xml:space="preserve"> u nových úvěrů</w:t>
      </w:r>
      <w:r w:rsidR="00210A9C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C66586">
        <w:rPr>
          <w:rFonts w:ascii="Calibri" w:hAnsi="Calibri" w:cs="Calibri"/>
          <w:b/>
          <w:color w:val="13576B"/>
          <w:sz w:val="22"/>
          <w:szCs w:val="22"/>
        </w:rPr>
        <w:t xml:space="preserve">se nepatrně snížila na 4,9 </w:t>
      </w:r>
      <w:r w:rsidR="005746F6">
        <w:rPr>
          <w:rFonts w:ascii="Calibri" w:hAnsi="Calibri" w:cs="Calibri"/>
          <w:b/>
          <w:color w:val="13576B"/>
          <w:sz w:val="22"/>
          <w:szCs w:val="22"/>
        </w:rPr>
        <w:t xml:space="preserve">% po 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 xml:space="preserve">zářijových </w:t>
      </w:r>
      <w:r w:rsidR="00C66586">
        <w:rPr>
          <w:rFonts w:ascii="Calibri" w:hAnsi="Calibri" w:cs="Calibri"/>
          <w:b/>
          <w:color w:val="13576B"/>
          <w:sz w:val="22"/>
          <w:szCs w:val="22"/>
        </w:rPr>
        <w:t>4</w:t>
      </w:r>
      <w:r w:rsidR="005746F6">
        <w:rPr>
          <w:rFonts w:ascii="Calibri" w:hAnsi="Calibri" w:cs="Calibri"/>
          <w:b/>
          <w:color w:val="13576B"/>
          <w:sz w:val="22"/>
          <w:szCs w:val="22"/>
        </w:rPr>
        <w:t>,</w:t>
      </w:r>
      <w:r w:rsidR="00C66586">
        <w:rPr>
          <w:rFonts w:ascii="Calibri" w:hAnsi="Calibri" w:cs="Calibri"/>
          <w:b/>
          <w:color w:val="13576B"/>
          <w:sz w:val="22"/>
          <w:szCs w:val="22"/>
        </w:rPr>
        <w:t>9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>6</w:t>
      </w:r>
      <w:r w:rsidR="005746F6">
        <w:rPr>
          <w:rFonts w:ascii="Calibri" w:hAnsi="Calibri" w:cs="Calibri"/>
          <w:b/>
          <w:color w:val="13576B"/>
          <w:sz w:val="22"/>
          <w:szCs w:val="22"/>
        </w:rPr>
        <w:t xml:space="preserve"> %.</w:t>
      </w:r>
      <w:r w:rsidR="004C10E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Průměrná </w:t>
      </w:r>
      <w:r w:rsidR="00D0011E">
        <w:rPr>
          <w:rFonts w:ascii="Calibri" w:hAnsi="Calibri" w:cs="Calibri"/>
          <w:b/>
          <w:color w:val="13576B"/>
          <w:sz w:val="22"/>
          <w:szCs w:val="22"/>
        </w:rPr>
        <w:t xml:space="preserve">velikost 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>hypoték</w:t>
      </w:r>
      <w:r w:rsidR="00D0011E">
        <w:rPr>
          <w:rFonts w:ascii="Calibri" w:hAnsi="Calibri" w:cs="Calibri"/>
          <w:b/>
          <w:color w:val="13576B"/>
          <w:sz w:val="22"/>
          <w:szCs w:val="22"/>
        </w:rPr>
        <w:t>y</w:t>
      </w:r>
      <w:r w:rsidR="00A01D67">
        <w:rPr>
          <w:rFonts w:ascii="Calibri" w:hAnsi="Calibri" w:cs="Calibri"/>
          <w:b/>
          <w:color w:val="13576B"/>
          <w:sz w:val="22"/>
          <w:szCs w:val="22"/>
        </w:rPr>
        <w:t xml:space="preserve"> se</w:t>
      </w:r>
      <w:r w:rsidR="00C66586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4522D4">
        <w:rPr>
          <w:rFonts w:ascii="Calibri" w:hAnsi="Calibri" w:cs="Calibri"/>
          <w:b/>
          <w:color w:val="13576B"/>
          <w:sz w:val="22"/>
          <w:szCs w:val="22"/>
        </w:rPr>
        <w:t>zvýšila na 3,79 mil</w:t>
      </w:r>
      <w:r w:rsidR="00D736FB">
        <w:rPr>
          <w:rFonts w:ascii="Calibri" w:hAnsi="Calibri" w:cs="Calibri"/>
          <w:b/>
          <w:color w:val="13576B"/>
          <w:sz w:val="22"/>
          <w:szCs w:val="22"/>
        </w:rPr>
        <w:t>.</w:t>
      </w:r>
      <w:r w:rsidR="004522D4">
        <w:rPr>
          <w:rFonts w:ascii="Calibri" w:hAnsi="Calibri" w:cs="Calibri"/>
          <w:b/>
          <w:color w:val="13576B"/>
          <w:sz w:val="22"/>
          <w:szCs w:val="22"/>
        </w:rPr>
        <w:t xml:space="preserve"> Kč.</w:t>
      </w:r>
      <w:r w:rsidR="00AF261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Uvedené informace plynou z</w:t>
      </w:r>
      <w:r w:rsidR="0082687A" w:rsidRPr="00616069">
        <w:rPr>
          <w:rFonts w:ascii="Calibri" w:hAnsi="Calibri" w:cs="Calibri"/>
          <w:b/>
          <w:color w:val="13576B"/>
          <w:sz w:val="22"/>
          <w:szCs w:val="22"/>
        </w:rPr>
        <w:t xml:space="preserve"> údajů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ČBA </w:t>
      </w:r>
      <w:proofErr w:type="spellStart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Hypomonitoru</w:t>
      </w:r>
      <w:proofErr w:type="spellEnd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, který zachycuje data všech tuzemských bank a stavebních spořitelen poskytujících hypoteční úvěry.</w:t>
      </w:r>
      <w:r w:rsidR="00C45097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</w:p>
    <w:p w14:paraId="2341B0FD" w14:textId="77777777" w:rsidR="009450BA" w:rsidRPr="00616069" w:rsidRDefault="009450BA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20AA364A" w14:textId="02561D3C" w:rsidR="003C41DD" w:rsidRPr="00616069" w:rsidRDefault="009D674E" w:rsidP="00B14557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3" w:name="_Hlk119308342"/>
      <w:bookmarkStart w:id="4" w:name="_Hlk111121228"/>
      <w:r w:rsidRPr="00616069">
        <w:rPr>
          <w:rFonts w:ascii="Calibri" w:hAnsi="Calibri" w:cs="Calibri"/>
          <w:b/>
          <w:color w:val="13576B"/>
          <w:sz w:val="24"/>
          <w:szCs w:val="24"/>
        </w:rPr>
        <w:t>Objem po</w:t>
      </w:r>
      <w:r w:rsidR="00E733D4" w:rsidRPr="00616069">
        <w:rPr>
          <w:rFonts w:ascii="Calibri" w:hAnsi="Calibri" w:cs="Calibri"/>
          <w:b/>
          <w:color w:val="13576B"/>
          <w:sz w:val="24"/>
          <w:szCs w:val="24"/>
        </w:rPr>
        <w:t>s</w:t>
      </w:r>
      <w:r w:rsidRPr="00616069">
        <w:rPr>
          <w:rFonts w:ascii="Calibri" w:hAnsi="Calibri" w:cs="Calibri"/>
          <w:b/>
          <w:color w:val="13576B"/>
          <w:sz w:val="24"/>
          <w:szCs w:val="24"/>
        </w:rPr>
        <w:t>kytnutých hypoték</w:t>
      </w:r>
      <w:r w:rsidR="003C41DD" w:rsidRPr="00616069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bookmarkStart w:id="5" w:name="_Hlk119308363"/>
      <w:bookmarkEnd w:id="3"/>
      <w:r w:rsidR="00C66586">
        <w:rPr>
          <w:rFonts w:ascii="Calibri" w:hAnsi="Calibri" w:cs="Calibri"/>
          <w:b/>
          <w:color w:val="13576B"/>
          <w:sz w:val="24"/>
          <w:szCs w:val="24"/>
        </w:rPr>
        <w:t>se</w:t>
      </w:r>
      <w:r w:rsidR="00395F29">
        <w:rPr>
          <w:rFonts w:ascii="Calibri" w:hAnsi="Calibri" w:cs="Calibri"/>
          <w:b/>
          <w:color w:val="13576B"/>
          <w:sz w:val="24"/>
          <w:szCs w:val="24"/>
        </w:rPr>
        <w:t xml:space="preserve"> v říjnu mírně zvýšil </w:t>
      </w:r>
    </w:p>
    <w:p w14:paraId="6BD050E4" w14:textId="2E790567" w:rsidR="00FF3E5C" w:rsidRPr="00616069" w:rsidRDefault="00106451" w:rsidP="00B14557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>Banky a stavební spořitelny dle</w:t>
      </w:r>
      <w:r w:rsidR="00F852BE" w:rsidRPr="00616069">
        <w:rPr>
          <w:rFonts w:ascii="Calibri" w:hAnsi="Calibri" w:cs="Calibri"/>
          <w:sz w:val="22"/>
          <w:szCs w:val="22"/>
        </w:rPr>
        <w:t xml:space="preserve"> </w:t>
      </w:r>
      <w:r w:rsidRPr="00616069">
        <w:rPr>
          <w:rFonts w:ascii="Calibri" w:hAnsi="Calibri" w:cs="Calibri"/>
          <w:b/>
          <w:bCs/>
          <w:sz w:val="22"/>
          <w:szCs w:val="22"/>
        </w:rPr>
        <w:t xml:space="preserve">ČBA </w:t>
      </w:r>
      <w:proofErr w:type="spellStart"/>
      <w:r w:rsidRPr="00616069">
        <w:rPr>
          <w:rFonts w:ascii="Calibri" w:hAnsi="Calibri" w:cs="Calibri"/>
          <w:b/>
          <w:bCs/>
          <w:sz w:val="22"/>
          <w:szCs w:val="22"/>
        </w:rPr>
        <w:t>Hypomonitoru</w:t>
      </w:r>
      <w:proofErr w:type="spellEnd"/>
      <w:r w:rsidRPr="00616069">
        <w:rPr>
          <w:rFonts w:ascii="Calibri" w:hAnsi="Calibri" w:cs="Calibri"/>
          <w:sz w:val="22"/>
          <w:szCs w:val="22"/>
        </w:rPr>
        <w:t xml:space="preserve"> poskytly domácnostem </w:t>
      </w:r>
      <w:r w:rsidR="00BC1D46" w:rsidRPr="00616069">
        <w:rPr>
          <w:rFonts w:ascii="Calibri" w:hAnsi="Calibri" w:cs="Calibri"/>
          <w:sz w:val="22"/>
          <w:szCs w:val="22"/>
        </w:rPr>
        <w:t>v</w:t>
      </w:r>
      <w:r w:rsidR="005746F6">
        <w:rPr>
          <w:rFonts w:ascii="Calibri" w:hAnsi="Calibri" w:cs="Calibri"/>
          <w:sz w:val="22"/>
          <w:szCs w:val="22"/>
        </w:rPr>
        <w:t> </w:t>
      </w:r>
      <w:r w:rsidR="00395F29">
        <w:rPr>
          <w:rFonts w:ascii="Calibri" w:hAnsi="Calibri" w:cs="Calibri"/>
          <w:sz w:val="22"/>
          <w:szCs w:val="22"/>
        </w:rPr>
        <w:t>říjnu</w:t>
      </w:r>
      <w:r w:rsidR="005746F6">
        <w:rPr>
          <w:rFonts w:ascii="Calibri" w:hAnsi="Calibri" w:cs="Calibri"/>
          <w:sz w:val="22"/>
          <w:szCs w:val="22"/>
        </w:rPr>
        <w:t xml:space="preserve"> </w:t>
      </w:r>
      <w:r w:rsidRPr="00616069">
        <w:rPr>
          <w:rFonts w:ascii="Calibri" w:hAnsi="Calibri" w:cs="Calibri"/>
          <w:sz w:val="22"/>
          <w:szCs w:val="22"/>
        </w:rPr>
        <w:t>hypotéky v</w:t>
      </w:r>
      <w:r w:rsidR="00BE4444" w:rsidRPr="00616069">
        <w:rPr>
          <w:rFonts w:ascii="Calibri" w:hAnsi="Calibri" w:cs="Calibri"/>
          <w:sz w:val="22"/>
          <w:szCs w:val="22"/>
        </w:rPr>
        <w:t> </w:t>
      </w:r>
      <w:r w:rsidRPr="00616069">
        <w:rPr>
          <w:rFonts w:ascii="Calibri" w:hAnsi="Calibri" w:cs="Calibri"/>
          <w:sz w:val="22"/>
          <w:szCs w:val="22"/>
        </w:rPr>
        <w:t>objemu</w:t>
      </w:r>
      <w:r w:rsidR="00BE4444" w:rsidRPr="00616069">
        <w:rPr>
          <w:rFonts w:ascii="Calibri" w:hAnsi="Calibri" w:cs="Calibri"/>
          <w:sz w:val="22"/>
          <w:szCs w:val="22"/>
        </w:rPr>
        <w:t xml:space="preserve"> </w:t>
      </w:r>
      <w:r w:rsidR="00A81F02">
        <w:rPr>
          <w:rFonts w:ascii="Calibri" w:hAnsi="Calibri" w:cs="Calibri"/>
          <w:b/>
          <w:bCs/>
          <w:sz w:val="22"/>
          <w:szCs w:val="22"/>
        </w:rPr>
        <w:t>2</w:t>
      </w:r>
      <w:r w:rsidR="00395F29">
        <w:rPr>
          <w:rFonts w:ascii="Calibri" w:hAnsi="Calibri" w:cs="Calibri"/>
          <w:b/>
          <w:bCs/>
          <w:sz w:val="22"/>
          <w:szCs w:val="22"/>
        </w:rPr>
        <w:t>6</w:t>
      </w:r>
      <w:r w:rsidR="00D0011E">
        <w:rPr>
          <w:rFonts w:ascii="Calibri" w:hAnsi="Calibri" w:cs="Calibri"/>
          <w:b/>
          <w:bCs/>
          <w:sz w:val="22"/>
          <w:szCs w:val="22"/>
        </w:rPr>
        <w:t>,</w:t>
      </w:r>
      <w:r w:rsidR="00395F29">
        <w:rPr>
          <w:rFonts w:ascii="Calibri" w:hAnsi="Calibri" w:cs="Calibri"/>
          <w:b/>
          <w:bCs/>
          <w:sz w:val="22"/>
          <w:szCs w:val="22"/>
        </w:rPr>
        <w:t>35</w:t>
      </w:r>
      <w:r w:rsidR="00B230A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16069">
        <w:rPr>
          <w:rFonts w:ascii="Calibri" w:hAnsi="Calibri" w:cs="Calibri"/>
          <w:b/>
          <w:bCs/>
          <w:sz w:val="22"/>
          <w:szCs w:val="22"/>
        </w:rPr>
        <w:t>mld. Kč</w:t>
      </w:r>
      <w:bookmarkEnd w:id="5"/>
      <w:r w:rsidR="00E84DC4" w:rsidRPr="00616069">
        <w:rPr>
          <w:rFonts w:ascii="Calibri" w:hAnsi="Calibri" w:cs="Calibri"/>
          <w:b/>
          <w:bCs/>
          <w:sz w:val="22"/>
          <w:szCs w:val="22"/>
        </w:rPr>
        <w:t>.</w:t>
      </w:r>
      <w:r w:rsidR="005746F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6090E" w:rsidRPr="00616069">
        <w:rPr>
          <w:rFonts w:ascii="Calibri" w:hAnsi="Calibri" w:cs="Calibri"/>
          <w:b/>
          <w:bCs/>
          <w:sz w:val="22"/>
          <w:szCs w:val="22"/>
        </w:rPr>
        <w:t xml:space="preserve">Objem poskytnutých hypoték tak </w:t>
      </w:r>
      <w:r w:rsidR="008811FC" w:rsidRPr="00616069">
        <w:rPr>
          <w:rFonts w:ascii="Calibri" w:hAnsi="Calibri" w:cs="Calibri"/>
          <w:b/>
          <w:bCs/>
          <w:sz w:val="22"/>
          <w:szCs w:val="22"/>
        </w:rPr>
        <w:t>meziměsíčně</w:t>
      </w:r>
      <w:r w:rsidR="00AA4A2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95F29">
        <w:rPr>
          <w:rFonts w:ascii="Calibri" w:hAnsi="Calibri" w:cs="Calibri"/>
          <w:b/>
          <w:bCs/>
          <w:sz w:val="22"/>
          <w:szCs w:val="22"/>
        </w:rPr>
        <w:t>vzrostl</w:t>
      </w:r>
      <w:r w:rsidR="004908DB">
        <w:rPr>
          <w:rFonts w:ascii="Calibri" w:hAnsi="Calibri" w:cs="Calibri"/>
          <w:b/>
          <w:bCs/>
          <w:sz w:val="22"/>
          <w:szCs w:val="22"/>
        </w:rPr>
        <w:t xml:space="preserve"> o </w:t>
      </w:r>
      <w:r w:rsidR="00395F29">
        <w:rPr>
          <w:rFonts w:ascii="Calibri" w:hAnsi="Calibri" w:cs="Calibri"/>
          <w:b/>
          <w:bCs/>
          <w:sz w:val="22"/>
          <w:szCs w:val="22"/>
        </w:rPr>
        <w:t xml:space="preserve">2,1 mld. Kč, tj. 9 %. </w:t>
      </w:r>
      <w:r w:rsidR="00395F29" w:rsidRPr="00395F29">
        <w:rPr>
          <w:rFonts w:ascii="Calibri" w:hAnsi="Calibri" w:cs="Calibri"/>
          <w:sz w:val="22"/>
          <w:szCs w:val="22"/>
        </w:rPr>
        <w:t>Říjnová aktivita na hypotečním trhu však býv</w:t>
      </w:r>
      <w:r w:rsidR="00395F29">
        <w:rPr>
          <w:rFonts w:ascii="Calibri" w:hAnsi="Calibri" w:cs="Calibri"/>
          <w:sz w:val="22"/>
          <w:szCs w:val="22"/>
        </w:rPr>
        <w:t>á</w:t>
      </w:r>
      <w:r w:rsidR="00395F29" w:rsidRPr="00395F29">
        <w:rPr>
          <w:rFonts w:ascii="Calibri" w:hAnsi="Calibri" w:cs="Calibri"/>
          <w:sz w:val="22"/>
          <w:szCs w:val="22"/>
        </w:rPr>
        <w:t xml:space="preserve"> tradičně oproti září mírně příznivější a po zohlednění tohoto faktoru by objem poskytnutých hypoték </w:t>
      </w:r>
      <w:r w:rsidR="004C10E7">
        <w:rPr>
          <w:rFonts w:ascii="Calibri" w:hAnsi="Calibri" w:cs="Calibri"/>
          <w:sz w:val="22"/>
          <w:szCs w:val="22"/>
        </w:rPr>
        <w:t xml:space="preserve">meziměsíčně </w:t>
      </w:r>
      <w:r w:rsidR="003B4E23">
        <w:rPr>
          <w:rFonts w:ascii="Calibri" w:hAnsi="Calibri" w:cs="Calibri"/>
          <w:sz w:val="22"/>
          <w:szCs w:val="22"/>
        </w:rPr>
        <w:t>rostl v</w:t>
      </w:r>
      <w:r w:rsidR="004522D4">
        <w:rPr>
          <w:rFonts w:ascii="Calibri" w:hAnsi="Calibri" w:cs="Calibri"/>
          <w:sz w:val="22"/>
          <w:szCs w:val="22"/>
        </w:rPr>
        <w:t xml:space="preserve"> nižších</w:t>
      </w:r>
      <w:r w:rsidR="003B4E23">
        <w:rPr>
          <w:rFonts w:ascii="Calibri" w:hAnsi="Calibri" w:cs="Calibri"/>
          <w:sz w:val="22"/>
          <w:szCs w:val="22"/>
        </w:rPr>
        <w:t> jednotkách procent</w:t>
      </w:r>
      <w:r w:rsidR="00395F29">
        <w:rPr>
          <w:rFonts w:ascii="Calibri" w:hAnsi="Calibri" w:cs="Calibri"/>
          <w:sz w:val="22"/>
          <w:szCs w:val="22"/>
        </w:rPr>
        <w:t xml:space="preserve">. </w:t>
      </w:r>
      <w:bookmarkStart w:id="6" w:name="_Hlk119308385"/>
      <w:r w:rsidR="00C45097" w:rsidRPr="00C45097">
        <w:rPr>
          <w:rFonts w:ascii="Calibri" w:hAnsi="Calibri" w:cs="Calibri"/>
          <w:b/>
          <w:bCs/>
          <w:sz w:val="22"/>
          <w:szCs w:val="22"/>
        </w:rPr>
        <w:t>M</w:t>
      </w:r>
      <w:r w:rsidR="00AA4A27">
        <w:rPr>
          <w:rFonts w:ascii="Calibri" w:hAnsi="Calibri" w:cs="Calibri"/>
          <w:b/>
          <w:bCs/>
          <w:sz w:val="22"/>
          <w:szCs w:val="22"/>
        </w:rPr>
        <w:t>eziroční růst</w:t>
      </w:r>
      <w:r w:rsidR="007435D3">
        <w:rPr>
          <w:rFonts w:ascii="Calibri" w:hAnsi="Calibri" w:cs="Calibri"/>
          <w:b/>
          <w:bCs/>
          <w:sz w:val="22"/>
          <w:szCs w:val="22"/>
        </w:rPr>
        <w:t xml:space="preserve"> objemu</w:t>
      </w:r>
      <w:r w:rsidR="00E8112D">
        <w:rPr>
          <w:rFonts w:ascii="Calibri" w:hAnsi="Calibri" w:cs="Calibri"/>
          <w:b/>
          <w:bCs/>
          <w:sz w:val="22"/>
          <w:szCs w:val="22"/>
        </w:rPr>
        <w:t xml:space="preserve"> poskytnutých hypoték</w:t>
      </w:r>
      <w:r w:rsidR="007435D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96C06">
        <w:rPr>
          <w:rFonts w:ascii="Calibri" w:hAnsi="Calibri" w:cs="Calibri"/>
          <w:b/>
          <w:bCs/>
          <w:sz w:val="22"/>
          <w:szCs w:val="22"/>
        </w:rPr>
        <w:t xml:space="preserve">dosáhl </w:t>
      </w:r>
      <w:r w:rsidR="00395F29">
        <w:rPr>
          <w:rFonts w:ascii="Calibri" w:hAnsi="Calibri" w:cs="Calibri"/>
          <w:b/>
          <w:bCs/>
          <w:sz w:val="22"/>
          <w:szCs w:val="22"/>
        </w:rPr>
        <w:t>64</w:t>
      </w:r>
      <w:r w:rsidR="00896C06">
        <w:rPr>
          <w:rFonts w:ascii="Calibri" w:hAnsi="Calibri" w:cs="Calibri"/>
          <w:b/>
          <w:bCs/>
          <w:sz w:val="22"/>
          <w:szCs w:val="22"/>
        </w:rPr>
        <w:t xml:space="preserve"> % </w:t>
      </w:r>
      <w:r w:rsidR="003B4E23">
        <w:rPr>
          <w:rFonts w:ascii="Calibri" w:hAnsi="Calibri" w:cs="Calibri"/>
          <w:b/>
          <w:bCs/>
          <w:sz w:val="22"/>
          <w:szCs w:val="22"/>
        </w:rPr>
        <w:t xml:space="preserve">po </w:t>
      </w:r>
      <w:r w:rsidR="00395F29">
        <w:rPr>
          <w:rFonts w:ascii="Calibri" w:hAnsi="Calibri" w:cs="Calibri"/>
          <w:b/>
          <w:bCs/>
          <w:sz w:val="22"/>
          <w:szCs w:val="22"/>
        </w:rPr>
        <w:t>79</w:t>
      </w:r>
      <w:r w:rsidR="00896C06">
        <w:rPr>
          <w:rFonts w:ascii="Calibri" w:hAnsi="Calibri" w:cs="Calibri"/>
          <w:b/>
          <w:bCs/>
          <w:sz w:val="22"/>
          <w:szCs w:val="22"/>
        </w:rPr>
        <w:t xml:space="preserve"> % v</w:t>
      </w:r>
      <w:r w:rsidR="004522D4">
        <w:rPr>
          <w:rFonts w:ascii="Calibri" w:hAnsi="Calibri" w:cs="Calibri"/>
          <w:b/>
          <w:bCs/>
          <w:sz w:val="22"/>
          <w:szCs w:val="22"/>
        </w:rPr>
        <w:t> </w:t>
      </w:r>
      <w:r w:rsidR="00395F29">
        <w:rPr>
          <w:rFonts w:ascii="Calibri" w:hAnsi="Calibri" w:cs="Calibri"/>
          <w:b/>
          <w:bCs/>
          <w:sz w:val="22"/>
          <w:szCs w:val="22"/>
        </w:rPr>
        <w:t>září</w:t>
      </w:r>
      <w:r w:rsidR="004522D4">
        <w:rPr>
          <w:rFonts w:ascii="Calibri" w:hAnsi="Calibri" w:cs="Calibri"/>
          <w:b/>
          <w:bCs/>
          <w:sz w:val="22"/>
          <w:szCs w:val="22"/>
        </w:rPr>
        <w:t>.</w:t>
      </w:r>
      <w:r w:rsidR="00395F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22D4" w:rsidRPr="004D18AC">
        <w:rPr>
          <w:rFonts w:ascii="Calibri" w:hAnsi="Calibri" w:cs="Calibri"/>
          <w:sz w:val="22"/>
          <w:szCs w:val="22"/>
        </w:rPr>
        <w:t>P</w:t>
      </w:r>
      <w:r w:rsidR="00395F29" w:rsidRPr="004D18AC">
        <w:rPr>
          <w:rFonts w:ascii="Calibri" w:hAnsi="Calibri" w:cs="Calibri"/>
          <w:sz w:val="22"/>
          <w:szCs w:val="22"/>
        </w:rPr>
        <w:t xml:space="preserve">okles meziroční dynamiky je způsoben postupně zvyšující se srovnávací základnou. </w:t>
      </w:r>
      <w:bookmarkEnd w:id="6"/>
      <w:r w:rsidR="00C562B4" w:rsidRPr="004D18AC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C562B4">
        <w:rPr>
          <w:rFonts w:ascii="Calibri" w:hAnsi="Calibri" w:cs="Calibri"/>
          <w:b/>
          <w:bCs/>
          <w:sz w:val="22"/>
          <w:szCs w:val="22"/>
        </w:rPr>
        <w:t xml:space="preserve">ledna do </w:t>
      </w:r>
      <w:r w:rsidR="00395F29">
        <w:rPr>
          <w:rFonts w:ascii="Calibri" w:hAnsi="Calibri" w:cs="Calibri"/>
          <w:b/>
          <w:bCs/>
          <w:sz w:val="22"/>
          <w:szCs w:val="22"/>
        </w:rPr>
        <w:t>října</w:t>
      </w:r>
      <w:r w:rsidR="00F90EC0">
        <w:rPr>
          <w:rFonts w:ascii="Calibri" w:hAnsi="Calibri" w:cs="Calibri"/>
          <w:b/>
          <w:bCs/>
          <w:sz w:val="22"/>
          <w:szCs w:val="22"/>
        </w:rPr>
        <w:t xml:space="preserve"> je</w:t>
      </w:r>
      <w:r w:rsidR="00395F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562B4">
        <w:rPr>
          <w:rFonts w:ascii="Calibri" w:hAnsi="Calibri" w:cs="Calibri"/>
          <w:b/>
          <w:bCs/>
          <w:sz w:val="22"/>
          <w:szCs w:val="22"/>
        </w:rPr>
        <w:t xml:space="preserve">objem poskytnutých hypoték </w:t>
      </w:r>
      <w:r w:rsidR="00395F29">
        <w:rPr>
          <w:rFonts w:ascii="Calibri" w:hAnsi="Calibri" w:cs="Calibri"/>
          <w:b/>
          <w:bCs/>
          <w:sz w:val="22"/>
          <w:szCs w:val="22"/>
        </w:rPr>
        <w:t xml:space="preserve">meziročně o </w:t>
      </w:r>
      <w:r w:rsidR="00896C06">
        <w:rPr>
          <w:rFonts w:ascii="Calibri" w:hAnsi="Calibri" w:cs="Calibri"/>
          <w:b/>
          <w:bCs/>
          <w:sz w:val="22"/>
          <w:szCs w:val="22"/>
        </w:rPr>
        <w:t>90 %</w:t>
      </w:r>
      <w:r w:rsidR="00F90EC0">
        <w:rPr>
          <w:rFonts w:ascii="Calibri" w:hAnsi="Calibri" w:cs="Calibri"/>
          <w:b/>
          <w:bCs/>
          <w:sz w:val="22"/>
          <w:szCs w:val="22"/>
        </w:rPr>
        <w:t xml:space="preserve"> vyšší</w:t>
      </w:r>
      <w:r w:rsidR="00C562B4">
        <w:rPr>
          <w:rFonts w:ascii="Calibri" w:hAnsi="Calibri" w:cs="Calibri"/>
          <w:b/>
          <w:bCs/>
          <w:sz w:val="22"/>
          <w:szCs w:val="22"/>
        </w:rPr>
        <w:t>,</w:t>
      </w:r>
      <w:r w:rsidR="00E811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562B4">
        <w:rPr>
          <w:rFonts w:ascii="Calibri" w:hAnsi="Calibri" w:cs="Calibri"/>
          <w:b/>
          <w:bCs/>
          <w:sz w:val="22"/>
          <w:szCs w:val="22"/>
        </w:rPr>
        <w:t>počet poskytnutých hypoték</w:t>
      </w:r>
      <w:r w:rsidR="00896C06">
        <w:rPr>
          <w:rFonts w:ascii="Calibri" w:hAnsi="Calibri" w:cs="Calibri"/>
          <w:b/>
          <w:bCs/>
          <w:sz w:val="22"/>
          <w:szCs w:val="22"/>
        </w:rPr>
        <w:t xml:space="preserve"> pak </w:t>
      </w:r>
      <w:r w:rsidR="00395F29">
        <w:rPr>
          <w:rFonts w:ascii="Calibri" w:hAnsi="Calibri" w:cs="Calibri"/>
          <w:b/>
          <w:bCs/>
          <w:sz w:val="22"/>
          <w:szCs w:val="22"/>
        </w:rPr>
        <w:t xml:space="preserve">o 56 </w:t>
      </w:r>
      <w:r w:rsidR="00C562B4">
        <w:rPr>
          <w:rFonts w:ascii="Calibri" w:hAnsi="Calibri" w:cs="Calibri"/>
          <w:b/>
          <w:bCs/>
          <w:sz w:val="22"/>
          <w:szCs w:val="22"/>
        </w:rPr>
        <w:t>%.</w:t>
      </w:r>
    </w:p>
    <w:p w14:paraId="124D2D31" w14:textId="08AAD2E7" w:rsidR="00F61FFC" w:rsidRPr="00616069" w:rsidRDefault="00395F29" w:rsidP="000B0992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7" w:name="_Hlk119308742"/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05053" wp14:editId="1F568F77">
                <wp:simplePos x="0" y="0"/>
                <wp:positionH relativeFrom="margin">
                  <wp:posOffset>-2726</wp:posOffset>
                </wp:positionH>
                <wp:positionV relativeFrom="paragraph">
                  <wp:posOffset>117706</wp:posOffset>
                </wp:positionV>
                <wp:extent cx="6519545" cy="825500"/>
                <wp:effectExtent l="0" t="0" r="14605" b="12700"/>
                <wp:wrapTopAndBottom/>
                <wp:docPr id="1319296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8255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FBE90" w14:textId="77777777" w:rsidR="009A044E" w:rsidRPr="00A72DB7" w:rsidRDefault="009A044E" w:rsidP="009A044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1BD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„Hypoteční trh nadále vykazuje pozitivní oživení, poháněné příznivějším vývojem hypotečních sazeb a rostoucím objemem úvěrů. Vidíme zvýšený zájem o nemovitosti, což podpořila odložená poptávka a klesající sazby. Platí tedy, že od čtvrtého kvartálu loňského roku se atmosféra na hypotečním trhu už velmi výrazně zlepšila,“ </w:t>
                            </w:r>
                            <w:r w:rsidRPr="00AE1BD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uvádí Martin Vašek, generální ředitel a předseda představenstva ČSOB Hypoteční banky.</w:t>
                            </w:r>
                          </w:p>
                          <w:p w14:paraId="0B44AA3D" w14:textId="4CFA25BD" w:rsidR="00C16E21" w:rsidRPr="00A72DB7" w:rsidRDefault="00C16E21" w:rsidP="00C16E2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05053" id="Rectangle 1" o:spid="_x0000_s1026" style="position:absolute;left:0;text-align:left;margin-left:-.2pt;margin-top:9.25pt;width:513.35pt;height:6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" fillcolor="white [3201]" strokecolor="black [3213]" strokeweight=".5pt">
                <v:textbox>
                  <w:txbxContent>
                    <w:p w14:paraId="63EFBE90" w14:textId="77777777" w:rsidR="009A044E" w:rsidRPr="00A72DB7" w:rsidRDefault="009A044E" w:rsidP="009A044E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AE1BD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„Hypoteční trh nadále vykazuje pozitivní oživení, poháněné příznivějším vývojem hypotečních sazeb a rostoucím objemem úvěrů. Vidíme zvýšený zájem o nemovitosti, což podpořila odložená poptávka a klesající sazby. Platí tedy, že od čtvrtého kvartálu loňského roku se atmosféra na hypotečním trhu už velmi výrazně zlepšila,“ </w:t>
                      </w:r>
                      <w:r w:rsidRPr="00AE1BD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uvádí Martin Vašek, generální ředitel a předseda představenstva ČSOB Hypoteční banky.</w:t>
                      </w:r>
                    </w:p>
                    <w:p w14:paraId="0B44AA3D" w14:textId="4CFA25BD" w:rsidR="00C16E21" w:rsidRPr="00A72DB7" w:rsidRDefault="00C16E21" w:rsidP="00C16E21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6E04F7" w:rsidRPr="00616069">
        <w:rPr>
          <w:rFonts w:ascii="Calibri" w:hAnsi="Calibri" w:cs="Calibri"/>
          <w:b/>
          <w:color w:val="13576B"/>
          <w:sz w:val="23"/>
          <w:szCs w:val="23"/>
        </w:rPr>
        <w:t>Tabulka č. 1: Shrnutí objemu poskytnutých hypoték a průměrných úrokových sazeb za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700C93">
        <w:rPr>
          <w:rFonts w:ascii="Calibri" w:hAnsi="Calibri" w:cs="Calibri"/>
          <w:b/>
          <w:color w:val="13576B"/>
          <w:sz w:val="23"/>
          <w:szCs w:val="23"/>
        </w:rPr>
        <w:t>říjen</w:t>
      </w:r>
      <w:r w:rsidR="000F0342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6E04F7" w:rsidRPr="00616069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>4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616069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616069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28BCC108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700C93" w:rsidRPr="00616069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77777777" w:rsidR="00700C93" w:rsidRPr="00616069" w:rsidRDefault="00700C93" w:rsidP="00700C9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37FB69D1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41B8B7EB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7 217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6D8E42E3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4,87</w:t>
            </w:r>
          </w:p>
        </w:tc>
      </w:tr>
      <w:tr w:rsidR="00700C93" w:rsidRPr="00616069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700C93" w:rsidRPr="00616069" w:rsidRDefault="00700C93" w:rsidP="00700C93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3AE08A40" w:rsidR="00700C93" w:rsidRPr="00231F3A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21,8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51A94D95" w:rsidR="00700C93" w:rsidRPr="00231F3A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5 757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3DF7C1D8" w:rsidR="00700C93" w:rsidRPr="00231F3A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4,90</w:t>
            </w:r>
          </w:p>
        </w:tc>
      </w:tr>
      <w:tr w:rsidR="00700C93" w:rsidRPr="00616069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700C93" w:rsidRPr="00616069" w:rsidRDefault="00700C93" w:rsidP="00700C93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33D84D0B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6F1AF9DC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38DC8A4A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700C93" w:rsidRPr="00616069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4481CAD" w:rsidR="00700C93" w:rsidRPr="00616069" w:rsidRDefault="00700C93" w:rsidP="00700C93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42ED5172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2C3D63B0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4 606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173B93A8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4,89</w:t>
            </w:r>
          </w:p>
        </w:tc>
      </w:tr>
      <w:tr w:rsidR="00700C93" w:rsidRPr="00616069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77777777" w:rsidR="00700C93" w:rsidRPr="00616069" w:rsidRDefault="00700C93" w:rsidP="00700C93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012D4CD6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549C73E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328284AA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4,88</w:t>
            </w:r>
          </w:p>
        </w:tc>
      </w:tr>
      <w:tr w:rsidR="00700C93" w:rsidRPr="00616069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6B59A630" w:rsidR="00700C93" w:rsidRPr="00616069" w:rsidRDefault="00700C93" w:rsidP="00700C93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24A6746B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5D091558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6ED3077C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5,12</w:t>
            </w:r>
          </w:p>
        </w:tc>
      </w:tr>
      <w:tr w:rsidR="00700C93" w:rsidRPr="00616069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700C93" w:rsidRPr="00616069" w:rsidRDefault="00700C93" w:rsidP="00700C93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2BFF663A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77EA1C61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552678EA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4,74</w:t>
            </w:r>
          </w:p>
        </w:tc>
      </w:tr>
      <w:tr w:rsidR="00700C93" w:rsidRPr="00616069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733CDA02" w:rsidR="00700C93" w:rsidRPr="00616069" w:rsidRDefault="00700C93" w:rsidP="00700C93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6459A4A1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46C32D5F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4A562FF6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4,84</w:t>
            </w:r>
          </w:p>
        </w:tc>
      </w:tr>
      <w:tr w:rsidR="006E04F7" w:rsidRPr="00616069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A28A" w14:textId="06A4E2B8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61606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61606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56BD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7D8871E8" w14:textId="1C698C09" w:rsidR="000B0992" w:rsidRDefault="000B0992" w:rsidP="00237E0B">
      <w:pPr>
        <w:spacing w:before="120" w:after="120"/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5224A0" wp14:editId="64AF3614">
                <wp:simplePos x="0" y="0"/>
                <wp:positionH relativeFrom="margin">
                  <wp:posOffset>-3999</wp:posOffset>
                </wp:positionH>
                <wp:positionV relativeFrom="paragraph">
                  <wp:posOffset>59158</wp:posOffset>
                </wp:positionV>
                <wp:extent cx="6519545" cy="919480"/>
                <wp:effectExtent l="0" t="0" r="14605" b="13970"/>
                <wp:wrapNone/>
                <wp:docPr id="709082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91948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4BAE1" w14:textId="5F07F4FE" w:rsidR="000B0992" w:rsidRPr="00100394" w:rsidRDefault="000B0992" w:rsidP="000B0992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8" w:name="_Hlk169018185"/>
                            <w:bookmarkStart w:id="9" w:name="_Hlk169018186"/>
                            <w:r w:rsidRPr="00420070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bookmarkEnd w:id="8"/>
                            <w:bookmarkEnd w:id="9"/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H</w:t>
                            </w:r>
                            <w:r w:rsidRPr="004C10E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ypoteční trh postupně ožívá a odhlédneme-li od mimořádného srpna, kdy se v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si</w:t>
                            </w:r>
                            <w:r w:rsidR="006E2EFD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né</w:t>
                            </w:r>
                            <w:r w:rsidRPr="004C10E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aktivitě na trhu projevily i nastávající legislativní změny týkající se podmínek předčasného splacení hypotéky mimo dobu fixace, je říjnový objem poskytnutých hypoték nejvyšší v letošním roce a zároveň nejvyšší od </w:t>
                            </w:r>
                            <w:r w:rsidR="004D18AC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začátku </w:t>
                            </w:r>
                            <w:r w:rsidRPr="004C10E7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roku 2022</w:t>
                            </w:r>
                            <w:r w:rsidRPr="00420070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,“ </w:t>
                            </w:r>
                            <w:r w:rsidRPr="0042007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říká Jakub Seidler, hlavní ekonom České bankovní asociace.</w:t>
                            </w:r>
                          </w:p>
                          <w:p w14:paraId="7F42339C" w14:textId="77777777" w:rsidR="000B0992" w:rsidRPr="00616069" w:rsidRDefault="000B0992" w:rsidP="000B0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224A0" id="_x0000_s1027" style="position:absolute;left:0;text-align:left;margin-left:-.3pt;margin-top:4.65pt;width:513.35pt;height:72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" fillcolor="white [3201]" strokecolor="black [3213]" strokeweight=".5pt">
                <v:textbox>
                  <w:txbxContent>
                    <w:p w14:paraId="7DC4BAE1" w14:textId="5F07F4FE" w:rsidR="000B0992" w:rsidRPr="00100394" w:rsidRDefault="000B0992" w:rsidP="000B0992">
                      <w:pPr>
                        <w:rPr>
                          <w:b/>
                          <w:bCs/>
                        </w:rPr>
                      </w:pPr>
                      <w:bookmarkStart w:id="10" w:name="_Hlk169018185"/>
                      <w:bookmarkStart w:id="11" w:name="_Hlk169018186"/>
                      <w:r w:rsidRPr="00420070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bookmarkEnd w:id="10"/>
                      <w:bookmarkEnd w:id="11"/>
                      <w:r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H</w:t>
                      </w:r>
                      <w:r w:rsidRPr="004C10E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ypoteční trh postupně ožívá a odhlédneme-li od mimořádného srpna, kdy se v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si</w:t>
                      </w:r>
                      <w:r w:rsidR="006E2EFD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né</w:t>
                      </w:r>
                      <w:r w:rsidRPr="004C10E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aktivitě na trhu projevily i nastávající legislativní změny týkající se podmínek předčasného splacení hypotéky mimo dobu fixace, je říjnový objem poskytnutých hypoték nejvyšší v letošním roce a zároveň nejvyšší od </w:t>
                      </w:r>
                      <w:r w:rsidR="004D18AC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začátku </w:t>
                      </w:r>
                      <w:r w:rsidRPr="004C10E7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>roku 2022</w:t>
                      </w:r>
                      <w:r w:rsidRPr="00420070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,“ </w:t>
                      </w:r>
                      <w:r w:rsidRPr="00420070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říká Jakub Seidler, hlavní ekonom České bankovní asociace.</w:t>
                      </w:r>
                    </w:p>
                    <w:p w14:paraId="7F42339C" w14:textId="77777777" w:rsidR="000B0992" w:rsidRPr="00616069" w:rsidRDefault="000B0992" w:rsidP="000B0992"/>
                  </w:txbxContent>
                </v:textbox>
                <w10:wrap anchorx="margin"/>
              </v:rect>
            </w:pict>
          </mc:Fallback>
        </mc:AlternateContent>
      </w:r>
    </w:p>
    <w:p w14:paraId="299E7C25" w14:textId="77777777" w:rsidR="000B0992" w:rsidRDefault="000B0992" w:rsidP="00237E0B">
      <w:pPr>
        <w:spacing w:before="120" w:after="120"/>
        <w:rPr>
          <w:rFonts w:ascii="Calibri" w:hAnsi="Calibri" w:cs="Calibri"/>
          <w:b/>
          <w:bCs/>
          <w:sz w:val="22"/>
          <w:szCs w:val="22"/>
        </w:rPr>
      </w:pPr>
    </w:p>
    <w:p w14:paraId="5CF3BD85" w14:textId="77777777" w:rsidR="000B0992" w:rsidRDefault="000B0992" w:rsidP="00237E0B">
      <w:pPr>
        <w:spacing w:before="120" w:after="120"/>
        <w:rPr>
          <w:rFonts w:ascii="Calibri" w:hAnsi="Calibri" w:cs="Calibri"/>
          <w:b/>
          <w:bCs/>
          <w:sz w:val="22"/>
          <w:szCs w:val="22"/>
        </w:rPr>
      </w:pPr>
    </w:p>
    <w:p w14:paraId="27BA4ADE" w14:textId="2416631D" w:rsidR="00237E0B" w:rsidRDefault="00412A2D" w:rsidP="00237E0B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O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bjem skutečně nově poskytnutých hypoték bez refinancování v</w:t>
      </w:r>
      <w:r w:rsidR="00F06185">
        <w:rPr>
          <w:rFonts w:ascii="Calibri" w:hAnsi="Calibri" w:cs="Calibri"/>
          <w:b/>
          <w:bCs/>
          <w:sz w:val="22"/>
          <w:szCs w:val="22"/>
        </w:rPr>
        <w:t> </w:t>
      </w:r>
      <w:r w:rsidR="004522D4">
        <w:rPr>
          <w:rFonts w:ascii="Calibri" w:hAnsi="Calibri" w:cs="Calibri"/>
          <w:b/>
          <w:bCs/>
          <w:sz w:val="22"/>
          <w:szCs w:val="22"/>
        </w:rPr>
        <w:t>říjnu</w:t>
      </w:r>
      <w:r w:rsidR="00F061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dosáhl </w:t>
      </w:r>
      <w:r w:rsidR="004522D4">
        <w:rPr>
          <w:rFonts w:ascii="Calibri" w:hAnsi="Calibri" w:cs="Calibri"/>
          <w:b/>
          <w:bCs/>
          <w:sz w:val="22"/>
          <w:szCs w:val="22"/>
        </w:rPr>
        <w:t>21</w:t>
      </w:r>
      <w:r w:rsidR="00352D4E">
        <w:rPr>
          <w:rFonts w:ascii="Calibri" w:hAnsi="Calibri" w:cs="Calibri"/>
          <w:b/>
          <w:bCs/>
          <w:sz w:val="22"/>
          <w:szCs w:val="22"/>
        </w:rPr>
        <w:t>,</w:t>
      </w:r>
      <w:r w:rsidR="004522D4">
        <w:rPr>
          <w:rFonts w:ascii="Calibri" w:hAnsi="Calibri" w:cs="Calibri"/>
          <w:b/>
          <w:bCs/>
          <w:sz w:val="22"/>
          <w:szCs w:val="22"/>
        </w:rPr>
        <w:t>8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mld. K</w:t>
      </w:r>
      <w:r w:rsidR="00944CB3">
        <w:rPr>
          <w:rFonts w:ascii="Calibri" w:hAnsi="Calibri" w:cs="Calibri"/>
          <w:b/>
          <w:bCs/>
          <w:sz w:val="22"/>
          <w:szCs w:val="22"/>
        </w:rPr>
        <w:t>č</w:t>
      </w:r>
      <w:r w:rsidR="00D24E61">
        <w:rPr>
          <w:rFonts w:ascii="Calibri" w:hAnsi="Calibri" w:cs="Calibri"/>
          <w:b/>
          <w:bCs/>
          <w:sz w:val="22"/>
          <w:szCs w:val="22"/>
        </w:rPr>
        <w:t>.</w:t>
      </w:r>
      <w:r w:rsidR="00F06185">
        <w:rPr>
          <w:rFonts w:ascii="Calibri" w:hAnsi="Calibri" w:cs="Calibri"/>
          <w:b/>
          <w:bCs/>
          <w:sz w:val="22"/>
          <w:szCs w:val="22"/>
        </w:rPr>
        <w:t xml:space="preserve"> Meziměsíčně se </w:t>
      </w:r>
      <w:r w:rsidR="007435D3">
        <w:rPr>
          <w:rFonts w:ascii="Calibri" w:hAnsi="Calibri" w:cs="Calibri"/>
          <w:b/>
          <w:bCs/>
          <w:sz w:val="22"/>
          <w:szCs w:val="22"/>
        </w:rPr>
        <w:t xml:space="preserve">tak </w:t>
      </w:r>
      <w:r w:rsidR="00F06185">
        <w:rPr>
          <w:rFonts w:ascii="Calibri" w:hAnsi="Calibri" w:cs="Calibri"/>
          <w:b/>
          <w:bCs/>
          <w:sz w:val="22"/>
          <w:szCs w:val="22"/>
        </w:rPr>
        <w:t xml:space="preserve">objem </w:t>
      </w:r>
      <w:r w:rsidR="004522D4">
        <w:rPr>
          <w:rFonts w:ascii="Calibri" w:hAnsi="Calibri" w:cs="Calibri"/>
          <w:b/>
          <w:bCs/>
          <w:sz w:val="22"/>
          <w:szCs w:val="22"/>
        </w:rPr>
        <w:t>zvýšil</w:t>
      </w:r>
      <w:r w:rsidR="00E74759">
        <w:rPr>
          <w:rFonts w:ascii="Calibri" w:hAnsi="Calibri" w:cs="Calibri"/>
          <w:b/>
          <w:bCs/>
          <w:sz w:val="22"/>
          <w:szCs w:val="22"/>
        </w:rPr>
        <w:t xml:space="preserve"> o </w:t>
      </w:r>
      <w:r w:rsidR="004522D4">
        <w:rPr>
          <w:rFonts w:ascii="Calibri" w:hAnsi="Calibri" w:cs="Calibri"/>
          <w:b/>
          <w:bCs/>
          <w:sz w:val="22"/>
          <w:szCs w:val="22"/>
        </w:rPr>
        <w:t>2,1</w:t>
      </w:r>
      <w:r w:rsidR="00E74759">
        <w:rPr>
          <w:rFonts w:ascii="Calibri" w:hAnsi="Calibri" w:cs="Calibri"/>
          <w:b/>
          <w:bCs/>
          <w:sz w:val="22"/>
          <w:szCs w:val="22"/>
        </w:rPr>
        <w:t xml:space="preserve"> mld. Kč, tj. </w:t>
      </w:r>
      <w:r w:rsidR="004522D4">
        <w:rPr>
          <w:rFonts w:ascii="Calibri" w:hAnsi="Calibri" w:cs="Calibri"/>
          <w:b/>
          <w:bCs/>
          <w:sz w:val="22"/>
          <w:szCs w:val="22"/>
        </w:rPr>
        <w:t xml:space="preserve">10,8 %.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Počet nově poskytnutých hypoték dosáhl </w:t>
      </w:r>
      <w:r w:rsidR="004522D4">
        <w:rPr>
          <w:rFonts w:ascii="Calibri" w:hAnsi="Calibri" w:cs="Calibri"/>
          <w:b/>
          <w:bCs/>
          <w:sz w:val="22"/>
          <w:szCs w:val="22"/>
        </w:rPr>
        <w:t>5 757</w:t>
      </w:r>
      <w:r w:rsidR="003E0FC6">
        <w:rPr>
          <w:rFonts w:ascii="Calibri" w:hAnsi="Calibri" w:cs="Calibri"/>
          <w:b/>
          <w:bCs/>
          <w:sz w:val="22"/>
          <w:szCs w:val="22"/>
        </w:rPr>
        <w:t>,</w:t>
      </w:r>
      <w:r w:rsidR="00BE5DF3">
        <w:rPr>
          <w:rFonts w:ascii="Calibri" w:hAnsi="Calibri" w:cs="Calibri"/>
          <w:b/>
          <w:bCs/>
          <w:sz w:val="22"/>
          <w:szCs w:val="22"/>
        </w:rPr>
        <w:t xml:space="preserve"> což </w:t>
      </w:r>
      <w:r w:rsidR="00E74759">
        <w:rPr>
          <w:rFonts w:ascii="Calibri" w:hAnsi="Calibri" w:cs="Calibri"/>
          <w:b/>
          <w:bCs/>
          <w:sz w:val="22"/>
          <w:szCs w:val="22"/>
        </w:rPr>
        <w:t xml:space="preserve">je hodnota </w:t>
      </w:r>
      <w:r w:rsidR="004522D4">
        <w:rPr>
          <w:rFonts w:ascii="Calibri" w:hAnsi="Calibri" w:cs="Calibri"/>
          <w:b/>
          <w:bCs/>
          <w:sz w:val="22"/>
          <w:szCs w:val="22"/>
        </w:rPr>
        <w:t xml:space="preserve">o 10 % vyšší než v září a o 40 % vyšší než před rokem. </w:t>
      </w:r>
      <w:r w:rsidR="004522D4" w:rsidRPr="004522D4">
        <w:rPr>
          <w:rFonts w:ascii="Calibri" w:hAnsi="Calibri" w:cs="Calibri"/>
          <w:sz w:val="22"/>
          <w:szCs w:val="22"/>
        </w:rPr>
        <w:t>O</w:t>
      </w:r>
      <w:r w:rsidR="00655662" w:rsidRPr="00616069">
        <w:rPr>
          <w:rFonts w:ascii="Calibri" w:hAnsi="Calibri" w:cs="Calibri"/>
          <w:sz w:val="22"/>
          <w:szCs w:val="22"/>
        </w:rPr>
        <w:t xml:space="preserve">bjem refinancovaných úvěrů (interně či z jiné instituce) </w:t>
      </w:r>
      <w:r w:rsidR="00655662">
        <w:rPr>
          <w:rFonts w:ascii="Calibri" w:hAnsi="Calibri" w:cs="Calibri"/>
          <w:sz w:val="22"/>
          <w:szCs w:val="22"/>
        </w:rPr>
        <w:t>se p</w:t>
      </w:r>
      <w:r w:rsidR="00E74759">
        <w:rPr>
          <w:rFonts w:ascii="Calibri" w:hAnsi="Calibri" w:cs="Calibri"/>
          <w:sz w:val="22"/>
          <w:szCs w:val="22"/>
        </w:rPr>
        <w:t>o jednorázovém srpnovém růstu snížil</w:t>
      </w:r>
      <w:r w:rsidR="004522D4">
        <w:rPr>
          <w:rFonts w:ascii="Calibri" w:hAnsi="Calibri" w:cs="Calibri"/>
          <w:sz w:val="22"/>
          <w:szCs w:val="22"/>
        </w:rPr>
        <w:t xml:space="preserve"> a v říjnu setrval na zářijové hodnotě 4,6 mld. Kč. </w:t>
      </w:r>
      <w:r w:rsidR="00655662" w:rsidRPr="00616069">
        <w:rPr>
          <w:rFonts w:ascii="Calibri" w:hAnsi="Calibri" w:cs="Calibri"/>
          <w:sz w:val="22"/>
          <w:szCs w:val="22"/>
        </w:rPr>
        <w:t xml:space="preserve">Podíl refinancovaných úvěrů na celkovém objemu poskytnutých hypoték </w:t>
      </w:r>
      <w:r w:rsidR="00655662">
        <w:rPr>
          <w:rFonts w:ascii="Calibri" w:hAnsi="Calibri" w:cs="Calibri"/>
          <w:sz w:val="22"/>
          <w:szCs w:val="22"/>
        </w:rPr>
        <w:t xml:space="preserve">se </w:t>
      </w:r>
      <w:r w:rsidR="004522D4">
        <w:rPr>
          <w:rFonts w:ascii="Calibri" w:hAnsi="Calibri" w:cs="Calibri"/>
          <w:sz w:val="22"/>
          <w:szCs w:val="22"/>
        </w:rPr>
        <w:t>tak s</w:t>
      </w:r>
      <w:r w:rsidR="00E74759">
        <w:rPr>
          <w:rFonts w:ascii="Calibri" w:hAnsi="Calibri" w:cs="Calibri"/>
          <w:sz w:val="22"/>
          <w:szCs w:val="22"/>
        </w:rPr>
        <w:t xml:space="preserve">nížil </w:t>
      </w:r>
      <w:r w:rsidR="004522D4">
        <w:rPr>
          <w:rFonts w:ascii="Calibri" w:hAnsi="Calibri" w:cs="Calibri"/>
          <w:sz w:val="22"/>
          <w:szCs w:val="22"/>
        </w:rPr>
        <w:t>na 17,3 %, zatímco v </w:t>
      </w:r>
      <w:r w:rsidR="00E74759">
        <w:rPr>
          <w:rFonts w:ascii="Calibri" w:hAnsi="Calibri" w:cs="Calibri"/>
          <w:sz w:val="22"/>
          <w:szCs w:val="22"/>
        </w:rPr>
        <w:t>srpn</w:t>
      </w:r>
      <w:r w:rsidR="004522D4">
        <w:rPr>
          <w:rFonts w:ascii="Calibri" w:hAnsi="Calibri" w:cs="Calibri"/>
          <w:sz w:val="22"/>
          <w:szCs w:val="22"/>
        </w:rPr>
        <w:t>u činil</w:t>
      </w:r>
      <w:r w:rsidR="00E74759">
        <w:rPr>
          <w:rFonts w:ascii="Calibri" w:hAnsi="Calibri" w:cs="Calibri"/>
          <w:sz w:val="22"/>
          <w:szCs w:val="22"/>
        </w:rPr>
        <w:t xml:space="preserve"> </w:t>
      </w:r>
      <w:r w:rsidR="00655662">
        <w:rPr>
          <w:rFonts w:ascii="Calibri" w:hAnsi="Calibri" w:cs="Calibri"/>
          <w:sz w:val="22"/>
          <w:szCs w:val="22"/>
        </w:rPr>
        <w:t>20,7 %</w:t>
      </w:r>
      <w:r w:rsidR="00E74759">
        <w:rPr>
          <w:rFonts w:ascii="Calibri" w:hAnsi="Calibri" w:cs="Calibri"/>
          <w:sz w:val="22"/>
          <w:szCs w:val="22"/>
        </w:rPr>
        <w:t xml:space="preserve"> </w:t>
      </w:r>
      <w:r w:rsidR="004522D4">
        <w:rPr>
          <w:rFonts w:ascii="Calibri" w:hAnsi="Calibri" w:cs="Calibri"/>
          <w:sz w:val="22"/>
          <w:szCs w:val="22"/>
        </w:rPr>
        <w:t>a</w:t>
      </w:r>
      <w:r w:rsidR="006E2EFD">
        <w:rPr>
          <w:rFonts w:ascii="Calibri" w:hAnsi="Calibri" w:cs="Calibri"/>
          <w:sz w:val="22"/>
          <w:szCs w:val="22"/>
        </w:rPr>
        <w:t xml:space="preserve"> v</w:t>
      </w:r>
      <w:r w:rsidR="004522D4">
        <w:rPr>
          <w:rFonts w:ascii="Calibri" w:hAnsi="Calibri" w:cs="Calibri"/>
          <w:sz w:val="22"/>
          <w:szCs w:val="22"/>
        </w:rPr>
        <w:t xml:space="preserve"> září </w:t>
      </w:r>
      <w:r w:rsidR="00E74759">
        <w:rPr>
          <w:rFonts w:ascii="Calibri" w:hAnsi="Calibri" w:cs="Calibri"/>
          <w:sz w:val="22"/>
          <w:szCs w:val="22"/>
        </w:rPr>
        <w:t>18,8 %.</w:t>
      </w:r>
    </w:p>
    <w:bookmarkEnd w:id="1"/>
    <w:bookmarkEnd w:id="4"/>
    <w:bookmarkEnd w:id="7"/>
    <w:p w14:paraId="3B023611" w14:textId="77777777" w:rsidR="000B0992" w:rsidRDefault="000B0992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A1704D2" w14:textId="518373E7" w:rsidR="009A044E" w:rsidRP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9A044E">
        <w:rPr>
          <w:rFonts w:ascii="Calibri" w:hAnsi="Calibri" w:cs="Calibri"/>
          <w:b/>
          <w:color w:val="13576B"/>
          <w:sz w:val="23"/>
          <w:szCs w:val="23"/>
        </w:rPr>
        <w:t>Průměrná hypoteční sazba se dále snížila</w:t>
      </w:r>
    </w:p>
    <w:p w14:paraId="4020C23B" w14:textId="152BF2C6" w:rsidR="009A044E" w:rsidRPr="00616069" w:rsidRDefault="009A044E" w:rsidP="009A044E">
      <w:pPr>
        <w:rPr>
          <w:rFonts w:ascii="Calibri" w:hAnsi="Calibri" w:cs="Calibri"/>
          <w:sz w:val="22"/>
          <w:szCs w:val="22"/>
        </w:rPr>
      </w:pPr>
      <w:bookmarkStart w:id="12" w:name="_Hlk119309111"/>
      <w:r w:rsidRPr="009A044E">
        <w:rPr>
          <w:rFonts w:ascii="Calibri" w:hAnsi="Calibri" w:cs="Calibri"/>
          <w:b/>
          <w:bCs/>
          <w:sz w:val="22"/>
          <w:szCs w:val="22"/>
        </w:rPr>
        <w:t xml:space="preserve">Úroková sazba u skutečně nově poskytnutých hypotečních úvěrů pokračovala v říjnu v mírném poklesu a dosáhla 4,9 % po 4,96 % v září. V posledních třech měsících se tak po více než dvou letech opět dostala pod 5% hranici. </w:t>
      </w:r>
      <w:bookmarkEnd w:id="12"/>
      <w:r w:rsidRPr="009A044E">
        <w:rPr>
          <w:rFonts w:ascii="Calibri" w:hAnsi="Calibri" w:cs="Calibri"/>
          <w:sz w:val="22"/>
          <w:szCs w:val="22"/>
        </w:rPr>
        <w:t>Realizované úrokové sazby na rozdíl od cen nabídkových reflektují skutečnou reálnou úrokovou sazbu u podepsaných hypotečních smluv.</w:t>
      </w:r>
      <w:r w:rsidRPr="00616069">
        <w:rPr>
          <w:rFonts w:ascii="Calibri" w:hAnsi="Calibri" w:cs="Calibri"/>
          <w:sz w:val="22"/>
          <w:szCs w:val="22"/>
        </w:rPr>
        <w:t xml:space="preserve"> </w:t>
      </w:r>
    </w:p>
    <w:p w14:paraId="270B6825" w14:textId="6EDD495A" w:rsidR="00251393" w:rsidRPr="00616069" w:rsidRDefault="00251393" w:rsidP="007826E0">
      <w:pPr>
        <w:rPr>
          <w:rFonts w:ascii="Calibri" w:hAnsi="Calibri" w:cs="Calibri"/>
          <w:sz w:val="22"/>
          <w:szCs w:val="22"/>
        </w:rPr>
      </w:pPr>
    </w:p>
    <w:p w14:paraId="6492840A" w14:textId="7120B866" w:rsidR="005874B8" w:rsidRPr="00616069" w:rsidRDefault="005874B8" w:rsidP="005874B8">
      <w:pPr>
        <w:spacing w:after="120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Graf č. 1: Průměrná hypoteční sazba – nové obchody</w:t>
      </w:r>
    </w:p>
    <w:p w14:paraId="63E0611A" w14:textId="30D28529" w:rsidR="005874B8" w:rsidRPr="00616069" w:rsidRDefault="00700C93" w:rsidP="005874B8">
      <w:pPr>
        <w:rPr>
          <w:rFonts w:ascii="Calibri" w:hAnsi="Calibri" w:cs="Calibri"/>
          <w:sz w:val="22"/>
          <w:szCs w:val="22"/>
        </w:rPr>
      </w:pPr>
      <w:r w:rsidRPr="00700C9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74B42EC" wp14:editId="7A2AD643">
            <wp:extent cx="4680000" cy="2635340"/>
            <wp:effectExtent l="0" t="0" r="6350" b="0"/>
            <wp:docPr id="1697210461" name="Picture 1" descr="A graph of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10461" name="Picture 1" descr="A graph of a number of data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6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0ABF" w14:textId="5D5C3360" w:rsidR="005874B8" w:rsidRPr="00616069" w:rsidRDefault="005874B8" w:rsidP="005874B8">
      <w:pPr>
        <w:rPr>
          <w:rFonts w:ascii="Calibri" w:hAnsi="Calibri" w:cs="Calibri"/>
          <w:sz w:val="22"/>
          <w:szCs w:val="22"/>
        </w:rPr>
      </w:pPr>
    </w:p>
    <w:p w14:paraId="649D0E1D" w14:textId="65FAEA0B" w:rsidR="00AC7487" w:rsidRDefault="00A84D9C" w:rsidP="00AB48D1">
      <w:pPr>
        <w:rPr>
          <w:rFonts w:ascii="Calibri" w:hAnsi="Calibri" w:cs="Calibri"/>
          <w:b/>
          <w:bCs/>
          <w:sz w:val="22"/>
          <w:szCs w:val="22"/>
        </w:rPr>
      </w:pPr>
      <w:bookmarkStart w:id="13" w:name="_Hlk137652102"/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D2F1B" wp14:editId="3B9AE63C">
                <wp:simplePos x="0" y="0"/>
                <wp:positionH relativeFrom="margin">
                  <wp:posOffset>-38369</wp:posOffset>
                </wp:positionH>
                <wp:positionV relativeFrom="paragraph">
                  <wp:posOffset>1193970</wp:posOffset>
                </wp:positionV>
                <wp:extent cx="6519545" cy="1109980"/>
                <wp:effectExtent l="0" t="0" r="14605" b="13970"/>
                <wp:wrapTopAndBottom/>
                <wp:docPr id="870128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10998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FF558" w14:textId="77777777" w:rsidR="009A044E" w:rsidRPr="00143BF5" w:rsidRDefault="009A044E" w:rsidP="009A04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1C43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„Po srpnovém extrému se objemy nových hypoték stabilizovaly. Stále častěji klienti na hypotéku spěchají, dá se tedy usuzovat, že na trhu s nemovitostmi přituhuje a kupující soutěží o dostupné nemovitosti. Na druhou stranu sledujeme paradox, kdy ČNB nadále snižuje úrokové sazby, nicméně cena peněz pro 3leté či 5leté fixace roste a je dnes prakticky stejná, jako na začátku tohoto roku. To zásadně zabrzdí další možný pokles úrokových sazeb hypoték v nejbližším období a nevylučuje to ani jejich mírný růst,“ </w:t>
                            </w:r>
                            <w:r w:rsidRPr="00AE1BD3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uvedl Milan Voldřich, manažer hypotečních úvěrů </w:t>
                            </w:r>
                            <w:proofErr w:type="spellStart"/>
                            <w:r w:rsidRPr="00AE1BD3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Raiffeissenbank</w:t>
                            </w:r>
                            <w:proofErr w:type="spellEnd"/>
                            <w:r w:rsidRPr="00AE1BD3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D0F8AD9" w14:textId="5F4A565C" w:rsidR="000E087A" w:rsidRPr="00143BF5" w:rsidRDefault="000E087A" w:rsidP="000E087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D2F1B" id="_x0000_s1028" style="position:absolute;left:0;text-align:left;margin-left:-3pt;margin-top:94pt;width:513.35pt;height:87.4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" fillcolor="white [3201]" strokecolor="black [3213]" strokeweight=".5pt">
                <v:textbox>
                  <w:txbxContent>
                    <w:p w14:paraId="41DFF558" w14:textId="77777777" w:rsidR="009A044E" w:rsidRPr="00143BF5" w:rsidRDefault="009A044E" w:rsidP="009A044E">
                      <w:pPr>
                        <w:rPr>
                          <w:b/>
                          <w:bCs/>
                        </w:rPr>
                      </w:pPr>
                      <w:r w:rsidRPr="00F61C43">
                        <w:rPr>
                          <w:rFonts w:ascii="Calibri" w:eastAsia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„Po srpnovém extrému se objemy nových hypoték stabilizovaly. Stále častěji klienti na hypotéku spěchají, dá se tedy usuzovat, že na trhu s nemovitostmi přituhuje a kupující soutěží o dostupné nemovitosti. Na druhou stranu sledujeme paradox, kdy ČNB nadále snižuje úrokové sazby, nicméně cena peněz pro 3leté či 5leté fixace roste a je dnes prakticky stejná, jako na začátku tohoto roku. To zásadně zabrzdí další možný pokles úrokových sazeb hypoték v nejbližším období a nevylučuje to ani jejich mírný růst,“ </w:t>
                      </w:r>
                      <w:r w:rsidRPr="00AE1BD3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uvedl Milan Voldřich, manažer hypotečních úvěrů </w:t>
                      </w:r>
                      <w:proofErr w:type="spellStart"/>
                      <w:r w:rsidRPr="00AE1BD3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Raiffeissenbank</w:t>
                      </w:r>
                      <w:proofErr w:type="spellEnd"/>
                      <w:r w:rsidRPr="00AE1BD3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D0F8AD9" w14:textId="5F4A565C" w:rsidR="000E087A" w:rsidRPr="00143BF5" w:rsidRDefault="000E087A" w:rsidP="000E087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AC7487" w:rsidRPr="00100394">
        <w:rPr>
          <w:rFonts w:ascii="Calibri" w:hAnsi="Calibri" w:cs="Calibri"/>
          <w:b/>
          <w:bCs/>
          <w:sz w:val="22"/>
          <w:szCs w:val="22"/>
        </w:rPr>
        <w:t>Hypoteční sazby reagují s</w:t>
      </w:r>
      <w:r w:rsidR="00EF1944" w:rsidRPr="00100394">
        <w:rPr>
          <w:rFonts w:ascii="Calibri" w:hAnsi="Calibri" w:cs="Calibri"/>
          <w:b/>
          <w:bCs/>
          <w:sz w:val="22"/>
          <w:szCs w:val="22"/>
        </w:rPr>
        <w:t xml:space="preserve"> několikaměsíčním </w:t>
      </w:r>
      <w:r w:rsidR="00AC7487" w:rsidRPr="00100394">
        <w:rPr>
          <w:rFonts w:ascii="Calibri" w:hAnsi="Calibri" w:cs="Calibri"/>
          <w:b/>
          <w:bCs/>
          <w:sz w:val="22"/>
          <w:szCs w:val="22"/>
        </w:rPr>
        <w:t>zpožděním především na vývoj tržních úrokových sazeb delších splatností.</w:t>
      </w:r>
      <w:r w:rsidR="00AC7487" w:rsidRPr="00616069">
        <w:rPr>
          <w:rFonts w:ascii="Calibri" w:hAnsi="Calibri" w:cs="Calibri"/>
          <w:sz w:val="22"/>
          <w:szCs w:val="22"/>
        </w:rPr>
        <w:t xml:space="preserve"> Promítá se do nich řada faktorů </w:t>
      </w:r>
      <w:r w:rsidR="00AC7487" w:rsidRPr="00616069">
        <w:rPr>
          <w:rFonts w:ascii="Calibri" w:hAnsi="Calibri" w:cs="Calibri"/>
        </w:rPr>
        <w:t>–</w:t>
      </w:r>
      <w:r w:rsidR="00AC7487" w:rsidRPr="00616069">
        <w:rPr>
          <w:rFonts w:ascii="Calibri" w:hAnsi="Calibri" w:cs="Calibri"/>
          <w:sz w:val="22"/>
          <w:szCs w:val="22"/>
        </w:rPr>
        <w:t xml:space="preserve"> nejen očekáváný vývoj základních sazeb ČNB, ale i výhled na inflaci, ekonomický vývoj či dynamika obdobných úrokových sazeb v zahraničí. </w:t>
      </w:r>
      <w:bookmarkStart w:id="14" w:name="_Hlk119309144"/>
      <w:r w:rsidR="00AC7487" w:rsidRPr="00616069">
        <w:rPr>
          <w:rFonts w:ascii="Calibri" w:hAnsi="Calibri" w:cs="Calibri"/>
          <w:sz w:val="22"/>
          <w:szCs w:val="22"/>
        </w:rPr>
        <w:t>Zmíněné tržní úrokové sazby delších splatností</w:t>
      </w:r>
      <w:r w:rsidR="00AC7487" w:rsidRPr="00616069">
        <w:rPr>
          <w:rStyle w:val="Znakapoznpodarou"/>
          <w:rFonts w:ascii="Calibri" w:hAnsi="Calibri" w:cs="Calibri"/>
          <w:i/>
          <w:iCs/>
          <w:sz w:val="22"/>
          <w:szCs w:val="22"/>
        </w:rPr>
        <w:footnoteReference w:id="1"/>
      </w:r>
      <w:r w:rsidR="00AC7487" w:rsidRPr="00616069">
        <w:rPr>
          <w:rFonts w:ascii="Calibri" w:hAnsi="Calibri" w:cs="Calibri"/>
          <w:sz w:val="22"/>
          <w:szCs w:val="22"/>
        </w:rPr>
        <w:t xml:space="preserve"> </w:t>
      </w:r>
      <w:r w:rsidR="00BD4509">
        <w:rPr>
          <w:rFonts w:ascii="Calibri" w:hAnsi="Calibri" w:cs="Calibri"/>
          <w:sz w:val="22"/>
          <w:szCs w:val="22"/>
        </w:rPr>
        <w:t>jsou v posledním období citelně rozkolísan</w:t>
      </w:r>
      <w:r w:rsidR="007E0678">
        <w:rPr>
          <w:rFonts w:ascii="Calibri" w:hAnsi="Calibri" w:cs="Calibri"/>
          <w:sz w:val="22"/>
          <w:szCs w:val="22"/>
        </w:rPr>
        <w:t>é</w:t>
      </w:r>
      <w:r w:rsidR="00BD4509">
        <w:rPr>
          <w:rFonts w:ascii="Calibri" w:hAnsi="Calibri" w:cs="Calibri"/>
          <w:sz w:val="22"/>
          <w:szCs w:val="22"/>
        </w:rPr>
        <w:t xml:space="preserve"> a reagují do velké míry na očekávání trhů spojené s vývojem sazeb </w:t>
      </w:r>
      <w:proofErr w:type="spellStart"/>
      <w:r w:rsidR="00BD4509">
        <w:rPr>
          <w:rFonts w:ascii="Calibri" w:hAnsi="Calibri" w:cs="Calibri"/>
          <w:sz w:val="22"/>
          <w:szCs w:val="22"/>
        </w:rPr>
        <w:t>Fedu</w:t>
      </w:r>
      <w:proofErr w:type="spellEnd"/>
      <w:r>
        <w:rPr>
          <w:rFonts w:ascii="Calibri" w:hAnsi="Calibri" w:cs="Calibri"/>
          <w:sz w:val="22"/>
          <w:szCs w:val="22"/>
        </w:rPr>
        <w:t>. Ačkoli jejich průměrná zářijová hodnota byla nejnižší v letošním roce, od října začaly tyto sazby opět růst a jejich průměrná říjnová hodnota byla o zhruba 0,3 p.</w:t>
      </w:r>
      <w:r w:rsidR="006E2EF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b. </w:t>
      </w:r>
      <w:bookmarkEnd w:id="14"/>
      <w:r>
        <w:rPr>
          <w:rFonts w:ascii="Calibri" w:hAnsi="Calibri" w:cs="Calibri"/>
          <w:sz w:val="22"/>
          <w:szCs w:val="22"/>
        </w:rPr>
        <w:t>vyšší než v září.</w:t>
      </w:r>
    </w:p>
    <w:bookmarkEnd w:id="13"/>
    <w:p w14:paraId="5578E9B0" w14:textId="22BB211B" w:rsidR="00F61FFC" w:rsidRPr="00616069" w:rsidRDefault="00F61FFC" w:rsidP="00AB48D1">
      <w:pPr>
        <w:rPr>
          <w:rFonts w:ascii="Calibri" w:hAnsi="Calibri" w:cs="Calibri"/>
          <w:sz w:val="22"/>
          <w:szCs w:val="22"/>
        </w:rPr>
      </w:pPr>
    </w:p>
    <w:p w14:paraId="5AD5C9B2" w14:textId="77777777" w:rsidR="00A84D9C" w:rsidRDefault="00A84D9C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15" w:name="_Hlk100672905"/>
    </w:p>
    <w:p w14:paraId="72E83631" w14:textId="25721D6C" w:rsidR="00B04FE2" w:rsidRPr="00616069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r w:rsidRPr="00616069">
        <w:rPr>
          <w:rFonts w:ascii="Calibri" w:hAnsi="Calibri" w:cs="Calibri"/>
          <w:b/>
          <w:color w:val="13576B"/>
          <w:sz w:val="24"/>
          <w:szCs w:val="24"/>
        </w:rPr>
        <w:lastRenderedPageBreak/>
        <w:t xml:space="preserve">Průměrná velikost </w:t>
      </w:r>
      <w:r w:rsidR="00D73AAF" w:rsidRPr="00616069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DE4BD0">
        <w:rPr>
          <w:rFonts w:ascii="Calibri" w:hAnsi="Calibri" w:cs="Calibri"/>
          <w:b/>
          <w:color w:val="13576B"/>
          <w:sz w:val="24"/>
          <w:szCs w:val="24"/>
        </w:rPr>
        <w:t>se v</w:t>
      </w:r>
      <w:r w:rsidR="00A84D9C">
        <w:rPr>
          <w:rFonts w:ascii="Calibri" w:hAnsi="Calibri" w:cs="Calibri"/>
          <w:b/>
          <w:color w:val="13576B"/>
          <w:sz w:val="24"/>
          <w:szCs w:val="24"/>
        </w:rPr>
        <w:t> říjnu dále mírně zvýšila</w:t>
      </w:r>
    </w:p>
    <w:p w14:paraId="3A9CA915" w14:textId="5F1DF690" w:rsidR="00280AB4" w:rsidRPr="00EA73BA" w:rsidRDefault="00B04FE2" w:rsidP="00280AB4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EA73BA">
        <w:rPr>
          <w:rFonts w:ascii="Calibri" w:hAnsi="Calibri" w:cs="Calibri"/>
          <w:b/>
          <w:bCs/>
          <w:sz w:val="22"/>
          <w:szCs w:val="22"/>
        </w:rPr>
        <w:t xml:space="preserve">Průměrná výše hypotéky </w:t>
      </w:r>
      <w:r w:rsidR="00BC1D46" w:rsidRPr="00EA73BA">
        <w:rPr>
          <w:rFonts w:ascii="Calibri" w:hAnsi="Calibri" w:cs="Calibri"/>
          <w:b/>
          <w:bCs/>
          <w:sz w:val="22"/>
          <w:szCs w:val="22"/>
        </w:rPr>
        <w:t>v</w:t>
      </w:r>
      <w:r w:rsidR="00A84D9C">
        <w:rPr>
          <w:rFonts w:ascii="Calibri" w:hAnsi="Calibri" w:cs="Calibri"/>
          <w:b/>
          <w:bCs/>
          <w:sz w:val="22"/>
          <w:szCs w:val="22"/>
        </w:rPr>
        <w:t xml:space="preserve"> říjnu dosáhla </w:t>
      </w:r>
      <w:r w:rsidR="007877DC">
        <w:rPr>
          <w:rFonts w:ascii="Calibri" w:hAnsi="Calibri" w:cs="Calibri"/>
          <w:b/>
          <w:bCs/>
          <w:sz w:val="22"/>
          <w:szCs w:val="22"/>
        </w:rPr>
        <w:t>3,</w:t>
      </w:r>
      <w:r w:rsidR="00A0482C">
        <w:rPr>
          <w:rFonts w:ascii="Calibri" w:hAnsi="Calibri" w:cs="Calibri"/>
          <w:b/>
          <w:bCs/>
          <w:sz w:val="22"/>
          <w:szCs w:val="22"/>
        </w:rPr>
        <w:t>7</w:t>
      </w:r>
      <w:r w:rsidR="00A84D9C">
        <w:rPr>
          <w:rFonts w:ascii="Calibri" w:hAnsi="Calibri" w:cs="Calibri"/>
          <w:b/>
          <w:bCs/>
          <w:sz w:val="22"/>
          <w:szCs w:val="22"/>
        </w:rPr>
        <w:t>9</w:t>
      </w:r>
      <w:r w:rsidR="00A048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84D9C">
        <w:rPr>
          <w:rFonts w:ascii="Calibri" w:hAnsi="Calibri" w:cs="Calibri"/>
          <w:b/>
          <w:bCs/>
          <w:sz w:val="22"/>
          <w:szCs w:val="22"/>
        </w:rPr>
        <w:t>po</w:t>
      </w:r>
      <w:r w:rsidR="007877DC">
        <w:rPr>
          <w:rFonts w:ascii="Calibri" w:hAnsi="Calibri" w:cs="Calibri"/>
          <w:b/>
          <w:bCs/>
          <w:sz w:val="22"/>
          <w:szCs w:val="22"/>
        </w:rPr>
        <w:t xml:space="preserve"> 3,</w:t>
      </w:r>
      <w:r w:rsidR="00A84D9C">
        <w:rPr>
          <w:rFonts w:ascii="Calibri" w:hAnsi="Calibri" w:cs="Calibri"/>
          <w:b/>
          <w:bCs/>
          <w:sz w:val="22"/>
          <w:szCs w:val="22"/>
        </w:rPr>
        <w:t>76</w:t>
      </w:r>
      <w:r w:rsidR="00A048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877DC">
        <w:rPr>
          <w:rFonts w:ascii="Calibri" w:hAnsi="Calibri" w:cs="Calibri"/>
          <w:b/>
          <w:bCs/>
          <w:sz w:val="22"/>
          <w:szCs w:val="22"/>
        </w:rPr>
        <w:t>mil</w:t>
      </w:r>
      <w:r w:rsidR="00E76B64">
        <w:rPr>
          <w:rFonts w:ascii="Calibri" w:hAnsi="Calibri" w:cs="Calibri"/>
          <w:b/>
          <w:bCs/>
          <w:sz w:val="22"/>
          <w:szCs w:val="22"/>
        </w:rPr>
        <w:t>.</w:t>
      </w:r>
      <w:r w:rsidR="007877DC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="008D169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770D8">
        <w:rPr>
          <w:rFonts w:ascii="Calibri" w:hAnsi="Calibri" w:cs="Calibri"/>
          <w:b/>
          <w:bCs/>
          <w:sz w:val="22"/>
          <w:szCs w:val="22"/>
        </w:rPr>
        <w:t>v</w:t>
      </w:r>
      <w:r w:rsidR="00A84D9C">
        <w:rPr>
          <w:rFonts w:ascii="Calibri" w:hAnsi="Calibri" w:cs="Calibri"/>
          <w:b/>
          <w:bCs/>
          <w:sz w:val="22"/>
          <w:szCs w:val="22"/>
        </w:rPr>
        <w:t> </w:t>
      </w:r>
      <w:r w:rsidR="008D1695">
        <w:rPr>
          <w:rFonts w:ascii="Calibri" w:hAnsi="Calibri" w:cs="Calibri"/>
          <w:b/>
          <w:bCs/>
          <w:sz w:val="22"/>
          <w:szCs w:val="22"/>
        </w:rPr>
        <w:t>září</w:t>
      </w:r>
      <w:r w:rsidR="00A84D9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D1695">
        <w:rPr>
          <w:rFonts w:ascii="Calibri" w:hAnsi="Calibri" w:cs="Calibri"/>
          <w:b/>
          <w:bCs/>
          <w:sz w:val="22"/>
          <w:szCs w:val="22"/>
        </w:rPr>
        <w:t>Odhlédneme-li od</w:t>
      </w:r>
      <w:r w:rsidR="000770D8">
        <w:rPr>
          <w:rFonts w:ascii="Calibri" w:hAnsi="Calibri" w:cs="Calibri"/>
          <w:b/>
          <w:bCs/>
          <w:sz w:val="22"/>
          <w:szCs w:val="22"/>
        </w:rPr>
        <w:t xml:space="preserve"> mimořád</w:t>
      </w:r>
      <w:r w:rsidR="00A84D9C">
        <w:rPr>
          <w:rFonts w:ascii="Calibri" w:hAnsi="Calibri" w:cs="Calibri"/>
          <w:b/>
          <w:bCs/>
          <w:sz w:val="22"/>
          <w:szCs w:val="22"/>
        </w:rPr>
        <w:t xml:space="preserve">né hodnoty v srpnu, </w:t>
      </w:r>
      <w:r w:rsidR="00F343CC">
        <w:rPr>
          <w:rFonts w:ascii="Calibri" w:hAnsi="Calibri" w:cs="Calibri"/>
          <w:b/>
          <w:bCs/>
          <w:sz w:val="22"/>
          <w:szCs w:val="22"/>
        </w:rPr>
        <w:t xml:space="preserve">průměrná výše hypotéky </w:t>
      </w:r>
      <w:r w:rsidR="008D1695">
        <w:rPr>
          <w:rFonts w:ascii="Calibri" w:hAnsi="Calibri" w:cs="Calibri"/>
          <w:b/>
          <w:bCs/>
          <w:sz w:val="22"/>
          <w:szCs w:val="22"/>
        </w:rPr>
        <w:t xml:space="preserve">od dubna postupně roste a </w:t>
      </w:r>
      <w:r w:rsidR="00F343CC">
        <w:rPr>
          <w:rFonts w:ascii="Calibri" w:hAnsi="Calibri" w:cs="Calibri"/>
          <w:b/>
          <w:bCs/>
          <w:sz w:val="22"/>
          <w:szCs w:val="22"/>
        </w:rPr>
        <w:t xml:space="preserve">převyšuje </w:t>
      </w:r>
      <w:r w:rsidR="007877DC">
        <w:rPr>
          <w:rFonts w:ascii="Calibri" w:hAnsi="Calibri" w:cs="Calibri"/>
          <w:b/>
          <w:bCs/>
          <w:sz w:val="22"/>
          <w:szCs w:val="22"/>
        </w:rPr>
        <w:t>dosavadní rekordní úroveň z listopadu 2021 ve výši 3,46 mil</w:t>
      </w:r>
      <w:r w:rsidR="00E76B64">
        <w:rPr>
          <w:rFonts w:ascii="Calibri" w:hAnsi="Calibri" w:cs="Calibri"/>
          <w:b/>
          <w:bCs/>
          <w:sz w:val="22"/>
          <w:szCs w:val="22"/>
        </w:rPr>
        <w:t>.</w:t>
      </w:r>
      <w:r w:rsidR="007877DC">
        <w:rPr>
          <w:rFonts w:ascii="Calibri" w:hAnsi="Calibri" w:cs="Calibri"/>
          <w:b/>
          <w:bCs/>
          <w:sz w:val="22"/>
          <w:szCs w:val="22"/>
        </w:rPr>
        <w:t xml:space="preserve"> Kč.</w:t>
      </w:r>
      <w:r w:rsidR="00783BA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D4931" w:rsidRPr="00EA73BA">
        <w:rPr>
          <w:rFonts w:ascii="Calibri" w:hAnsi="Calibri" w:cs="Calibri"/>
          <w:sz w:val="22"/>
          <w:szCs w:val="22"/>
        </w:rPr>
        <w:t xml:space="preserve"> </w:t>
      </w:r>
      <w:r w:rsidR="00783BA7">
        <w:rPr>
          <w:rFonts w:ascii="Calibri" w:hAnsi="Calibri" w:cs="Calibri"/>
          <w:sz w:val="22"/>
          <w:szCs w:val="22"/>
        </w:rPr>
        <w:t xml:space="preserve">Dosáhnout na vyšší hypotéku umožňuje postupný pokles hypotečních sazeb či uvolnění </w:t>
      </w:r>
      <w:proofErr w:type="spellStart"/>
      <w:r w:rsidR="00783BA7">
        <w:rPr>
          <w:rFonts w:ascii="Calibri" w:hAnsi="Calibri" w:cs="Calibri"/>
          <w:sz w:val="22"/>
          <w:szCs w:val="22"/>
        </w:rPr>
        <w:t>makroobezřetnostních</w:t>
      </w:r>
      <w:proofErr w:type="spellEnd"/>
      <w:r w:rsidR="00783BA7">
        <w:rPr>
          <w:rFonts w:ascii="Calibri" w:hAnsi="Calibri" w:cs="Calibri"/>
          <w:sz w:val="22"/>
          <w:szCs w:val="22"/>
        </w:rPr>
        <w:t xml:space="preserve"> příjmových limitů ze strany ČNB společně s postupným růstem reálných příjmů domácností. Výše hypotéky pak souvisí také s vývojem cen nemovitostí, které byly</w:t>
      </w:r>
      <w:r w:rsidR="00F343CC">
        <w:rPr>
          <w:rFonts w:ascii="Calibri" w:hAnsi="Calibri" w:cs="Calibri"/>
          <w:sz w:val="22"/>
          <w:szCs w:val="22"/>
        </w:rPr>
        <w:t xml:space="preserve"> v</w:t>
      </w:r>
      <w:r w:rsidR="00507747">
        <w:rPr>
          <w:rFonts w:ascii="Calibri" w:hAnsi="Calibri" w:cs="Calibri"/>
          <w:sz w:val="22"/>
          <w:szCs w:val="22"/>
        </w:rPr>
        <w:t xml:space="preserve"> </w:t>
      </w:r>
      <w:r w:rsidR="000770D8">
        <w:rPr>
          <w:rFonts w:ascii="Calibri" w:hAnsi="Calibri" w:cs="Calibri"/>
          <w:sz w:val="22"/>
          <w:szCs w:val="22"/>
        </w:rPr>
        <w:t>2</w:t>
      </w:r>
      <w:r w:rsidR="00F343CC">
        <w:rPr>
          <w:rFonts w:ascii="Calibri" w:hAnsi="Calibri" w:cs="Calibri"/>
          <w:sz w:val="22"/>
          <w:szCs w:val="22"/>
        </w:rPr>
        <w:t>. čtvrtletí letošního roku</w:t>
      </w:r>
      <w:r w:rsidR="00EA73BA">
        <w:rPr>
          <w:rFonts w:ascii="Calibri" w:hAnsi="Calibri" w:cs="Calibri"/>
          <w:sz w:val="22"/>
          <w:szCs w:val="22"/>
        </w:rPr>
        <w:t xml:space="preserve"> o</w:t>
      </w:r>
      <w:r w:rsidR="00100394">
        <w:rPr>
          <w:rFonts w:ascii="Calibri" w:hAnsi="Calibri" w:cs="Calibri"/>
          <w:sz w:val="22"/>
          <w:szCs w:val="22"/>
        </w:rPr>
        <w:t xml:space="preserve"> </w:t>
      </w:r>
      <w:r w:rsidR="00507747">
        <w:rPr>
          <w:rFonts w:ascii="Calibri" w:hAnsi="Calibri" w:cs="Calibri"/>
          <w:sz w:val="22"/>
          <w:szCs w:val="22"/>
        </w:rPr>
        <w:t xml:space="preserve">zhruba </w:t>
      </w:r>
      <w:r w:rsidR="00100394">
        <w:rPr>
          <w:rFonts w:ascii="Calibri" w:hAnsi="Calibri" w:cs="Calibri"/>
          <w:sz w:val="22"/>
          <w:szCs w:val="22"/>
        </w:rPr>
        <w:t>10</w:t>
      </w:r>
      <w:r w:rsidR="00EA73BA">
        <w:rPr>
          <w:rFonts w:ascii="Calibri" w:hAnsi="Calibri" w:cs="Calibri"/>
          <w:sz w:val="22"/>
          <w:szCs w:val="22"/>
        </w:rPr>
        <w:t xml:space="preserve"> </w:t>
      </w:r>
      <w:r w:rsidR="00100394">
        <w:rPr>
          <w:rFonts w:ascii="Calibri" w:hAnsi="Calibri" w:cs="Calibri"/>
          <w:sz w:val="22"/>
          <w:szCs w:val="22"/>
        </w:rPr>
        <w:t xml:space="preserve">% </w:t>
      </w:r>
      <w:r w:rsidR="00EA73BA">
        <w:rPr>
          <w:rFonts w:ascii="Calibri" w:hAnsi="Calibri" w:cs="Calibri"/>
          <w:sz w:val="22"/>
          <w:szCs w:val="22"/>
        </w:rPr>
        <w:t>vyšší, než v posledním čtvrtletí roku 2021</w:t>
      </w:r>
      <w:r w:rsidR="00C257EC">
        <w:rPr>
          <w:rFonts w:ascii="Calibri" w:hAnsi="Calibri" w:cs="Calibri"/>
          <w:sz w:val="22"/>
          <w:szCs w:val="22"/>
        </w:rPr>
        <w:t>, a pokračovaly</w:t>
      </w:r>
      <w:r w:rsidR="00E57208">
        <w:rPr>
          <w:rFonts w:ascii="Calibri" w:hAnsi="Calibri" w:cs="Calibri"/>
          <w:sz w:val="22"/>
          <w:szCs w:val="22"/>
        </w:rPr>
        <w:t xml:space="preserve"> dle předběžných dat</w:t>
      </w:r>
      <w:r w:rsidR="00C257EC">
        <w:rPr>
          <w:rFonts w:ascii="Calibri" w:hAnsi="Calibri" w:cs="Calibri"/>
          <w:sz w:val="22"/>
          <w:szCs w:val="22"/>
        </w:rPr>
        <w:t xml:space="preserve"> v růstu i ve </w:t>
      </w:r>
      <w:r w:rsidR="008D1695">
        <w:rPr>
          <w:rFonts w:ascii="Calibri" w:hAnsi="Calibri" w:cs="Calibri"/>
          <w:sz w:val="22"/>
          <w:szCs w:val="22"/>
        </w:rPr>
        <w:t>3</w:t>
      </w:r>
      <w:r w:rsidR="00C257EC">
        <w:rPr>
          <w:rFonts w:ascii="Calibri" w:hAnsi="Calibri" w:cs="Calibri"/>
          <w:sz w:val="22"/>
          <w:szCs w:val="22"/>
        </w:rPr>
        <w:t>. čtvrtletí.</w:t>
      </w:r>
    </w:p>
    <w:p w14:paraId="5173F03C" w14:textId="3BD7E1E5" w:rsidR="00B04FE2" w:rsidRPr="00616069" w:rsidRDefault="00280AB4" w:rsidP="00B04FE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  <w:r w:rsidRPr="00EA73BA">
        <w:rPr>
          <w:rFonts w:ascii="Calibri" w:hAnsi="Calibri" w:cs="Calibri"/>
          <w:sz w:val="22"/>
          <w:szCs w:val="22"/>
        </w:rPr>
        <w:t>S</w:t>
      </w:r>
      <w:r w:rsidR="00B04FE2" w:rsidRPr="00EA73BA">
        <w:rPr>
          <w:rFonts w:ascii="Calibri" w:hAnsi="Calibri" w:cs="Calibri"/>
          <w:sz w:val="22"/>
          <w:szCs w:val="22"/>
        </w:rPr>
        <w:t>cénáře vývoje měsíční splátky pro různé délky splatnosti hypotéky udává tabulka č. 2. Z ní je patrné, že růst hypotečních sazeb o jeden procentní bod znamená pro průměrnou velikost hypotéky zvýšení měsíční splátky o</w:t>
      </w:r>
      <w:r w:rsidR="00AF1CFD" w:rsidRPr="00EA73BA">
        <w:rPr>
          <w:rFonts w:ascii="Calibri" w:hAnsi="Calibri" w:cs="Calibri"/>
          <w:sz w:val="22"/>
          <w:szCs w:val="22"/>
        </w:rPr>
        <w:t xml:space="preserve"> zhruba</w:t>
      </w:r>
      <w:r w:rsidR="00B04FE2" w:rsidRPr="00EA73BA">
        <w:rPr>
          <w:rFonts w:ascii="Calibri" w:hAnsi="Calibri" w:cs="Calibri"/>
          <w:sz w:val="22"/>
          <w:szCs w:val="22"/>
        </w:rPr>
        <w:t xml:space="preserve"> </w:t>
      </w:r>
      <w:r w:rsidR="001B39D3" w:rsidRPr="00EA73BA">
        <w:rPr>
          <w:rFonts w:ascii="Calibri" w:hAnsi="Calibri" w:cs="Calibri"/>
          <w:sz w:val="22"/>
          <w:szCs w:val="22"/>
        </w:rPr>
        <w:t xml:space="preserve">2 </w:t>
      </w:r>
      <w:r w:rsidR="00B04FE2" w:rsidRPr="00EA73BA">
        <w:rPr>
          <w:rFonts w:ascii="Calibri" w:hAnsi="Calibri" w:cs="Calibri"/>
          <w:sz w:val="22"/>
          <w:szCs w:val="22"/>
        </w:rPr>
        <w:t>tisíce Kč. Ve srovnání s </w:t>
      </w:r>
      <w:proofErr w:type="gramStart"/>
      <w:r w:rsidR="00B04FE2" w:rsidRPr="00EA73BA">
        <w:rPr>
          <w:rFonts w:ascii="Calibri" w:hAnsi="Calibri" w:cs="Calibri"/>
          <w:sz w:val="22"/>
          <w:szCs w:val="22"/>
        </w:rPr>
        <w:t>2%</w:t>
      </w:r>
      <w:proofErr w:type="gramEnd"/>
      <w:r w:rsidR="00B04FE2" w:rsidRPr="00EA73BA">
        <w:rPr>
          <w:rFonts w:ascii="Calibri" w:hAnsi="Calibri" w:cs="Calibri"/>
          <w:sz w:val="22"/>
          <w:szCs w:val="22"/>
        </w:rPr>
        <w:t xml:space="preserve"> úrokovou sazbou, která byla na trhu běžná v dřívějších letech, </w:t>
      </w:r>
      <w:r w:rsidR="001C698F" w:rsidRPr="00EA73BA">
        <w:rPr>
          <w:rFonts w:ascii="Calibri" w:hAnsi="Calibri" w:cs="Calibri"/>
          <w:sz w:val="22"/>
          <w:szCs w:val="22"/>
        </w:rPr>
        <w:t xml:space="preserve">tak </w:t>
      </w:r>
      <w:r w:rsidR="00B04FE2" w:rsidRPr="00EA73BA">
        <w:rPr>
          <w:rFonts w:ascii="Calibri" w:hAnsi="Calibri" w:cs="Calibri"/>
          <w:sz w:val="22"/>
          <w:szCs w:val="22"/>
        </w:rPr>
        <w:t>znamená</w:t>
      </w:r>
      <w:r w:rsidR="00B10C3C" w:rsidRPr="00EA73BA">
        <w:rPr>
          <w:rFonts w:ascii="Calibri" w:hAnsi="Calibri" w:cs="Calibri"/>
          <w:sz w:val="22"/>
          <w:szCs w:val="22"/>
        </w:rPr>
        <w:t xml:space="preserve"> současná </w:t>
      </w:r>
      <w:r w:rsidR="00B04FE2" w:rsidRPr="00EA73BA">
        <w:rPr>
          <w:rFonts w:ascii="Calibri" w:hAnsi="Calibri" w:cs="Calibri"/>
          <w:sz w:val="22"/>
          <w:szCs w:val="22"/>
        </w:rPr>
        <w:t xml:space="preserve">hypoteční sazba nárůst měsíční splátky u průměrné hypotéky </w:t>
      </w:r>
      <w:r w:rsidR="00914CD2" w:rsidRPr="00EA73BA">
        <w:rPr>
          <w:rFonts w:ascii="Calibri" w:hAnsi="Calibri" w:cs="Calibri"/>
          <w:sz w:val="22"/>
          <w:szCs w:val="22"/>
        </w:rPr>
        <w:t xml:space="preserve">zhruba </w:t>
      </w:r>
      <w:r w:rsidR="00C87645" w:rsidRPr="00EA73BA">
        <w:rPr>
          <w:rFonts w:ascii="Calibri" w:hAnsi="Calibri" w:cs="Calibri"/>
          <w:sz w:val="22"/>
          <w:szCs w:val="22"/>
        </w:rPr>
        <w:t xml:space="preserve">o </w:t>
      </w:r>
      <w:r w:rsidR="003373BE" w:rsidRPr="00EA73BA">
        <w:rPr>
          <w:rFonts w:ascii="Calibri" w:hAnsi="Calibri" w:cs="Calibri"/>
          <w:sz w:val="22"/>
          <w:szCs w:val="22"/>
        </w:rPr>
        <w:t xml:space="preserve">6 </w:t>
      </w:r>
      <w:r w:rsidR="00914CD2" w:rsidRPr="00EA73BA">
        <w:rPr>
          <w:rFonts w:ascii="Calibri" w:hAnsi="Calibri" w:cs="Calibri"/>
          <w:sz w:val="22"/>
          <w:szCs w:val="22"/>
        </w:rPr>
        <w:t>ti</w:t>
      </w:r>
      <w:r w:rsidR="00B04FE2" w:rsidRPr="00EA73BA">
        <w:rPr>
          <w:rFonts w:ascii="Calibri" w:hAnsi="Calibri" w:cs="Calibri"/>
          <w:sz w:val="22"/>
          <w:szCs w:val="22"/>
        </w:rPr>
        <w:t>síc Kč.</w:t>
      </w:r>
      <w:r w:rsidR="00B04FE2" w:rsidRPr="00EA73BA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="00B04FE2" w:rsidRPr="00EA73BA">
        <w:rPr>
          <w:rFonts w:ascii="Calibri" w:hAnsi="Calibri" w:cs="Calibri"/>
          <w:sz w:val="22"/>
          <w:szCs w:val="22"/>
        </w:rPr>
        <w:t xml:space="preserve"> 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Splátka hypotéky ve výši jednoho milionu </w:t>
      </w:r>
      <w:r w:rsidR="00AB2567" w:rsidRPr="00EA73BA">
        <w:rPr>
          <w:rFonts w:ascii="Calibri" w:hAnsi="Calibri" w:cs="Calibri"/>
          <w:b/>
          <w:bCs/>
          <w:sz w:val="22"/>
          <w:szCs w:val="22"/>
        </w:rPr>
        <w:t>korun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 s</w:t>
      </w:r>
      <w:r w:rsidR="00C87645" w:rsidRPr="00EA73BA">
        <w:rPr>
          <w:rFonts w:ascii="Calibri" w:hAnsi="Calibri" w:cs="Calibri"/>
          <w:b/>
          <w:bCs/>
          <w:sz w:val="22"/>
          <w:szCs w:val="22"/>
        </w:rPr>
        <w:t> 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30letou splatností se současnými úrokovými sazbami </w:t>
      </w:r>
      <w:r w:rsidR="00AB2567" w:rsidRPr="00EA73BA">
        <w:rPr>
          <w:rFonts w:ascii="Calibri" w:hAnsi="Calibri" w:cs="Calibri"/>
          <w:b/>
          <w:bCs/>
          <w:sz w:val="22"/>
          <w:szCs w:val="22"/>
        </w:rPr>
        <w:t xml:space="preserve">se 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pohybuje kolem </w:t>
      </w:r>
      <w:r w:rsidR="008B7162" w:rsidRPr="00EA73BA">
        <w:rPr>
          <w:rFonts w:ascii="Calibri" w:hAnsi="Calibri" w:cs="Calibri"/>
          <w:b/>
          <w:bCs/>
          <w:sz w:val="22"/>
          <w:szCs w:val="22"/>
        </w:rPr>
        <w:t>5,</w:t>
      </w:r>
      <w:r w:rsidR="00BD4931" w:rsidRPr="00EA73BA">
        <w:rPr>
          <w:rFonts w:ascii="Calibri" w:hAnsi="Calibri" w:cs="Calibri"/>
          <w:b/>
          <w:bCs/>
          <w:sz w:val="22"/>
          <w:szCs w:val="22"/>
        </w:rPr>
        <w:t>5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 tisíc</w:t>
      </w:r>
      <w:r w:rsidR="00F25CBC" w:rsidRPr="00EA73BA">
        <w:rPr>
          <w:rFonts w:ascii="Calibri" w:hAnsi="Calibri" w:cs="Calibri"/>
          <w:b/>
          <w:bCs/>
          <w:sz w:val="22"/>
          <w:szCs w:val="22"/>
        </w:rPr>
        <w:t>e</w:t>
      </w:r>
      <w:r w:rsidR="00615685" w:rsidRPr="00EA73BA">
        <w:rPr>
          <w:rFonts w:ascii="Calibri" w:hAnsi="Calibri" w:cs="Calibri"/>
          <w:b/>
          <w:bCs/>
          <w:sz w:val="22"/>
          <w:szCs w:val="22"/>
        </w:rPr>
        <w:t xml:space="preserve"> Kč.</w:t>
      </w:r>
    </w:p>
    <w:bookmarkEnd w:id="15"/>
    <w:p w14:paraId="1A267256" w14:textId="45AF01D0" w:rsidR="009D3067" w:rsidRPr="00616069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Tabulka č. 2: Měsíční splátka průměrné hypotéky v závislosti na délce splatnosti a úrokové sazbě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31"/>
        <w:gridCol w:w="960"/>
        <w:gridCol w:w="960"/>
        <w:gridCol w:w="960"/>
        <w:gridCol w:w="960"/>
        <w:gridCol w:w="960"/>
        <w:gridCol w:w="960"/>
      </w:tblGrid>
      <w:tr w:rsidR="00D5517C" w:rsidRPr="00616069" w14:paraId="2E0F9EE8" w14:textId="77777777" w:rsidTr="008B2AC1">
        <w:trPr>
          <w:trHeight w:val="555"/>
        </w:trPr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294A28AB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00C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C5C8" w14:textId="12C9B8D3" w:rsidR="00231F3A" w:rsidRDefault="005861DC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</w:t>
            </w:r>
          </w:p>
          <w:p w14:paraId="67600645" w14:textId="77777777" w:rsidR="000F0342" w:rsidRDefault="00231F3A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</w:p>
          <w:p w14:paraId="3C65C027" w14:textId="77777777" w:rsidR="007E581F" w:rsidRDefault="00490505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</w:p>
          <w:p w14:paraId="3BD392D9" w14:textId="77777777" w:rsidR="00700C93" w:rsidRDefault="007E581F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</w:t>
            </w:r>
          </w:p>
          <w:p w14:paraId="400F8289" w14:textId="2D4FDF4B" w:rsidR="00490505" w:rsidRPr="00616069" w:rsidRDefault="00700C93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              3 785 978</w:t>
            </w:r>
          </w:p>
        </w:tc>
      </w:tr>
      <w:tr w:rsidR="00D375AE" w:rsidRPr="00616069" w14:paraId="3A9D14C4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537FE1A1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4FAC9AB5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4BF25F94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1237DE48" w:rsidR="00D375AE" w:rsidRPr="00616069" w:rsidRDefault="007E581F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4,9</w:t>
            </w:r>
            <w:r w:rsidR="00700C9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017900A1" w:rsidR="00D375AE" w:rsidRPr="00616069" w:rsidRDefault="005861DC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753D666A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D5517C" w:rsidRPr="00616069" w14:paraId="4905349F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700C93" w:rsidRPr="00616069" w14:paraId="0A342D01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700C93" w:rsidRPr="00616069" w:rsidRDefault="00700C93" w:rsidP="00700C9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9A3" w14:textId="7777777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7A87588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2AAE6616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32A1F11D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1BEDE227" w:rsidR="00700C93" w:rsidRPr="00483136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29 737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61B947D9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3465328D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34 029</w:t>
            </w:r>
          </w:p>
        </w:tc>
      </w:tr>
      <w:tr w:rsidR="00700C93" w:rsidRPr="00616069" w14:paraId="4A78BEF2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CE37" w14:textId="7777777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2A101C9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05544792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7A531035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59AA4CB8" w:rsidR="00700C93" w:rsidRPr="00483136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4DB2D31E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77084F1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29 353</w:t>
            </w:r>
          </w:p>
        </w:tc>
      </w:tr>
      <w:tr w:rsidR="00700C93" w:rsidRPr="00616069" w14:paraId="6CF32913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2D49" w14:textId="7777777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669F1633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6E413E7B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19B1D948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5227AA99" w:rsidR="00700C93" w:rsidRPr="00483136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66F65E46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4A0EC6AC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26 759</w:t>
            </w:r>
          </w:p>
        </w:tc>
      </w:tr>
      <w:tr w:rsidR="00700C93" w:rsidRPr="00616069" w14:paraId="46B86678" w14:textId="77777777" w:rsidTr="005861D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700C93" w:rsidRPr="00616069" w:rsidRDefault="00700C93" w:rsidP="00700C9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525A" w14:textId="7777777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7CE7E977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13 994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2968A1BB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15 962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67EDAE75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603B71AD" w:rsidR="00700C93" w:rsidRPr="00483136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7E4BC3F8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058A6091" w:rsidR="00700C93" w:rsidRPr="00616069" w:rsidRDefault="00700C93" w:rsidP="00700C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25 188</w:t>
            </w:r>
          </w:p>
        </w:tc>
      </w:tr>
      <w:tr w:rsidR="00D5517C" w:rsidRPr="00616069" w14:paraId="58395EC8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Pramen: ČBA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483136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5517C" w:rsidRPr="00616069" w14:paraId="17E5FF51" w14:textId="77777777" w:rsidTr="008B2AC1">
        <w:trPr>
          <w:trHeight w:val="30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 xml:space="preserve">Pozn.: barevný sloupec odpovídá úrokové sazbě posledního ČBA </w:t>
            </w:r>
            <w:proofErr w:type="spellStart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Hypomonitoru</w:t>
            </w:r>
            <w:proofErr w:type="spellEnd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, ostatní sazby jsou ilustrační</w:t>
            </w:r>
          </w:p>
        </w:tc>
      </w:tr>
    </w:tbl>
    <w:p w14:paraId="058F8495" w14:textId="77777777" w:rsidR="0000226C" w:rsidRPr="00616069" w:rsidRDefault="0000226C" w:rsidP="003417B4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4ACCC723" w14:textId="77777777" w:rsidR="00B44209" w:rsidRDefault="00B44209" w:rsidP="003E393C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7D566DD6" w14:textId="2D006488" w:rsidR="00B44209" w:rsidRDefault="00B4420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br w:type="page"/>
      </w:r>
    </w:p>
    <w:p w14:paraId="333B7C8E" w14:textId="7C2A4999" w:rsidR="003E393C" w:rsidRPr="00616069" w:rsidRDefault="003E393C" w:rsidP="003E393C">
      <w:pPr>
        <w:rPr>
          <w:rFonts w:ascii="Calibri" w:hAnsi="Calibri" w:cs="Calibri"/>
          <w:b/>
          <w:color w:val="13576B"/>
          <w:sz w:val="24"/>
          <w:szCs w:val="24"/>
        </w:rPr>
      </w:pPr>
      <w:r w:rsidRPr="00616069">
        <w:rPr>
          <w:rFonts w:ascii="Calibri" w:hAnsi="Calibri" w:cs="Calibri"/>
          <w:b/>
          <w:color w:val="13576B"/>
          <w:sz w:val="24"/>
          <w:szCs w:val="24"/>
        </w:rPr>
        <w:lastRenderedPageBreak/>
        <w:t>Za celý rok 2023 se propadla aktivita na hypotečním trhu o čtvrtinu</w:t>
      </w:r>
    </w:p>
    <w:p w14:paraId="0C26148D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bCs/>
          <w:sz w:val="22"/>
          <w:szCs w:val="22"/>
        </w:rPr>
        <w:t>Za celý rok 2023 poskytly banky a stavební spořitelny hypoteční úvěry v objemu 150 mld. Kč,</w:t>
      </w:r>
      <w:r w:rsidRPr="00616069">
        <w:rPr>
          <w:rFonts w:ascii="Calibri" w:hAnsi="Calibri" w:cs="Calibri"/>
          <w:sz w:val="22"/>
          <w:szCs w:val="22"/>
        </w:rPr>
        <w:t xml:space="preserve"> z toho čistě nové </w:t>
      </w:r>
      <w:r w:rsidRPr="00616069">
        <w:rPr>
          <w:rFonts w:ascii="Calibri" w:hAnsi="Calibri" w:cs="Calibri"/>
          <w:b/>
          <w:bCs/>
          <w:sz w:val="22"/>
          <w:szCs w:val="22"/>
        </w:rPr>
        <w:t>úvěry bez refinancování činily 124 mld. Kč</w:t>
      </w:r>
      <w:r w:rsidRPr="00616069">
        <w:rPr>
          <w:rFonts w:ascii="Calibri" w:hAnsi="Calibri" w:cs="Calibri"/>
          <w:sz w:val="22"/>
          <w:szCs w:val="22"/>
        </w:rPr>
        <w:t xml:space="preserve">. Meziročně se jednalo o propad ve výši 24 %. To je dáno zejména skutečností, že první polovina roku 2022 byla stále z pohledu poskytnutých hypoték silná a na meziroční srovnání tak působí vyšší srovnávací základna z tohoto období. Za první polovinu roku 2023 se tak poskytlo meziročně o 50 % méně hypoték, za druhou polovinu roku 2023 naopak přes 50 % více. Ve srovnání s předpandemickými roky 2017-2019 byl objem poskytnutých hypoték v roce 2023 zhruba o třetinu nižší. </w:t>
      </w:r>
    </w:p>
    <w:p w14:paraId="2BEF2B35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FD17B82" w14:textId="77777777" w:rsidR="005F105B" w:rsidRPr="00616069" w:rsidRDefault="005F105B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595CC2" w14:textId="336517A3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616069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616069">
        <w:rPr>
          <w:rFonts w:ascii="Calibri" w:hAnsi="Calibri" w:cs="Calibri"/>
          <w:b/>
          <w:color w:val="13576B"/>
          <w:sz w:val="23"/>
          <w:szCs w:val="23"/>
        </w:rPr>
        <w:t>: Celoroční objem a počet poskytnutých hypoték v letech 2021 až 2023</w:t>
      </w:r>
    </w:p>
    <w:p w14:paraId="2C48436A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</w:p>
    <w:p w14:paraId="6B4EF12D" w14:textId="48C50589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D67D3F7" wp14:editId="714D97CA">
            <wp:extent cx="6477000" cy="2346960"/>
            <wp:effectExtent l="0" t="0" r="0" b="0"/>
            <wp:docPr id="59176480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616069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616069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1687FA19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10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11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9952D08" w14:textId="7AF78CDA" w:rsidR="00C42F00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Metodika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Hypomonitoru</w:t>
                            </w:r>
                            <w:proofErr w:type="spellEnd"/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podílu,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08A7140E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Oberbank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UniCredit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9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Metodika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Hypomonitoru</w:t>
                      </w:r>
                      <w:proofErr w:type="spellEnd"/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podílu,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08A7140E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Oberbank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UniCredit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331839" w14:textId="77777777" w:rsidR="00212E38" w:rsidRDefault="00212E38" w:rsidP="00CA3B41">
      <w:pPr>
        <w:rPr>
          <w:rFonts w:ascii="Calibri" w:hAnsi="Calibri" w:cs="Calibri"/>
          <w:sz w:val="22"/>
          <w:szCs w:val="22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817"/>
        <w:gridCol w:w="3384"/>
      </w:tblGrid>
      <w:tr w:rsidR="00212E38" w:rsidRPr="00635D8B" w14:paraId="7D6B3174" w14:textId="77777777" w:rsidTr="00941F4B">
        <w:trPr>
          <w:trHeight w:val="1364"/>
        </w:trPr>
        <w:tc>
          <w:tcPr>
            <w:tcW w:w="6817" w:type="dxa"/>
            <w:shd w:val="clear" w:color="auto" w:fill="13576B"/>
          </w:tcPr>
          <w:p w14:paraId="1C2B18C3" w14:textId="77777777" w:rsidR="00212E38" w:rsidRPr="001F3B10" w:rsidRDefault="00212E38" w:rsidP="00941F4B">
            <w:pPr>
              <w:pStyle w:val="CBANadpisvTABULCE"/>
              <w:jc w:val="both"/>
              <w:rPr>
                <w:rFonts w:ascii="IBM Plex Sans" w:hAnsi="IBM Plex Sans" w:cs="Poppins"/>
                <w:color w:val="FFFFFF"/>
                <w:sz w:val="16"/>
                <w:szCs w:val="16"/>
              </w:rPr>
            </w:pPr>
            <w:r w:rsidRPr="001F3B10">
              <w:rPr>
                <w:rFonts w:ascii="IBM Plex Sans" w:hAnsi="IBM Plex Sans" w:cs="Poppins"/>
                <w:color w:val="FFFFFF"/>
                <w:sz w:val="16"/>
                <w:szCs w:val="16"/>
              </w:rPr>
              <w:t>O České bankovní asociaci</w:t>
            </w:r>
          </w:p>
          <w:p w14:paraId="3C61B88C" w14:textId="77777777" w:rsidR="00212E38" w:rsidRPr="00282A3D" w:rsidRDefault="00212E38" w:rsidP="00941F4B">
            <w:pPr>
              <w:rPr>
                <w:rFonts w:ascii="Calibri" w:hAnsi="Calibri"/>
                <w:color w:val="FFFFFF"/>
                <w:szCs w:val="18"/>
              </w:rPr>
            </w:pPr>
            <w:bookmarkStart w:id="16" w:name="_Hlk128734138"/>
            <w:r w:rsidRPr="00282A3D">
              <w:rPr>
                <w:color w:val="FFFFFF"/>
                <w:szCs w:val="18"/>
              </w:rPr>
              <w:t>Česká bankovní asociace (ČBA) je dobrovolné sdružení 33 bank působících v České republice a reprezentuje tak 99 % trhu. Již 30 let podporuje nejen rozvoj bankovního sektoru, ale i celé ekonomiky a všeobecné finanční gramotnosti. ČBA je členem Evropské bankovní federace (EBF).</w:t>
            </w:r>
          </w:p>
          <w:bookmarkEnd w:id="16"/>
          <w:p w14:paraId="0BF1A62F" w14:textId="77777777" w:rsidR="00212E38" w:rsidRPr="001F3B10" w:rsidRDefault="00212E38" w:rsidP="00941F4B">
            <w:pPr>
              <w:pStyle w:val="CBAodstavecvTABULCE"/>
              <w:jc w:val="both"/>
              <w:rPr>
                <w:rFonts w:ascii="IBM Plex Sans" w:hAnsi="IBM Plex Sans" w:cs="Poppins"/>
                <w:color w:val="FFFFFF"/>
                <w:sz w:val="16"/>
                <w:szCs w:val="16"/>
              </w:rPr>
            </w:pPr>
            <w:r w:rsidRPr="001F3B10">
              <w:rPr>
                <w:rFonts w:ascii="IBM Plex Sans" w:hAnsi="IBM Plex Sans" w:cs="Poppins"/>
                <w:color w:val="FFFFFF"/>
                <w:sz w:val="16"/>
                <w:szCs w:val="16"/>
              </w:rPr>
              <w:t xml:space="preserve">Více informací na </w:t>
            </w:r>
            <w:r w:rsidRPr="001F3B10">
              <w:rPr>
                <w:rFonts w:ascii="IBM Plex Sans" w:hAnsi="IBM Plex Sans" w:cs="Poppins"/>
                <w:color w:val="FFFFFF"/>
                <w:sz w:val="16"/>
                <w:szCs w:val="16"/>
                <w:u w:val="single"/>
              </w:rPr>
              <w:t>www.cbaonline.cz.</w:t>
            </w:r>
            <w:r w:rsidRPr="001F3B10">
              <w:rPr>
                <w:rFonts w:ascii="IBM Plex Sans" w:hAnsi="IBM Plex Sans" w:cs="Poppins"/>
                <w:color w:val="A9936D"/>
                <w:sz w:val="16"/>
                <w:szCs w:val="16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50810BF3" w14:textId="77777777" w:rsidR="00212E38" w:rsidRDefault="00212E38" w:rsidP="00941F4B">
            <w:pPr>
              <w:pStyle w:val="CBAodstavecvTABULCE"/>
              <w:rPr>
                <w:rFonts w:ascii="IBM Plex Sans" w:hAnsi="IBM Plex Sans" w:cs="Poppins"/>
                <w:b/>
                <w:bCs/>
                <w:color w:val="FFFFFF"/>
                <w:szCs w:val="18"/>
              </w:rPr>
            </w:pPr>
            <w:r>
              <w:rPr>
                <w:rFonts w:ascii="IBM Plex Sans" w:hAnsi="IBM Plex Sans" w:cs="Poppins"/>
                <w:b/>
                <w:bCs/>
                <w:color w:val="FFFFFF"/>
                <w:szCs w:val="18"/>
              </w:rPr>
              <w:t>Dotazy posílejte na</w:t>
            </w:r>
          </w:p>
          <w:p w14:paraId="01B44FEF" w14:textId="77777777" w:rsidR="00212E38" w:rsidRDefault="00212E38" w:rsidP="00941F4B">
            <w:pPr>
              <w:pStyle w:val="CBAodstavecvTABULCE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b/>
                <w:bCs/>
                <w:color w:val="FFFFFF"/>
                <w:szCs w:val="18"/>
              </w:rPr>
              <w:t>radek.salsa@cbaonline.cz</w:t>
            </w:r>
          </w:p>
        </w:tc>
      </w:tr>
    </w:tbl>
    <w:p w14:paraId="3AE5C7B4" w14:textId="77777777" w:rsidR="00212E38" w:rsidRPr="00B04FE2" w:rsidRDefault="00212E38" w:rsidP="00CA3B41">
      <w:pPr>
        <w:rPr>
          <w:rFonts w:ascii="Calibri" w:hAnsi="Calibri" w:cs="Calibri"/>
          <w:sz w:val="22"/>
          <w:szCs w:val="22"/>
        </w:rPr>
      </w:pPr>
    </w:p>
    <w:sectPr w:rsidR="00212E38" w:rsidRPr="00B04FE2" w:rsidSect="000C6834">
      <w:headerReference w:type="default" r:id="rId12"/>
      <w:footerReference w:type="default" r:id="rId13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D458A" w14:textId="77777777" w:rsidR="006C3DE0" w:rsidRPr="00616069" w:rsidRDefault="006C3DE0" w:rsidP="00F573F1">
      <w:r w:rsidRPr="00616069">
        <w:separator/>
      </w:r>
    </w:p>
  </w:endnote>
  <w:endnote w:type="continuationSeparator" w:id="0">
    <w:p w14:paraId="423BD98E" w14:textId="77777777" w:rsidR="006C3DE0" w:rsidRPr="00616069" w:rsidRDefault="006C3DE0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50415" w14:textId="77777777" w:rsidR="006C3DE0" w:rsidRPr="00616069" w:rsidRDefault="006C3DE0" w:rsidP="00F573F1">
      <w:r w:rsidRPr="00616069">
        <w:separator/>
      </w:r>
    </w:p>
  </w:footnote>
  <w:footnote w:type="continuationSeparator" w:id="0">
    <w:p w14:paraId="10475FB6" w14:textId="77777777" w:rsidR="006C3DE0" w:rsidRPr="00616069" w:rsidRDefault="006C3DE0" w:rsidP="00F573F1">
      <w:r w:rsidRPr="00616069">
        <w:continuationSeparator/>
      </w:r>
    </w:p>
  </w:footnote>
  <w:footnote w:id="1">
    <w:p w14:paraId="18CC1781" w14:textId="600CEE8D" w:rsidR="00AC7487" w:rsidRPr="00616069" w:rsidRDefault="00AC7487" w:rsidP="00AC7487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</w:t>
      </w:r>
      <w:r w:rsidR="007877DC"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67D40024" w14:textId="3138CC7C" w:rsidR="00B04FE2" w:rsidRDefault="00B04FE2" w:rsidP="00B04FE2">
      <w:pPr>
        <w:pStyle w:val="Textpoznpodarou"/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Tabulka je k dispozici v souboru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xls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přiloženém na webových stránkách</w:t>
      </w:r>
      <w:r w:rsidR="00322BF9" w:rsidRPr="00616069">
        <w:rPr>
          <w:rFonts w:asciiTheme="majorHAnsi" w:hAnsiTheme="majorHAnsi" w:cstheme="majorHAns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ČBA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Hypomonitoru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211AFE9A" w:rsidR="00A86552" w:rsidRPr="00616069" w:rsidRDefault="00A86552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211AFE9A" w:rsidR="00A86552" w:rsidRPr="00616069" w:rsidRDefault="00A86552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12BDE81C" w:rsidR="002D4720" w:rsidRPr="00616069" w:rsidRDefault="007F41A0" w:rsidP="002D4720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F0F08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700C93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8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2F0F08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700C93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31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12BDE81C" w:rsidR="002D4720" w:rsidRPr="00616069" w:rsidRDefault="007F41A0" w:rsidP="002D4720">
                    <w:pPr>
                      <w:spacing w:line="276" w:lineRule="auto"/>
                      <w:jc w:val="center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F0F08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700C93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8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2F0F08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700C93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2"/>
  </w:num>
  <w:num w:numId="2" w16cid:durableId="1910113698">
    <w:abstractNumId w:val="8"/>
  </w:num>
  <w:num w:numId="3" w16cid:durableId="405613309">
    <w:abstractNumId w:val="25"/>
  </w:num>
  <w:num w:numId="4" w16cid:durableId="240213499">
    <w:abstractNumId w:val="14"/>
  </w:num>
  <w:num w:numId="5" w16cid:durableId="740492638">
    <w:abstractNumId w:val="4"/>
  </w:num>
  <w:num w:numId="6" w16cid:durableId="211576891">
    <w:abstractNumId w:val="23"/>
  </w:num>
  <w:num w:numId="7" w16cid:durableId="1918248069">
    <w:abstractNumId w:val="6"/>
  </w:num>
  <w:num w:numId="8" w16cid:durableId="1159419045">
    <w:abstractNumId w:val="28"/>
  </w:num>
  <w:num w:numId="9" w16cid:durableId="1798374138">
    <w:abstractNumId w:val="5"/>
  </w:num>
  <w:num w:numId="10" w16cid:durableId="1530677457">
    <w:abstractNumId w:val="24"/>
  </w:num>
  <w:num w:numId="11" w16cid:durableId="984315201">
    <w:abstractNumId w:val="1"/>
  </w:num>
  <w:num w:numId="12" w16cid:durableId="7762198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5"/>
  </w:num>
  <w:num w:numId="15" w16cid:durableId="1323195451">
    <w:abstractNumId w:val="12"/>
  </w:num>
  <w:num w:numId="16" w16cid:durableId="467165265">
    <w:abstractNumId w:val="9"/>
  </w:num>
  <w:num w:numId="17" w16cid:durableId="676033370">
    <w:abstractNumId w:val="11"/>
  </w:num>
  <w:num w:numId="18" w16cid:durableId="1742554342">
    <w:abstractNumId w:val="17"/>
  </w:num>
  <w:num w:numId="19" w16cid:durableId="613287013">
    <w:abstractNumId w:val="20"/>
  </w:num>
  <w:num w:numId="20" w16cid:durableId="8067070">
    <w:abstractNumId w:val="10"/>
  </w:num>
  <w:num w:numId="21" w16cid:durableId="825434180">
    <w:abstractNumId w:val="0"/>
  </w:num>
  <w:num w:numId="22" w16cid:durableId="1082681076">
    <w:abstractNumId w:val="22"/>
  </w:num>
  <w:num w:numId="23" w16cid:durableId="1901165520">
    <w:abstractNumId w:val="27"/>
  </w:num>
  <w:num w:numId="24" w16cid:durableId="1991010767">
    <w:abstractNumId w:val="21"/>
  </w:num>
  <w:num w:numId="25" w16cid:durableId="1542282676">
    <w:abstractNumId w:val="16"/>
  </w:num>
  <w:num w:numId="26" w16cid:durableId="986973659">
    <w:abstractNumId w:val="13"/>
  </w:num>
  <w:num w:numId="27" w16cid:durableId="815336034">
    <w:abstractNumId w:val="26"/>
  </w:num>
  <w:num w:numId="28" w16cid:durableId="1895651473">
    <w:abstractNumId w:val="7"/>
  </w:num>
  <w:num w:numId="29" w16cid:durableId="1858687908">
    <w:abstractNumId w:val="3"/>
  </w:num>
  <w:num w:numId="30" w16cid:durableId="175816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5419"/>
    <w:rsid w:val="000054D2"/>
    <w:rsid w:val="00006511"/>
    <w:rsid w:val="00006C79"/>
    <w:rsid w:val="000070E2"/>
    <w:rsid w:val="00010564"/>
    <w:rsid w:val="000118C2"/>
    <w:rsid w:val="0001227F"/>
    <w:rsid w:val="00015933"/>
    <w:rsid w:val="000159E5"/>
    <w:rsid w:val="0001656C"/>
    <w:rsid w:val="000175B3"/>
    <w:rsid w:val="000176E6"/>
    <w:rsid w:val="00020581"/>
    <w:rsid w:val="00020ED0"/>
    <w:rsid w:val="00020FE5"/>
    <w:rsid w:val="000213CC"/>
    <w:rsid w:val="00023E9F"/>
    <w:rsid w:val="0002473E"/>
    <w:rsid w:val="000264B4"/>
    <w:rsid w:val="000265A3"/>
    <w:rsid w:val="00027099"/>
    <w:rsid w:val="00027B22"/>
    <w:rsid w:val="00027BAD"/>
    <w:rsid w:val="00031418"/>
    <w:rsid w:val="00031478"/>
    <w:rsid w:val="00036FAB"/>
    <w:rsid w:val="00037707"/>
    <w:rsid w:val="00037C17"/>
    <w:rsid w:val="00040FA4"/>
    <w:rsid w:val="00043889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6F52"/>
    <w:rsid w:val="0006711A"/>
    <w:rsid w:val="00072447"/>
    <w:rsid w:val="000733AD"/>
    <w:rsid w:val="0007445A"/>
    <w:rsid w:val="00074C45"/>
    <w:rsid w:val="000752D6"/>
    <w:rsid w:val="00075932"/>
    <w:rsid w:val="0007638A"/>
    <w:rsid w:val="00076C37"/>
    <w:rsid w:val="000770D8"/>
    <w:rsid w:val="00081E35"/>
    <w:rsid w:val="000841C2"/>
    <w:rsid w:val="000842AE"/>
    <w:rsid w:val="00084CF9"/>
    <w:rsid w:val="00086094"/>
    <w:rsid w:val="00086BE0"/>
    <w:rsid w:val="0008743D"/>
    <w:rsid w:val="0009101B"/>
    <w:rsid w:val="00091B3B"/>
    <w:rsid w:val="0009491E"/>
    <w:rsid w:val="00097293"/>
    <w:rsid w:val="000976B9"/>
    <w:rsid w:val="00097B42"/>
    <w:rsid w:val="000A0285"/>
    <w:rsid w:val="000A16EA"/>
    <w:rsid w:val="000A2779"/>
    <w:rsid w:val="000A2C3B"/>
    <w:rsid w:val="000A3ECF"/>
    <w:rsid w:val="000A4D59"/>
    <w:rsid w:val="000A549A"/>
    <w:rsid w:val="000A664C"/>
    <w:rsid w:val="000B0992"/>
    <w:rsid w:val="000B2005"/>
    <w:rsid w:val="000B3BFA"/>
    <w:rsid w:val="000B4C8F"/>
    <w:rsid w:val="000B510F"/>
    <w:rsid w:val="000B51A4"/>
    <w:rsid w:val="000B70C8"/>
    <w:rsid w:val="000B79A4"/>
    <w:rsid w:val="000C045B"/>
    <w:rsid w:val="000C12F1"/>
    <w:rsid w:val="000C1E4E"/>
    <w:rsid w:val="000C234E"/>
    <w:rsid w:val="000C3211"/>
    <w:rsid w:val="000C4910"/>
    <w:rsid w:val="000C502F"/>
    <w:rsid w:val="000C5651"/>
    <w:rsid w:val="000C6834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810"/>
    <w:rsid w:val="000E4ABC"/>
    <w:rsid w:val="000E563F"/>
    <w:rsid w:val="000E59CE"/>
    <w:rsid w:val="000F02C1"/>
    <w:rsid w:val="000F02FD"/>
    <w:rsid w:val="000F0342"/>
    <w:rsid w:val="000F0636"/>
    <w:rsid w:val="000F4318"/>
    <w:rsid w:val="000F617D"/>
    <w:rsid w:val="000F61F5"/>
    <w:rsid w:val="000F70CA"/>
    <w:rsid w:val="00100269"/>
    <w:rsid w:val="00100394"/>
    <w:rsid w:val="00102262"/>
    <w:rsid w:val="0010268F"/>
    <w:rsid w:val="0010277A"/>
    <w:rsid w:val="00102D9A"/>
    <w:rsid w:val="00103662"/>
    <w:rsid w:val="0010371D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26B2"/>
    <w:rsid w:val="00112AA1"/>
    <w:rsid w:val="00112D3E"/>
    <w:rsid w:val="00112E70"/>
    <w:rsid w:val="0011443F"/>
    <w:rsid w:val="00115D53"/>
    <w:rsid w:val="00115DDC"/>
    <w:rsid w:val="00116003"/>
    <w:rsid w:val="00116F4B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063"/>
    <w:rsid w:val="00130359"/>
    <w:rsid w:val="00131D36"/>
    <w:rsid w:val="00131E94"/>
    <w:rsid w:val="00132EE9"/>
    <w:rsid w:val="0013407D"/>
    <w:rsid w:val="001348D9"/>
    <w:rsid w:val="00134A41"/>
    <w:rsid w:val="001361CA"/>
    <w:rsid w:val="00136825"/>
    <w:rsid w:val="00136D3A"/>
    <w:rsid w:val="00136EC9"/>
    <w:rsid w:val="00136FC5"/>
    <w:rsid w:val="00137050"/>
    <w:rsid w:val="0013716D"/>
    <w:rsid w:val="00137560"/>
    <w:rsid w:val="00140E10"/>
    <w:rsid w:val="001438F4"/>
    <w:rsid w:val="00143BF5"/>
    <w:rsid w:val="00143DCC"/>
    <w:rsid w:val="00144794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EE2"/>
    <w:rsid w:val="001553F8"/>
    <w:rsid w:val="00155A3F"/>
    <w:rsid w:val="00157080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15A2"/>
    <w:rsid w:val="0017388B"/>
    <w:rsid w:val="0017441E"/>
    <w:rsid w:val="00175839"/>
    <w:rsid w:val="00175A85"/>
    <w:rsid w:val="00175E6C"/>
    <w:rsid w:val="00175FBC"/>
    <w:rsid w:val="00176669"/>
    <w:rsid w:val="001766FF"/>
    <w:rsid w:val="00176C20"/>
    <w:rsid w:val="00177598"/>
    <w:rsid w:val="0018097B"/>
    <w:rsid w:val="00180A13"/>
    <w:rsid w:val="00182C97"/>
    <w:rsid w:val="00183066"/>
    <w:rsid w:val="001833C7"/>
    <w:rsid w:val="00183FB4"/>
    <w:rsid w:val="00184412"/>
    <w:rsid w:val="00186A7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467"/>
    <w:rsid w:val="001B1C5E"/>
    <w:rsid w:val="001B3197"/>
    <w:rsid w:val="001B39D3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306A"/>
    <w:rsid w:val="001C49DC"/>
    <w:rsid w:val="001C6945"/>
    <w:rsid w:val="001C698F"/>
    <w:rsid w:val="001C7200"/>
    <w:rsid w:val="001C7F88"/>
    <w:rsid w:val="001D12D6"/>
    <w:rsid w:val="001D169B"/>
    <w:rsid w:val="001D2B76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D27"/>
    <w:rsid w:val="001E5169"/>
    <w:rsid w:val="001E5571"/>
    <w:rsid w:val="001E60C5"/>
    <w:rsid w:val="001E6F5D"/>
    <w:rsid w:val="001E71FE"/>
    <w:rsid w:val="001F0819"/>
    <w:rsid w:val="001F0A9C"/>
    <w:rsid w:val="001F1677"/>
    <w:rsid w:val="001F2A1F"/>
    <w:rsid w:val="001F3DF4"/>
    <w:rsid w:val="001F49EA"/>
    <w:rsid w:val="001F5CF7"/>
    <w:rsid w:val="001F64C3"/>
    <w:rsid w:val="001F6A78"/>
    <w:rsid w:val="001F72D8"/>
    <w:rsid w:val="001F7B28"/>
    <w:rsid w:val="002010C8"/>
    <w:rsid w:val="0020121A"/>
    <w:rsid w:val="00201DDA"/>
    <w:rsid w:val="002027D4"/>
    <w:rsid w:val="0020296D"/>
    <w:rsid w:val="00203021"/>
    <w:rsid w:val="00203302"/>
    <w:rsid w:val="00203A7B"/>
    <w:rsid w:val="002045A5"/>
    <w:rsid w:val="00204F09"/>
    <w:rsid w:val="0020667A"/>
    <w:rsid w:val="00206F7E"/>
    <w:rsid w:val="00207AE7"/>
    <w:rsid w:val="00207CB1"/>
    <w:rsid w:val="002105A2"/>
    <w:rsid w:val="00210A9C"/>
    <w:rsid w:val="00211E6F"/>
    <w:rsid w:val="002128AF"/>
    <w:rsid w:val="00212E38"/>
    <w:rsid w:val="002137B0"/>
    <w:rsid w:val="002150BF"/>
    <w:rsid w:val="00216187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1F3A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B7F"/>
    <w:rsid w:val="00264741"/>
    <w:rsid w:val="00264C92"/>
    <w:rsid w:val="0026639E"/>
    <w:rsid w:val="00266980"/>
    <w:rsid w:val="00267ACA"/>
    <w:rsid w:val="00270A4E"/>
    <w:rsid w:val="00270F52"/>
    <w:rsid w:val="00271563"/>
    <w:rsid w:val="00271569"/>
    <w:rsid w:val="00272177"/>
    <w:rsid w:val="002748F6"/>
    <w:rsid w:val="00274D15"/>
    <w:rsid w:val="00275209"/>
    <w:rsid w:val="00277D90"/>
    <w:rsid w:val="002808DB"/>
    <w:rsid w:val="00280AB4"/>
    <w:rsid w:val="00280D31"/>
    <w:rsid w:val="00280F92"/>
    <w:rsid w:val="002817B5"/>
    <w:rsid w:val="00283681"/>
    <w:rsid w:val="00285A75"/>
    <w:rsid w:val="00290498"/>
    <w:rsid w:val="00291656"/>
    <w:rsid w:val="00291BE8"/>
    <w:rsid w:val="00293122"/>
    <w:rsid w:val="0029502E"/>
    <w:rsid w:val="00296021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6290"/>
    <w:rsid w:val="002A6A60"/>
    <w:rsid w:val="002B1743"/>
    <w:rsid w:val="002B1996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77C"/>
    <w:rsid w:val="002F4A74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7407"/>
    <w:rsid w:val="00327CB6"/>
    <w:rsid w:val="0033298A"/>
    <w:rsid w:val="00335341"/>
    <w:rsid w:val="00336412"/>
    <w:rsid w:val="00336CA6"/>
    <w:rsid w:val="00337157"/>
    <w:rsid w:val="003373BE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5842"/>
    <w:rsid w:val="00346684"/>
    <w:rsid w:val="003472AF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8A1"/>
    <w:rsid w:val="003608FD"/>
    <w:rsid w:val="0036420C"/>
    <w:rsid w:val="00364A11"/>
    <w:rsid w:val="00366057"/>
    <w:rsid w:val="003677E2"/>
    <w:rsid w:val="0037051F"/>
    <w:rsid w:val="003707E0"/>
    <w:rsid w:val="00370F35"/>
    <w:rsid w:val="003725F0"/>
    <w:rsid w:val="003732C7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424B"/>
    <w:rsid w:val="003A46D3"/>
    <w:rsid w:val="003A542D"/>
    <w:rsid w:val="003A5636"/>
    <w:rsid w:val="003A5765"/>
    <w:rsid w:val="003A623D"/>
    <w:rsid w:val="003A68A3"/>
    <w:rsid w:val="003A76ED"/>
    <w:rsid w:val="003B0433"/>
    <w:rsid w:val="003B04C1"/>
    <w:rsid w:val="003B2C84"/>
    <w:rsid w:val="003B4E23"/>
    <w:rsid w:val="003B4F01"/>
    <w:rsid w:val="003B505C"/>
    <w:rsid w:val="003B519E"/>
    <w:rsid w:val="003B5E6F"/>
    <w:rsid w:val="003C0B1B"/>
    <w:rsid w:val="003C1195"/>
    <w:rsid w:val="003C12B6"/>
    <w:rsid w:val="003C2D27"/>
    <w:rsid w:val="003C373E"/>
    <w:rsid w:val="003C3D7F"/>
    <w:rsid w:val="003C41DD"/>
    <w:rsid w:val="003C5F2E"/>
    <w:rsid w:val="003C6326"/>
    <w:rsid w:val="003C6710"/>
    <w:rsid w:val="003C6D87"/>
    <w:rsid w:val="003C7600"/>
    <w:rsid w:val="003D079C"/>
    <w:rsid w:val="003D0D7D"/>
    <w:rsid w:val="003D164F"/>
    <w:rsid w:val="003D224C"/>
    <w:rsid w:val="003D3759"/>
    <w:rsid w:val="003D45D4"/>
    <w:rsid w:val="003D613B"/>
    <w:rsid w:val="003D684B"/>
    <w:rsid w:val="003D7D9E"/>
    <w:rsid w:val="003E0FC6"/>
    <w:rsid w:val="003E14DF"/>
    <w:rsid w:val="003E1F42"/>
    <w:rsid w:val="003E3584"/>
    <w:rsid w:val="003E382B"/>
    <w:rsid w:val="003E393C"/>
    <w:rsid w:val="003E3ACA"/>
    <w:rsid w:val="003E3DCB"/>
    <w:rsid w:val="003E4312"/>
    <w:rsid w:val="003E48FA"/>
    <w:rsid w:val="003E4ADE"/>
    <w:rsid w:val="003E5891"/>
    <w:rsid w:val="003E7ED0"/>
    <w:rsid w:val="003F021E"/>
    <w:rsid w:val="003F03DF"/>
    <w:rsid w:val="003F12BC"/>
    <w:rsid w:val="003F12D5"/>
    <w:rsid w:val="003F1CB9"/>
    <w:rsid w:val="003F2050"/>
    <w:rsid w:val="003F37CA"/>
    <w:rsid w:val="003F512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5D7E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25D3"/>
    <w:rsid w:val="00435176"/>
    <w:rsid w:val="004371EE"/>
    <w:rsid w:val="00437589"/>
    <w:rsid w:val="00440A53"/>
    <w:rsid w:val="00442170"/>
    <w:rsid w:val="0044352D"/>
    <w:rsid w:val="004444EE"/>
    <w:rsid w:val="00444BDA"/>
    <w:rsid w:val="00445609"/>
    <w:rsid w:val="004464CF"/>
    <w:rsid w:val="004476C2"/>
    <w:rsid w:val="00451368"/>
    <w:rsid w:val="004522D4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136"/>
    <w:rsid w:val="0048354D"/>
    <w:rsid w:val="00483FA6"/>
    <w:rsid w:val="0048489E"/>
    <w:rsid w:val="004852E3"/>
    <w:rsid w:val="00486858"/>
    <w:rsid w:val="004904F6"/>
    <w:rsid w:val="00490505"/>
    <w:rsid w:val="004908DB"/>
    <w:rsid w:val="00490E1A"/>
    <w:rsid w:val="00491DB6"/>
    <w:rsid w:val="00492636"/>
    <w:rsid w:val="004935C1"/>
    <w:rsid w:val="00493A20"/>
    <w:rsid w:val="00495C6A"/>
    <w:rsid w:val="004969D8"/>
    <w:rsid w:val="0049704E"/>
    <w:rsid w:val="004975FD"/>
    <w:rsid w:val="004979BF"/>
    <w:rsid w:val="004A1724"/>
    <w:rsid w:val="004A2349"/>
    <w:rsid w:val="004A31A7"/>
    <w:rsid w:val="004A435C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F04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3997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1AC6"/>
    <w:rsid w:val="004E2434"/>
    <w:rsid w:val="004E26E2"/>
    <w:rsid w:val="004E3070"/>
    <w:rsid w:val="004E4B5B"/>
    <w:rsid w:val="004E5779"/>
    <w:rsid w:val="004E5E51"/>
    <w:rsid w:val="004E668A"/>
    <w:rsid w:val="004E7E07"/>
    <w:rsid w:val="004F32E1"/>
    <w:rsid w:val="004F34F2"/>
    <w:rsid w:val="004F4632"/>
    <w:rsid w:val="004F46CE"/>
    <w:rsid w:val="004F5C1C"/>
    <w:rsid w:val="004F62FF"/>
    <w:rsid w:val="004F69E2"/>
    <w:rsid w:val="004F6CFB"/>
    <w:rsid w:val="004F6EA8"/>
    <w:rsid w:val="004F70A7"/>
    <w:rsid w:val="005019FE"/>
    <w:rsid w:val="00502C28"/>
    <w:rsid w:val="00503D06"/>
    <w:rsid w:val="00504229"/>
    <w:rsid w:val="00504370"/>
    <w:rsid w:val="00505434"/>
    <w:rsid w:val="005063FD"/>
    <w:rsid w:val="005069C2"/>
    <w:rsid w:val="00507747"/>
    <w:rsid w:val="00510452"/>
    <w:rsid w:val="00510AD7"/>
    <w:rsid w:val="00510EB1"/>
    <w:rsid w:val="0051164C"/>
    <w:rsid w:val="00512176"/>
    <w:rsid w:val="005122E9"/>
    <w:rsid w:val="0051310F"/>
    <w:rsid w:val="005137DB"/>
    <w:rsid w:val="0051437A"/>
    <w:rsid w:val="0051449F"/>
    <w:rsid w:val="0051508B"/>
    <w:rsid w:val="0051570C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967"/>
    <w:rsid w:val="00530DE6"/>
    <w:rsid w:val="00531FAE"/>
    <w:rsid w:val="0053589B"/>
    <w:rsid w:val="00535CDB"/>
    <w:rsid w:val="00535E49"/>
    <w:rsid w:val="0053659F"/>
    <w:rsid w:val="00537D18"/>
    <w:rsid w:val="00537D95"/>
    <w:rsid w:val="005417AF"/>
    <w:rsid w:val="00543780"/>
    <w:rsid w:val="005450EB"/>
    <w:rsid w:val="0054574A"/>
    <w:rsid w:val="00546646"/>
    <w:rsid w:val="0054665C"/>
    <w:rsid w:val="00547A43"/>
    <w:rsid w:val="00550C47"/>
    <w:rsid w:val="00552694"/>
    <w:rsid w:val="0055337B"/>
    <w:rsid w:val="0055377C"/>
    <w:rsid w:val="00553860"/>
    <w:rsid w:val="005541F4"/>
    <w:rsid w:val="00554717"/>
    <w:rsid w:val="00555261"/>
    <w:rsid w:val="00556DE6"/>
    <w:rsid w:val="005574AF"/>
    <w:rsid w:val="0055785D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F62"/>
    <w:rsid w:val="00574588"/>
    <w:rsid w:val="00574619"/>
    <w:rsid w:val="005746F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4C44"/>
    <w:rsid w:val="0059556C"/>
    <w:rsid w:val="00596B76"/>
    <w:rsid w:val="00597DD9"/>
    <w:rsid w:val="005A0ACF"/>
    <w:rsid w:val="005A0C34"/>
    <w:rsid w:val="005A2501"/>
    <w:rsid w:val="005A34B6"/>
    <w:rsid w:val="005A3E34"/>
    <w:rsid w:val="005A44FF"/>
    <w:rsid w:val="005A4BD9"/>
    <w:rsid w:val="005A51C6"/>
    <w:rsid w:val="005A576D"/>
    <w:rsid w:val="005A5BAB"/>
    <w:rsid w:val="005A5CB3"/>
    <w:rsid w:val="005A6604"/>
    <w:rsid w:val="005A7E09"/>
    <w:rsid w:val="005B08A6"/>
    <w:rsid w:val="005B0F22"/>
    <w:rsid w:val="005B0F27"/>
    <w:rsid w:val="005B1A31"/>
    <w:rsid w:val="005B2B4F"/>
    <w:rsid w:val="005B2CB5"/>
    <w:rsid w:val="005B3439"/>
    <w:rsid w:val="005B4E85"/>
    <w:rsid w:val="005B5E17"/>
    <w:rsid w:val="005B6CC1"/>
    <w:rsid w:val="005C1943"/>
    <w:rsid w:val="005C22C2"/>
    <w:rsid w:val="005C501A"/>
    <w:rsid w:val="005C5673"/>
    <w:rsid w:val="005C6D52"/>
    <w:rsid w:val="005C6F67"/>
    <w:rsid w:val="005C7858"/>
    <w:rsid w:val="005C7A9A"/>
    <w:rsid w:val="005C7FCE"/>
    <w:rsid w:val="005D11A5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1295"/>
    <w:rsid w:val="005F2075"/>
    <w:rsid w:val="005F2341"/>
    <w:rsid w:val="005F2B48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D62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54FF"/>
    <w:rsid w:val="00635832"/>
    <w:rsid w:val="00635AB6"/>
    <w:rsid w:val="006361B1"/>
    <w:rsid w:val="006365E9"/>
    <w:rsid w:val="00636E18"/>
    <w:rsid w:val="00637228"/>
    <w:rsid w:val="00641E0B"/>
    <w:rsid w:val="0064225E"/>
    <w:rsid w:val="0064298D"/>
    <w:rsid w:val="0064364F"/>
    <w:rsid w:val="006445A3"/>
    <w:rsid w:val="00645115"/>
    <w:rsid w:val="006464CF"/>
    <w:rsid w:val="00647A7A"/>
    <w:rsid w:val="00650724"/>
    <w:rsid w:val="0065124E"/>
    <w:rsid w:val="006513A0"/>
    <w:rsid w:val="00652C4F"/>
    <w:rsid w:val="00654860"/>
    <w:rsid w:val="00654F37"/>
    <w:rsid w:val="00655662"/>
    <w:rsid w:val="00656ABE"/>
    <w:rsid w:val="00657521"/>
    <w:rsid w:val="0066000B"/>
    <w:rsid w:val="0066030A"/>
    <w:rsid w:val="00661C43"/>
    <w:rsid w:val="00662C23"/>
    <w:rsid w:val="0066473E"/>
    <w:rsid w:val="00664F66"/>
    <w:rsid w:val="00665069"/>
    <w:rsid w:val="0066537B"/>
    <w:rsid w:val="00665718"/>
    <w:rsid w:val="00665E8C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5F12"/>
    <w:rsid w:val="00687672"/>
    <w:rsid w:val="00690FB6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DE0"/>
    <w:rsid w:val="006C3F79"/>
    <w:rsid w:val="006C4E8E"/>
    <w:rsid w:val="006C53A0"/>
    <w:rsid w:val="006C5E9B"/>
    <w:rsid w:val="006C6D77"/>
    <w:rsid w:val="006C7240"/>
    <w:rsid w:val="006C74D6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F80"/>
    <w:rsid w:val="006D7FC7"/>
    <w:rsid w:val="006E00DA"/>
    <w:rsid w:val="006E04F7"/>
    <w:rsid w:val="006E0941"/>
    <w:rsid w:val="006E0B68"/>
    <w:rsid w:val="006E0EAD"/>
    <w:rsid w:val="006E1DC5"/>
    <w:rsid w:val="006E2EFD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620"/>
    <w:rsid w:val="006F3D73"/>
    <w:rsid w:val="006F5A87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6F8"/>
    <w:rsid w:val="007133E9"/>
    <w:rsid w:val="007137B3"/>
    <w:rsid w:val="00713BD4"/>
    <w:rsid w:val="00714542"/>
    <w:rsid w:val="00714837"/>
    <w:rsid w:val="00714EF0"/>
    <w:rsid w:val="00714F04"/>
    <w:rsid w:val="00715087"/>
    <w:rsid w:val="007158C7"/>
    <w:rsid w:val="00715D0C"/>
    <w:rsid w:val="00716F27"/>
    <w:rsid w:val="00717727"/>
    <w:rsid w:val="00717B00"/>
    <w:rsid w:val="00720DE3"/>
    <w:rsid w:val="00721C6A"/>
    <w:rsid w:val="007227EC"/>
    <w:rsid w:val="00722F2C"/>
    <w:rsid w:val="00723293"/>
    <w:rsid w:val="00723439"/>
    <w:rsid w:val="00723CB3"/>
    <w:rsid w:val="00724D46"/>
    <w:rsid w:val="007252D4"/>
    <w:rsid w:val="00727012"/>
    <w:rsid w:val="0072723A"/>
    <w:rsid w:val="00727D29"/>
    <w:rsid w:val="00730E2D"/>
    <w:rsid w:val="0073142D"/>
    <w:rsid w:val="007330A4"/>
    <w:rsid w:val="00733C05"/>
    <w:rsid w:val="00734568"/>
    <w:rsid w:val="0073460E"/>
    <w:rsid w:val="007349F9"/>
    <w:rsid w:val="00734A12"/>
    <w:rsid w:val="00736EAE"/>
    <w:rsid w:val="00737F9B"/>
    <w:rsid w:val="007402C2"/>
    <w:rsid w:val="0074044C"/>
    <w:rsid w:val="007405B1"/>
    <w:rsid w:val="00742174"/>
    <w:rsid w:val="00742C4C"/>
    <w:rsid w:val="00743577"/>
    <w:rsid w:val="007435D3"/>
    <w:rsid w:val="00744C66"/>
    <w:rsid w:val="007464CC"/>
    <w:rsid w:val="00747238"/>
    <w:rsid w:val="00747B4B"/>
    <w:rsid w:val="00750679"/>
    <w:rsid w:val="00751EDA"/>
    <w:rsid w:val="00754851"/>
    <w:rsid w:val="007575D0"/>
    <w:rsid w:val="00757649"/>
    <w:rsid w:val="007609D5"/>
    <w:rsid w:val="007611AD"/>
    <w:rsid w:val="0076126B"/>
    <w:rsid w:val="007613B3"/>
    <w:rsid w:val="00762FBA"/>
    <w:rsid w:val="0076473F"/>
    <w:rsid w:val="00764748"/>
    <w:rsid w:val="00765515"/>
    <w:rsid w:val="00766F28"/>
    <w:rsid w:val="007713E8"/>
    <w:rsid w:val="00771967"/>
    <w:rsid w:val="00771AA1"/>
    <w:rsid w:val="0077322C"/>
    <w:rsid w:val="00774715"/>
    <w:rsid w:val="00774999"/>
    <w:rsid w:val="00774F98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BB9"/>
    <w:rsid w:val="00786FE5"/>
    <w:rsid w:val="007870B3"/>
    <w:rsid w:val="00787297"/>
    <w:rsid w:val="007877DC"/>
    <w:rsid w:val="0079039B"/>
    <w:rsid w:val="007908E2"/>
    <w:rsid w:val="00793842"/>
    <w:rsid w:val="007953B5"/>
    <w:rsid w:val="00795F3C"/>
    <w:rsid w:val="00796271"/>
    <w:rsid w:val="00796431"/>
    <w:rsid w:val="007964DC"/>
    <w:rsid w:val="00797D07"/>
    <w:rsid w:val="00797EC1"/>
    <w:rsid w:val="007A03B9"/>
    <w:rsid w:val="007A06C5"/>
    <w:rsid w:val="007A0B4E"/>
    <w:rsid w:val="007A117C"/>
    <w:rsid w:val="007A2635"/>
    <w:rsid w:val="007A3BFB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E88"/>
    <w:rsid w:val="007D275E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4023"/>
    <w:rsid w:val="007F40D6"/>
    <w:rsid w:val="007F41A0"/>
    <w:rsid w:val="007F5346"/>
    <w:rsid w:val="007F742B"/>
    <w:rsid w:val="007F7CBC"/>
    <w:rsid w:val="0080130F"/>
    <w:rsid w:val="008026FE"/>
    <w:rsid w:val="00802F9F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12E1"/>
    <w:rsid w:val="008413A8"/>
    <w:rsid w:val="00842443"/>
    <w:rsid w:val="00843285"/>
    <w:rsid w:val="00843386"/>
    <w:rsid w:val="00844479"/>
    <w:rsid w:val="00844C79"/>
    <w:rsid w:val="00846122"/>
    <w:rsid w:val="008466C4"/>
    <w:rsid w:val="00850FDB"/>
    <w:rsid w:val="008510D6"/>
    <w:rsid w:val="008522B5"/>
    <w:rsid w:val="00853C4A"/>
    <w:rsid w:val="00854190"/>
    <w:rsid w:val="00854682"/>
    <w:rsid w:val="00856359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21A5"/>
    <w:rsid w:val="00872847"/>
    <w:rsid w:val="00872C9B"/>
    <w:rsid w:val="00872FDB"/>
    <w:rsid w:val="00873451"/>
    <w:rsid w:val="00873471"/>
    <w:rsid w:val="0087619E"/>
    <w:rsid w:val="00877706"/>
    <w:rsid w:val="00877F7D"/>
    <w:rsid w:val="008811FC"/>
    <w:rsid w:val="00881D54"/>
    <w:rsid w:val="008825CE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F38"/>
    <w:rsid w:val="00893E72"/>
    <w:rsid w:val="00896BC2"/>
    <w:rsid w:val="00896C06"/>
    <w:rsid w:val="008A072D"/>
    <w:rsid w:val="008A1815"/>
    <w:rsid w:val="008A1C42"/>
    <w:rsid w:val="008A2D63"/>
    <w:rsid w:val="008A3348"/>
    <w:rsid w:val="008A3889"/>
    <w:rsid w:val="008A4BAF"/>
    <w:rsid w:val="008A5CE1"/>
    <w:rsid w:val="008A5EE6"/>
    <w:rsid w:val="008A6398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1B38"/>
    <w:rsid w:val="008D3273"/>
    <w:rsid w:val="008D3CA0"/>
    <w:rsid w:val="008D4696"/>
    <w:rsid w:val="008D6805"/>
    <w:rsid w:val="008D6CA8"/>
    <w:rsid w:val="008D733D"/>
    <w:rsid w:val="008E0A95"/>
    <w:rsid w:val="008E14A5"/>
    <w:rsid w:val="008E2336"/>
    <w:rsid w:val="008E27A7"/>
    <w:rsid w:val="008E33F9"/>
    <w:rsid w:val="008E34A2"/>
    <w:rsid w:val="008E34AE"/>
    <w:rsid w:val="008E4D1F"/>
    <w:rsid w:val="008E78B4"/>
    <w:rsid w:val="008F047E"/>
    <w:rsid w:val="008F2841"/>
    <w:rsid w:val="008F2959"/>
    <w:rsid w:val="008F399F"/>
    <w:rsid w:val="008F39F1"/>
    <w:rsid w:val="008F432C"/>
    <w:rsid w:val="008F7ADB"/>
    <w:rsid w:val="009001B0"/>
    <w:rsid w:val="00900940"/>
    <w:rsid w:val="0090288E"/>
    <w:rsid w:val="009038F9"/>
    <w:rsid w:val="009055D6"/>
    <w:rsid w:val="00905AAB"/>
    <w:rsid w:val="009068C3"/>
    <w:rsid w:val="00910432"/>
    <w:rsid w:val="0091050C"/>
    <w:rsid w:val="00911A8D"/>
    <w:rsid w:val="009139AF"/>
    <w:rsid w:val="009148EC"/>
    <w:rsid w:val="00914CD2"/>
    <w:rsid w:val="00915EF9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EAC"/>
    <w:rsid w:val="00937529"/>
    <w:rsid w:val="00940DF7"/>
    <w:rsid w:val="00942405"/>
    <w:rsid w:val="00942818"/>
    <w:rsid w:val="00942AD5"/>
    <w:rsid w:val="00943510"/>
    <w:rsid w:val="00943A66"/>
    <w:rsid w:val="00944371"/>
    <w:rsid w:val="00944529"/>
    <w:rsid w:val="00944CB3"/>
    <w:rsid w:val="00944D10"/>
    <w:rsid w:val="009450BA"/>
    <w:rsid w:val="009454B6"/>
    <w:rsid w:val="00946929"/>
    <w:rsid w:val="00946D29"/>
    <w:rsid w:val="009474F2"/>
    <w:rsid w:val="00950E7E"/>
    <w:rsid w:val="0095625A"/>
    <w:rsid w:val="00956446"/>
    <w:rsid w:val="00957B4C"/>
    <w:rsid w:val="009603BF"/>
    <w:rsid w:val="00960F24"/>
    <w:rsid w:val="00960FAF"/>
    <w:rsid w:val="0096172B"/>
    <w:rsid w:val="00961C91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1E1A"/>
    <w:rsid w:val="00971EE1"/>
    <w:rsid w:val="00973197"/>
    <w:rsid w:val="00973E14"/>
    <w:rsid w:val="009753FB"/>
    <w:rsid w:val="00975439"/>
    <w:rsid w:val="009756E8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6110"/>
    <w:rsid w:val="009869D5"/>
    <w:rsid w:val="00987232"/>
    <w:rsid w:val="00990EC7"/>
    <w:rsid w:val="00991B95"/>
    <w:rsid w:val="00991D3E"/>
    <w:rsid w:val="00992840"/>
    <w:rsid w:val="00994CC4"/>
    <w:rsid w:val="00995379"/>
    <w:rsid w:val="009968AC"/>
    <w:rsid w:val="00996911"/>
    <w:rsid w:val="00996DB9"/>
    <w:rsid w:val="009976E7"/>
    <w:rsid w:val="009A044E"/>
    <w:rsid w:val="009A10DD"/>
    <w:rsid w:val="009A11ED"/>
    <w:rsid w:val="009A1795"/>
    <w:rsid w:val="009A1CB0"/>
    <w:rsid w:val="009A2547"/>
    <w:rsid w:val="009A4D66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DD6"/>
    <w:rsid w:val="009C1B29"/>
    <w:rsid w:val="009C1C07"/>
    <w:rsid w:val="009C1F84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674E"/>
    <w:rsid w:val="009D6791"/>
    <w:rsid w:val="009D7835"/>
    <w:rsid w:val="009D7EFC"/>
    <w:rsid w:val="009E05AC"/>
    <w:rsid w:val="009E172B"/>
    <w:rsid w:val="009E1B55"/>
    <w:rsid w:val="009E204D"/>
    <w:rsid w:val="009E253A"/>
    <w:rsid w:val="009E25F5"/>
    <w:rsid w:val="009E39C0"/>
    <w:rsid w:val="009E4CE0"/>
    <w:rsid w:val="009E5367"/>
    <w:rsid w:val="009E7B93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021A"/>
    <w:rsid w:val="00A0178C"/>
    <w:rsid w:val="00A01D67"/>
    <w:rsid w:val="00A02A33"/>
    <w:rsid w:val="00A031CC"/>
    <w:rsid w:val="00A0323B"/>
    <w:rsid w:val="00A04192"/>
    <w:rsid w:val="00A04474"/>
    <w:rsid w:val="00A0482C"/>
    <w:rsid w:val="00A0762A"/>
    <w:rsid w:val="00A0776D"/>
    <w:rsid w:val="00A0778F"/>
    <w:rsid w:val="00A1004D"/>
    <w:rsid w:val="00A1182A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A52"/>
    <w:rsid w:val="00A23246"/>
    <w:rsid w:val="00A24A2E"/>
    <w:rsid w:val="00A25889"/>
    <w:rsid w:val="00A2710F"/>
    <w:rsid w:val="00A3034C"/>
    <w:rsid w:val="00A325EE"/>
    <w:rsid w:val="00A338A1"/>
    <w:rsid w:val="00A349CB"/>
    <w:rsid w:val="00A34E5A"/>
    <w:rsid w:val="00A3508F"/>
    <w:rsid w:val="00A35D8A"/>
    <w:rsid w:val="00A364F7"/>
    <w:rsid w:val="00A36DDD"/>
    <w:rsid w:val="00A378ED"/>
    <w:rsid w:val="00A425BA"/>
    <w:rsid w:val="00A42EEB"/>
    <w:rsid w:val="00A430E2"/>
    <w:rsid w:val="00A4316F"/>
    <w:rsid w:val="00A44A0C"/>
    <w:rsid w:val="00A454B6"/>
    <w:rsid w:val="00A4559F"/>
    <w:rsid w:val="00A45FC0"/>
    <w:rsid w:val="00A472F8"/>
    <w:rsid w:val="00A50571"/>
    <w:rsid w:val="00A50AEA"/>
    <w:rsid w:val="00A5314F"/>
    <w:rsid w:val="00A53F81"/>
    <w:rsid w:val="00A54055"/>
    <w:rsid w:val="00A54B25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B7"/>
    <w:rsid w:val="00A7149F"/>
    <w:rsid w:val="00A72C93"/>
    <w:rsid w:val="00A72DB7"/>
    <w:rsid w:val="00A72FF3"/>
    <w:rsid w:val="00A7410C"/>
    <w:rsid w:val="00A76082"/>
    <w:rsid w:val="00A7784F"/>
    <w:rsid w:val="00A80A07"/>
    <w:rsid w:val="00A811D6"/>
    <w:rsid w:val="00A81F02"/>
    <w:rsid w:val="00A82860"/>
    <w:rsid w:val="00A82F07"/>
    <w:rsid w:val="00A832BA"/>
    <w:rsid w:val="00A8331B"/>
    <w:rsid w:val="00A84963"/>
    <w:rsid w:val="00A84D9C"/>
    <w:rsid w:val="00A85048"/>
    <w:rsid w:val="00A86552"/>
    <w:rsid w:val="00A86CD7"/>
    <w:rsid w:val="00A86D7C"/>
    <w:rsid w:val="00A8750A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253F"/>
    <w:rsid w:val="00AA25AC"/>
    <w:rsid w:val="00AA2D58"/>
    <w:rsid w:val="00AA4A27"/>
    <w:rsid w:val="00AA4C06"/>
    <w:rsid w:val="00AA5C1F"/>
    <w:rsid w:val="00AB0ED1"/>
    <w:rsid w:val="00AB16F3"/>
    <w:rsid w:val="00AB23B0"/>
    <w:rsid w:val="00AB2567"/>
    <w:rsid w:val="00AB365A"/>
    <w:rsid w:val="00AB3A63"/>
    <w:rsid w:val="00AB4201"/>
    <w:rsid w:val="00AB48D1"/>
    <w:rsid w:val="00AB4CFC"/>
    <w:rsid w:val="00AB58F2"/>
    <w:rsid w:val="00AB5E9F"/>
    <w:rsid w:val="00AB61EF"/>
    <w:rsid w:val="00AB689B"/>
    <w:rsid w:val="00AB7541"/>
    <w:rsid w:val="00AB7CDE"/>
    <w:rsid w:val="00AC0AAA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613B"/>
    <w:rsid w:val="00AE079E"/>
    <w:rsid w:val="00AE0D0C"/>
    <w:rsid w:val="00AE1BA9"/>
    <w:rsid w:val="00AE2387"/>
    <w:rsid w:val="00AE6E19"/>
    <w:rsid w:val="00AE724E"/>
    <w:rsid w:val="00AE76A8"/>
    <w:rsid w:val="00AF09A0"/>
    <w:rsid w:val="00AF18A6"/>
    <w:rsid w:val="00AF18CA"/>
    <w:rsid w:val="00AF1CFD"/>
    <w:rsid w:val="00AF2617"/>
    <w:rsid w:val="00AF2AE5"/>
    <w:rsid w:val="00AF2B00"/>
    <w:rsid w:val="00AF3AD9"/>
    <w:rsid w:val="00AF4640"/>
    <w:rsid w:val="00AF5145"/>
    <w:rsid w:val="00AF58F3"/>
    <w:rsid w:val="00AF5ABA"/>
    <w:rsid w:val="00B0149D"/>
    <w:rsid w:val="00B014EC"/>
    <w:rsid w:val="00B04FE2"/>
    <w:rsid w:val="00B05126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2C18"/>
    <w:rsid w:val="00B33037"/>
    <w:rsid w:val="00B33732"/>
    <w:rsid w:val="00B35C7E"/>
    <w:rsid w:val="00B36448"/>
    <w:rsid w:val="00B377F6"/>
    <w:rsid w:val="00B416B1"/>
    <w:rsid w:val="00B426A2"/>
    <w:rsid w:val="00B43376"/>
    <w:rsid w:val="00B44209"/>
    <w:rsid w:val="00B44CCC"/>
    <w:rsid w:val="00B44EAC"/>
    <w:rsid w:val="00B465C8"/>
    <w:rsid w:val="00B472C9"/>
    <w:rsid w:val="00B47F43"/>
    <w:rsid w:val="00B506AC"/>
    <w:rsid w:val="00B50A15"/>
    <w:rsid w:val="00B50D1B"/>
    <w:rsid w:val="00B50E2C"/>
    <w:rsid w:val="00B51364"/>
    <w:rsid w:val="00B517ED"/>
    <w:rsid w:val="00B52F1D"/>
    <w:rsid w:val="00B53170"/>
    <w:rsid w:val="00B536A8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475C"/>
    <w:rsid w:val="00B649F7"/>
    <w:rsid w:val="00B667C6"/>
    <w:rsid w:val="00B66DB7"/>
    <w:rsid w:val="00B67ADB"/>
    <w:rsid w:val="00B70A7F"/>
    <w:rsid w:val="00B716B3"/>
    <w:rsid w:val="00B71C25"/>
    <w:rsid w:val="00B71D4B"/>
    <w:rsid w:val="00B7214B"/>
    <w:rsid w:val="00B73636"/>
    <w:rsid w:val="00B7370E"/>
    <w:rsid w:val="00B73C08"/>
    <w:rsid w:val="00B7439C"/>
    <w:rsid w:val="00B7657E"/>
    <w:rsid w:val="00B76793"/>
    <w:rsid w:val="00B76C42"/>
    <w:rsid w:val="00B76CBC"/>
    <w:rsid w:val="00B80C63"/>
    <w:rsid w:val="00B8390E"/>
    <w:rsid w:val="00B83CA3"/>
    <w:rsid w:val="00B84219"/>
    <w:rsid w:val="00B84275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35D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EDB"/>
    <w:rsid w:val="00BA4441"/>
    <w:rsid w:val="00BA46B0"/>
    <w:rsid w:val="00BA47DA"/>
    <w:rsid w:val="00BA4E91"/>
    <w:rsid w:val="00BA5E59"/>
    <w:rsid w:val="00BA75F2"/>
    <w:rsid w:val="00BB0F17"/>
    <w:rsid w:val="00BB1A4D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D9"/>
    <w:rsid w:val="00BE180E"/>
    <w:rsid w:val="00BE19CD"/>
    <w:rsid w:val="00BE21A8"/>
    <w:rsid w:val="00BE2827"/>
    <w:rsid w:val="00BE2CB6"/>
    <w:rsid w:val="00BE331A"/>
    <w:rsid w:val="00BE4444"/>
    <w:rsid w:val="00BE48B7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62"/>
    <w:rsid w:val="00BF6F8D"/>
    <w:rsid w:val="00BF7738"/>
    <w:rsid w:val="00C00471"/>
    <w:rsid w:val="00C014C6"/>
    <w:rsid w:val="00C01839"/>
    <w:rsid w:val="00C02043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FB0"/>
    <w:rsid w:val="00C24142"/>
    <w:rsid w:val="00C257EC"/>
    <w:rsid w:val="00C25B6F"/>
    <w:rsid w:val="00C25CA5"/>
    <w:rsid w:val="00C2648E"/>
    <w:rsid w:val="00C27BE2"/>
    <w:rsid w:val="00C30194"/>
    <w:rsid w:val="00C30F85"/>
    <w:rsid w:val="00C31129"/>
    <w:rsid w:val="00C313E7"/>
    <w:rsid w:val="00C3210B"/>
    <w:rsid w:val="00C34EEE"/>
    <w:rsid w:val="00C3561D"/>
    <w:rsid w:val="00C3654D"/>
    <w:rsid w:val="00C369FE"/>
    <w:rsid w:val="00C410EB"/>
    <w:rsid w:val="00C4196A"/>
    <w:rsid w:val="00C41CF2"/>
    <w:rsid w:val="00C41E47"/>
    <w:rsid w:val="00C42F00"/>
    <w:rsid w:val="00C43453"/>
    <w:rsid w:val="00C44924"/>
    <w:rsid w:val="00C45097"/>
    <w:rsid w:val="00C45C93"/>
    <w:rsid w:val="00C461EB"/>
    <w:rsid w:val="00C50077"/>
    <w:rsid w:val="00C51720"/>
    <w:rsid w:val="00C520D7"/>
    <w:rsid w:val="00C52B35"/>
    <w:rsid w:val="00C5372C"/>
    <w:rsid w:val="00C53769"/>
    <w:rsid w:val="00C55CD2"/>
    <w:rsid w:val="00C55E91"/>
    <w:rsid w:val="00C562B4"/>
    <w:rsid w:val="00C56832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49F"/>
    <w:rsid w:val="00C676D3"/>
    <w:rsid w:val="00C7054B"/>
    <w:rsid w:val="00C71439"/>
    <w:rsid w:val="00C72AE9"/>
    <w:rsid w:val="00C7375A"/>
    <w:rsid w:val="00C74048"/>
    <w:rsid w:val="00C74654"/>
    <w:rsid w:val="00C74775"/>
    <w:rsid w:val="00C74F0F"/>
    <w:rsid w:val="00C754A8"/>
    <w:rsid w:val="00C75F55"/>
    <w:rsid w:val="00C76725"/>
    <w:rsid w:val="00C81867"/>
    <w:rsid w:val="00C81AAE"/>
    <w:rsid w:val="00C81EBC"/>
    <w:rsid w:val="00C847AA"/>
    <w:rsid w:val="00C84C3A"/>
    <w:rsid w:val="00C86300"/>
    <w:rsid w:val="00C8679C"/>
    <w:rsid w:val="00C8685C"/>
    <w:rsid w:val="00C87645"/>
    <w:rsid w:val="00C87795"/>
    <w:rsid w:val="00C8788F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4072"/>
    <w:rsid w:val="00CB484D"/>
    <w:rsid w:val="00CB517A"/>
    <w:rsid w:val="00CB61C9"/>
    <w:rsid w:val="00CB62EE"/>
    <w:rsid w:val="00CB7176"/>
    <w:rsid w:val="00CB730C"/>
    <w:rsid w:val="00CC0F4A"/>
    <w:rsid w:val="00CC0F68"/>
    <w:rsid w:val="00CC22B1"/>
    <w:rsid w:val="00CC2C93"/>
    <w:rsid w:val="00CC2DC4"/>
    <w:rsid w:val="00CC384C"/>
    <w:rsid w:val="00CC3988"/>
    <w:rsid w:val="00CC53F4"/>
    <w:rsid w:val="00CC5AF3"/>
    <w:rsid w:val="00CC68BF"/>
    <w:rsid w:val="00CC7C45"/>
    <w:rsid w:val="00CD13B1"/>
    <w:rsid w:val="00CD28EC"/>
    <w:rsid w:val="00CD2DC8"/>
    <w:rsid w:val="00CD561D"/>
    <w:rsid w:val="00CD6EF5"/>
    <w:rsid w:val="00CE052C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72AC"/>
    <w:rsid w:val="00D0011E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5D74"/>
    <w:rsid w:val="00D1722E"/>
    <w:rsid w:val="00D20B08"/>
    <w:rsid w:val="00D2261D"/>
    <w:rsid w:val="00D228B8"/>
    <w:rsid w:val="00D24515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44F3"/>
    <w:rsid w:val="00D3524B"/>
    <w:rsid w:val="00D357A4"/>
    <w:rsid w:val="00D36238"/>
    <w:rsid w:val="00D36EB1"/>
    <w:rsid w:val="00D375AE"/>
    <w:rsid w:val="00D4029D"/>
    <w:rsid w:val="00D44EDE"/>
    <w:rsid w:val="00D451A5"/>
    <w:rsid w:val="00D451C1"/>
    <w:rsid w:val="00D45283"/>
    <w:rsid w:val="00D477C3"/>
    <w:rsid w:val="00D47DE7"/>
    <w:rsid w:val="00D51271"/>
    <w:rsid w:val="00D51828"/>
    <w:rsid w:val="00D53DC5"/>
    <w:rsid w:val="00D5465D"/>
    <w:rsid w:val="00D5517C"/>
    <w:rsid w:val="00D55406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36FB"/>
    <w:rsid w:val="00D73AAF"/>
    <w:rsid w:val="00D73B35"/>
    <w:rsid w:val="00D74B08"/>
    <w:rsid w:val="00D75B0B"/>
    <w:rsid w:val="00D775D2"/>
    <w:rsid w:val="00D77855"/>
    <w:rsid w:val="00D80D94"/>
    <w:rsid w:val="00D8118D"/>
    <w:rsid w:val="00D82637"/>
    <w:rsid w:val="00D83283"/>
    <w:rsid w:val="00D83D34"/>
    <w:rsid w:val="00D85155"/>
    <w:rsid w:val="00D85F3F"/>
    <w:rsid w:val="00D86169"/>
    <w:rsid w:val="00D8652F"/>
    <w:rsid w:val="00D86BF7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83F"/>
    <w:rsid w:val="00D970E9"/>
    <w:rsid w:val="00D97E49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5117"/>
    <w:rsid w:val="00DA61B6"/>
    <w:rsid w:val="00DA68C1"/>
    <w:rsid w:val="00DA71E0"/>
    <w:rsid w:val="00DA7808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545A"/>
    <w:rsid w:val="00DC585F"/>
    <w:rsid w:val="00DC77F2"/>
    <w:rsid w:val="00DC78DB"/>
    <w:rsid w:val="00DC7F7D"/>
    <w:rsid w:val="00DD028A"/>
    <w:rsid w:val="00DD08C1"/>
    <w:rsid w:val="00DD19C8"/>
    <w:rsid w:val="00DD2278"/>
    <w:rsid w:val="00DD4F3E"/>
    <w:rsid w:val="00DD67A9"/>
    <w:rsid w:val="00DD6EA5"/>
    <w:rsid w:val="00DD75C0"/>
    <w:rsid w:val="00DD7C85"/>
    <w:rsid w:val="00DE2574"/>
    <w:rsid w:val="00DE2C5D"/>
    <w:rsid w:val="00DE4BD0"/>
    <w:rsid w:val="00DE58C9"/>
    <w:rsid w:val="00DE58D7"/>
    <w:rsid w:val="00DE62BC"/>
    <w:rsid w:val="00DE7572"/>
    <w:rsid w:val="00DE7BEA"/>
    <w:rsid w:val="00DE7DAF"/>
    <w:rsid w:val="00DF16FC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5C1A"/>
    <w:rsid w:val="00E064CA"/>
    <w:rsid w:val="00E06813"/>
    <w:rsid w:val="00E10053"/>
    <w:rsid w:val="00E111E4"/>
    <w:rsid w:val="00E13B47"/>
    <w:rsid w:val="00E15933"/>
    <w:rsid w:val="00E15B99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7328"/>
    <w:rsid w:val="00E479DF"/>
    <w:rsid w:val="00E505D8"/>
    <w:rsid w:val="00E50B83"/>
    <w:rsid w:val="00E51530"/>
    <w:rsid w:val="00E5252F"/>
    <w:rsid w:val="00E528C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DE8"/>
    <w:rsid w:val="00E86672"/>
    <w:rsid w:val="00E86E0C"/>
    <w:rsid w:val="00E900CF"/>
    <w:rsid w:val="00E908C6"/>
    <w:rsid w:val="00E93450"/>
    <w:rsid w:val="00E9372A"/>
    <w:rsid w:val="00E93AFD"/>
    <w:rsid w:val="00E95441"/>
    <w:rsid w:val="00E97970"/>
    <w:rsid w:val="00E979A5"/>
    <w:rsid w:val="00E97C50"/>
    <w:rsid w:val="00EA03D8"/>
    <w:rsid w:val="00EA0DB1"/>
    <w:rsid w:val="00EA507E"/>
    <w:rsid w:val="00EA5747"/>
    <w:rsid w:val="00EA73BA"/>
    <w:rsid w:val="00EA7745"/>
    <w:rsid w:val="00EB0F28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202F"/>
    <w:rsid w:val="00EC25AB"/>
    <w:rsid w:val="00EC3DF9"/>
    <w:rsid w:val="00EC4F93"/>
    <w:rsid w:val="00EC5679"/>
    <w:rsid w:val="00EC5764"/>
    <w:rsid w:val="00EC5DBE"/>
    <w:rsid w:val="00EC5DE6"/>
    <w:rsid w:val="00EC6C65"/>
    <w:rsid w:val="00ED0FC6"/>
    <w:rsid w:val="00ED1C3D"/>
    <w:rsid w:val="00ED2264"/>
    <w:rsid w:val="00ED2B1D"/>
    <w:rsid w:val="00ED412E"/>
    <w:rsid w:val="00ED41A8"/>
    <w:rsid w:val="00ED44D2"/>
    <w:rsid w:val="00ED452D"/>
    <w:rsid w:val="00ED5035"/>
    <w:rsid w:val="00ED5703"/>
    <w:rsid w:val="00ED5DD6"/>
    <w:rsid w:val="00ED6AF2"/>
    <w:rsid w:val="00ED7BC1"/>
    <w:rsid w:val="00EE04D4"/>
    <w:rsid w:val="00EE0C71"/>
    <w:rsid w:val="00EE29BE"/>
    <w:rsid w:val="00EE3C34"/>
    <w:rsid w:val="00EE3CDA"/>
    <w:rsid w:val="00EF038F"/>
    <w:rsid w:val="00EF07C3"/>
    <w:rsid w:val="00EF1944"/>
    <w:rsid w:val="00EF26AE"/>
    <w:rsid w:val="00EF27B5"/>
    <w:rsid w:val="00EF493E"/>
    <w:rsid w:val="00EF607A"/>
    <w:rsid w:val="00EF6331"/>
    <w:rsid w:val="00EF6482"/>
    <w:rsid w:val="00EF71FF"/>
    <w:rsid w:val="00EF773B"/>
    <w:rsid w:val="00F00241"/>
    <w:rsid w:val="00F00777"/>
    <w:rsid w:val="00F01AED"/>
    <w:rsid w:val="00F02876"/>
    <w:rsid w:val="00F06185"/>
    <w:rsid w:val="00F064C3"/>
    <w:rsid w:val="00F109A7"/>
    <w:rsid w:val="00F10BFD"/>
    <w:rsid w:val="00F10D7E"/>
    <w:rsid w:val="00F11D60"/>
    <w:rsid w:val="00F12451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A13"/>
    <w:rsid w:val="00F27FA1"/>
    <w:rsid w:val="00F3032E"/>
    <w:rsid w:val="00F3124A"/>
    <w:rsid w:val="00F313E8"/>
    <w:rsid w:val="00F31EFE"/>
    <w:rsid w:val="00F3277D"/>
    <w:rsid w:val="00F32822"/>
    <w:rsid w:val="00F3329B"/>
    <w:rsid w:val="00F33D35"/>
    <w:rsid w:val="00F340F0"/>
    <w:rsid w:val="00F343CC"/>
    <w:rsid w:val="00F34F38"/>
    <w:rsid w:val="00F350F7"/>
    <w:rsid w:val="00F35253"/>
    <w:rsid w:val="00F36405"/>
    <w:rsid w:val="00F36950"/>
    <w:rsid w:val="00F371E7"/>
    <w:rsid w:val="00F3733F"/>
    <w:rsid w:val="00F3762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FFC"/>
    <w:rsid w:val="00F62A93"/>
    <w:rsid w:val="00F62AF9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EEA"/>
    <w:rsid w:val="00F8461A"/>
    <w:rsid w:val="00F84BEC"/>
    <w:rsid w:val="00F852BE"/>
    <w:rsid w:val="00F8731D"/>
    <w:rsid w:val="00F87CAF"/>
    <w:rsid w:val="00F87FA4"/>
    <w:rsid w:val="00F90063"/>
    <w:rsid w:val="00F90A3D"/>
    <w:rsid w:val="00F90EC0"/>
    <w:rsid w:val="00F91222"/>
    <w:rsid w:val="00F92352"/>
    <w:rsid w:val="00F9267B"/>
    <w:rsid w:val="00F93B7A"/>
    <w:rsid w:val="00F94ACE"/>
    <w:rsid w:val="00F94AE5"/>
    <w:rsid w:val="00F94EAF"/>
    <w:rsid w:val="00F96581"/>
    <w:rsid w:val="00F96AF2"/>
    <w:rsid w:val="00F96F50"/>
    <w:rsid w:val="00F970A7"/>
    <w:rsid w:val="00F9738D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3A2"/>
    <w:rsid w:val="00FB15EB"/>
    <w:rsid w:val="00FB3A29"/>
    <w:rsid w:val="00FB41AF"/>
    <w:rsid w:val="00FB47DE"/>
    <w:rsid w:val="00FB4A1C"/>
    <w:rsid w:val="00FB60CC"/>
    <w:rsid w:val="00FB60FB"/>
    <w:rsid w:val="00FB6635"/>
    <w:rsid w:val="00FB6B37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5D0"/>
    <w:rsid w:val="00FD0284"/>
    <w:rsid w:val="00FD1078"/>
    <w:rsid w:val="00FD12DB"/>
    <w:rsid w:val="00FD1306"/>
    <w:rsid w:val="00FD3713"/>
    <w:rsid w:val="00FD4587"/>
    <w:rsid w:val="00FD57E2"/>
    <w:rsid w:val="00FD66DD"/>
    <w:rsid w:val="00FD6921"/>
    <w:rsid w:val="00FD77C2"/>
    <w:rsid w:val="00FE1F8E"/>
    <w:rsid w:val="00FE2ED7"/>
    <w:rsid w:val="00FE329D"/>
    <w:rsid w:val="00FE34B0"/>
    <w:rsid w:val="00FE3AFB"/>
    <w:rsid w:val="00FE3E6F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E5C"/>
    <w:rsid w:val="00FF4658"/>
    <w:rsid w:val="00FF556A"/>
    <w:rsid w:val="00FF609F"/>
    <w:rsid w:val="00FF6DE4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12E38"/>
    <w:pPr>
      <w:spacing w:before="120" w:after="120"/>
      <w:jc w:val="left"/>
    </w:pPr>
    <w:rPr>
      <w:b/>
      <w:bCs/>
      <w:color w:val="13576B"/>
      <w14:ligatures w14:val="standardContextual"/>
    </w:rPr>
  </w:style>
  <w:style w:type="paragraph" w:customStyle="1" w:styleId="CBAodstavecvTABULCE">
    <w:name w:val="CBA odstavec v TABULCE"/>
    <w:basedOn w:val="Normln"/>
    <w:qFormat/>
    <w:rsid w:val="00212E38"/>
    <w:pPr>
      <w:spacing w:before="120" w:after="120"/>
      <w:jc w:val="left"/>
    </w:pPr>
    <w:rPr>
      <w:color w:val="1357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amonitor.cz/kategorie/cba-hypomonit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baonlin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1133</Words>
  <Characters>6689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3</cp:revision>
  <cp:lastPrinted>2024-08-12T11:42:00Z</cp:lastPrinted>
  <dcterms:created xsi:type="dcterms:W3CDTF">2024-11-15T12:40:00Z</dcterms:created>
  <dcterms:modified xsi:type="dcterms:W3CDTF">2024-11-15T12:40:00Z</dcterms:modified>
</cp:coreProperties>
</file>