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DCA57" w14:textId="670A5426" w:rsidR="003D3759" w:rsidRPr="00616069" w:rsidRDefault="003D3759" w:rsidP="003D3759">
      <w:pPr>
        <w:rPr>
          <w:rFonts w:ascii="Calibri" w:hAnsi="Calibri" w:cs="Calibri"/>
          <w:b/>
          <w:color w:val="13576B"/>
          <w:sz w:val="32"/>
          <w:szCs w:val="32"/>
        </w:rPr>
      </w:pPr>
      <w:bookmarkStart w:id="0" w:name="_Hlk111121205"/>
      <w:bookmarkStart w:id="1" w:name="_Hlk116472656"/>
      <w:r w:rsidRPr="00616069">
        <w:rPr>
          <w:rFonts w:ascii="Calibri" w:hAnsi="Calibri" w:cs="Calibri"/>
          <w:b/>
          <w:color w:val="13576B"/>
          <w:sz w:val="32"/>
          <w:szCs w:val="32"/>
        </w:rPr>
        <w:t xml:space="preserve">ČBA </w:t>
      </w:r>
      <w:proofErr w:type="spellStart"/>
      <w:r w:rsidRPr="00616069">
        <w:rPr>
          <w:rFonts w:ascii="Calibri" w:hAnsi="Calibri" w:cs="Calibri"/>
          <w:b/>
          <w:color w:val="13576B"/>
          <w:sz w:val="32"/>
          <w:szCs w:val="32"/>
        </w:rPr>
        <w:t>Hypomonitor</w:t>
      </w:r>
      <w:proofErr w:type="spellEnd"/>
      <w:r w:rsidRPr="00616069">
        <w:rPr>
          <w:rFonts w:ascii="Calibri" w:hAnsi="Calibri" w:cs="Calibri"/>
          <w:b/>
          <w:color w:val="13576B"/>
          <w:sz w:val="32"/>
          <w:szCs w:val="32"/>
        </w:rPr>
        <w:t xml:space="preserve">: </w:t>
      </w:r>
      <w:r w:rsidR="00FA5F7E">
        <w:rPr>
          <w:rFonts w:ascii="Calibri" w:hAnsi="Calibri" w:cs="Calibri"/>
          <w:b/>
          <w:color w:val="13576B"/>
          <w:sz w:val="32"/>
          <w:szCs w:val="32"/>
        </w:rPr>
        <w:t>Hypoteční aktivita v červenci dále zesílila</w:t>
      </w:r>
      <w:r w:rsidR="00A72DB7">
        <w:rPr>
          <w:rFonts w:ascii="Calibri" w:hAnsi="Calibri" w:cs="Calibri"/>
          <w:b/>
          <w:color w:val="13576B"/>
          <w:sz w:val="32"/>
          <w:szCs w:val="32"/>
        </w:rPr>
        <w:t xml:space="preserve">, průměrná sazba </w:t>
      </w:r>
      <w:r w:rsidR="00FA5F7E">
        <w:rPr>
          <w:rFonts w:ascii="Calibri" w:hAnsi="Calibri" w:cs="Calibri"/>
          <w:b/>
          <w:color w:val="13576B"/>
          <w:sz w:val="32"/>
          <w:szCs w:val="32"/>
        </w:rPr>
        <w:t>se mírně zvýšila na 5,07 %</w:t>
      </w:r>
      <w:r w:rsidR="00A72DB7">
        <w:rPr>
          <w:rFonts w:ascii="Calibri" w:hAnsi="Calibri" w:cs="Calibri"/>
          <w:b/>
          <w:color w:val="13576B"/>
          <w:sz w:val="32"/>
          <w:szCs w:val="32"/>
        </w:rPr>
        <w:t>.</w:t>
      </w:r>
    </w:p>
    <w:bookmarkEnd w:id="0"/>
    <w:p w14:paraId="5E7258BB" w14:textId="77777777" w:rsidR="0001227F" w:rsidRPr="00616069" w:rsidRDefault="0001227F" w:rsidP="0001227F">
      <w:pPr>
        <w:rPr>
          <w:rFonts w:ascii="Calibri" w:hAnsi="Calibri" w:cs="Calibri"/>
          <w:b/>
          <w:bCs/>
        </w:rPr>
      </w:pPr>
    </w:p>
    <w:p w14:paraId="44CE3940" w14:textId="4C611A7F" w:rsidR="0001227F" w:rsidRPr="00616069" w:rsidRDefault="000C12F1" w:rsidP="0001227F">
      <w:pPr>
        <w:rPr>
          <w:rFonts w:ascii="Calibri" w:hAnsi="Calibri" w:cs="Calibri"/>
          <w:b/>
          <w:color w:val="13576B"/>
          <w:sz w:val="22"/>
          <w:szCs w:val="22"/>
        </w:rPr>
      </w:pPr>
      <w:bookmarkStart w:id="2" w:name="_Hlk111121194"/>
      <w:r w:rsidRPr="00616069">
        <w:rPr>
          <w:rFonts w:ascii="Calibri" w:hAnsi="Calibri" w:cs="Calibri"/>
          <w:b/>
          <w:color w:val="13576B"/>
          <w:sz w:val="22"/>
          <w:szCs w:val="22"/>
        </w:rPr>
        <w:t xml:space="preserve">Praha, </w:t>
      </w:r>
      <w:r w:rsidR="005861DC">
        <w:rPr>
          <w:rFonts w:ascii="Calibri" w:hAnsi="Calibri" w:cs="Calibri"/>
          <w:b/>
          <w:color w:val="13576B"/>
          <w:sz w:val="22"/>
          <w:szCs w:val="22"/>
        </w:rPr>
        <w:t>1</w:t>
      </w:r>
      <w:r w:rsidR="009869D5">
        <w:rPr>
          <w:rFonts w:ascii="Calibri" w:hAnsi="Calibri" w:cs="Calibri"/>
          <w:b/>
          <w:color w:val="13576B"/>
          <w:sz w:val="22"/>
          <w:szCs w:val="22"/>
        </w:rPr>
        <w:t>3</w:t>
      </w:r>
      <w:r w:rsidRPr="00616069">
        <w:rPr>
          <w:rFonts w:ascii="Calibri" w:hAnsi="Calibri" w:cs="Calibri"/>
          <w:b/>
          <w:color w:val="13576B"/>
          <w:sz w:val="22"/>
          <w:szCs w:val="22"/>
        </w:rPr>
        <w:t>.</w:t>
      </w:r>
      <w:r w:rsidR="00B96FD4" w:rsidRPr="00616069">
        <w:rPr>
          <w:rFonts w:ascii="Calibri" w:hAnsi="Calibri" w:cs="Calibri"/>
          <w:b/>
          <w:color w:val="13576B"/>
          <w:sz w:val="22"/>
          <w:szCs w:val="22"/>
        </w:rPr>
        <w:t xml:space="preserve"> </w:t>
      </w:r>
      <w:r w:rsidR="009869D5">
        <w:rPr>
          <w:rFonts w:ascii="Calibri" w:hAnsi="Calibri" w:cs="Calibri"/>
          <w:b/>
          <w:color w:val="13576B"/>
          <w:sz w:val="22"/>
          <w:szCs w:val="22"/>
        </w:rPr>
        <w:t xml:space="preserve">srpna </w:t>
      </w:r>
      <w:r w:rsidRPr="00616069">
        <w:rPr>
          <w:rFonts w:ascii="Calibri" w:hAnsi="Calibri" w:cs="Calibri"/>
          <w:b/>
          <w:color w:val="13576B"/>
          <w:sz w:val="22"/>
          <w:szCs w:val="22"/>
        </w:rPr>
        <w:t>202</w:t>
      </w:r>
      <w:r w:rsidR="008E4D1F" w:rsidRPr="00616069">
        <w:rPr>
          <w:rFonts w:ascii="Calibri" w:hAnsi="Calibri" w:cs="Calibri"/>
          <w:b/>
          <w:color w:val="13576B"/>
          <w:sz w:val="22"/>
          <w:szCs w:val="22"/>
        </w:rPr>
        <w:t>4</w:t>
      </w:r>
      <w:r w:rsidRPr="00616069">
        <w:rPr>
          <w:rFonts w:ascii="Calibri" w:hAnsi="Calibri" w:cs="Calibri"/>
          <w:b/>
          <w:color w:val="13576B"/>
          <w:sz w:val="22"/>
          <w:szCs w:val="22"/>
        </w:rPr>
        <w:t xml:space="preserve"> – </w:t>
      </w:r>
      <w:bookmarkEnd w:id="2"/>
      <w:r w:rsidR="00CA3B1F" w:rsidRPr="00616069">
        <w:rPr>
          <w:rFonts w:ascii="Calibri" w:hAnsi="Calibri" w:cs="Calibri"/>
          <w:b/>
          <w:color w:val="13576B"/>
          <w:sz w:val="22"/>
          <w:szCs w:val="22"/>
        </w:rPr>
        <w:t xml:space="preserve">Banky a stavební spořitelny poskytly </w:t>
      </w:r>
      <w:r w:rsidR="00BC1D46" w:rsidRPr="00616069">
        <w:rPr>
          <w:rFonts w:ascii="Calibri" w:hAnsi="Calibri" w:cs="Calibri"/>
          <w:b/>
          <w:color w:val="13576B"/>
          <w:sz w:val="22"/>
          <w:szCs w:val="22"/>
        </w:rPr>
        <w:t>v</w:t>
      </w:r>
      <w:r w:rsidR="00A72DB7">
        <w:rPr>
          <w:rFonts w:ascii="Calibri" w:hAnsi="Calibri" w:cs="Calibri"/>
          <w:b/>
          <w:color w:val="13576B"/>
          <w:sz w:val="22"/>
          <w:szCs w:val="22"/>
        </w:rPr>
        <w:t> červ</w:t>
      </w:r>
      <w:r w:rsidR="00210A9C">
        <w:rPr>
          <w:rFonts w:ascii="Calibri" w:hAnsi="Calibri" w:cs="Calibri"/>
          <w:b/>
          <w:color w:val="13576B"/>
          <w:sz w:val="22"/>
          <w:szCs w:val="22"/>
        </w:rPr>
        <w:t>enci</w:t>
      </w:r>
      <w:r w:rsidR="00A72DB7">
        <w:rPr>
          <w:rFonts w:ascii="Calibri" w:hAnsi="Calibri" w:cs="Calibri"/>
          <w:b/>
          <w:color w:val="13576B"/>
          <w:sz w:val="22"/>
          <w:szCs w:val="22"/>
        </w:rPr>
        <w:t xml:space="preserve"> letošního </w:t>
      </w:r>
      <w:r w:rsidR="008E4D1F" w:rsidRPr="00616069">
        <w:rPr>
          <w:rFonts w:ascii="Calibri" w:hAnsi="Calibri" w:cs="Calibri"/>
          <w:b/>
          <w:color w:val="13576B"/>
          <w:sz w:val="22"/>
          <w:szCs w:val="22"/>
        </w:rPr>
        <w:t>roku</w:t>
      </w:r>
      <w:r w:rsidR="006002FC" w:rsidRPr="00616069">
        <w:rPr>
          <w:rFonts w:ascii="Calibri" w:hAnsi="Calibri" w:cs="Calibri"/>
          <w:b/>
          <w:color w:val="13576B"/>
          <w:sz w:val="22"/>
          <w:szCs w:val="22"/>
        </w:rPr>
        <w:t xml:space="preserve"> </w:t>
      </w:r>
      <w:r w:rsidR="00CA3B1F" w:rsidRPr="00616069">
        <w:rPr>
          <w:rFonts w:ascii="Calibri" w:hAnsi="Calibri" w:cs="Calibri"/>
          <w:b/>
          <w:color w:val="13576B"/>
          <w:sz w:val="22"/>
          <w:szCs w:val="22"/>
        </w:rPr>
        <w:t xml:space="preserve">hypoteční úvěry </w:t>
      </w:r>
      <w:r w:rsidR="00635AB6">
        <w:rPr>
          <w:rFonts w:ascii="Calibri" w:hAnsi="Calibri" w:cs="Calibri"/>
          <w:b/>
          <w:color w:val="13576B"/>
          <w:sz w:val="22"/>
          <w:szCs w:val="22"/>
        </w:rPr>
        <w:t>za 2</w:t>
      </w:r>
      <w:r w:rsidR="00210A9C">
        <w:rPr>
          <w:rFonts w:ascii="Calibri" w:hAnsi="Calibri" w:cs="Calibri"/>
          <w:b/>
          <w:color w:val="13576B"/>
          <w:sz w:val="22"/>
          <w:szCs w:val="22"/>
        </w:rPr>
        <w:t>3</w:t>
      </w:r>
      <w:r w:rsidR="00635AB6">
        <w:rPr>
          <w:rFonts w:ascii="Calibri" w:hAnsi="Calibri" w:cs="Calibri"/>
          <w:b/>
          <w:color w:val="13576B"/>
          <w:sz w:val="22"/>
          <w:szCs w:val="22"/>
        </w:rPr>
        <w:t>,</w:t>
      </w:r>
      <w:r w:rsidR="00210A9C">
        <w:rPr>
          <w:rFonts w:ascii="Calibri" w:hAnsi="Calibri" w:cs="Calibri"/>
          <w:b/>
          <w:color w:val="13576B"/>
          <w:sz w:val="22"/>
          <w:szCs w:val="22"/>
        </w:rPr>
        <w:t>8</w:t>
      </w:r>
      <w:r w:rsidR="00635AB6">
        <w:rPr>
          <w:rFonts w:ascii="Calibri" w:hAnsi="Calibri" w:cs="Calibri"/>
          <w:b/>
          <w:color w:val="13576B"/>
          <w:sz w:val="22"/>
          <w:szCs w:val="22"/>
        </w:rPr>
        <w:t xml:space="preserve"> mld. Kč</w:t>
      </w:r>
      <w:r w:rsidR="00C81EBC">
        <w:rPr>
          <w:rFonts w:ascii="Calibri" w:hAnsi="Calibri" w:cs="Calibri"/>
          <w:b/>
          <w:color w:val="13576B"/>
          <w:sz w:val="22"/>
          <w:szCs w:val="22"/>
        </w:rPr>
        <w:t>, z toho skutečně nové úvěry</w:t>
      </w:r>
      <w:r w:rsidR="00635AB6">
        <w:rPr>
          <w:rFonts w:ascii="Calibri" w:hAnsi="Calibri" w:cs="Calibri"/>
          <w:b/>
          <w:color w:val="13576B"/>
          <w:sz w:val="22"/>
          <w:szCs w:val="22"/>
        </w:rPr>
        <w:t xml:space="preserve"> činily </w:t>
      </w:r>
      <w:r w:rsidR="00210A9C">
        <w:rPr>
          <w:rFonts w:ascii="Calibri" w:hAnsi="Calibri" w:cs="Calibri"/>
          <w:b/>
          <w:color w:val="13576B"/>
          <w:sz w:val="22"/>
          <w:szCs w:val="22"/>
        </w:rPr>
        <w:t>19,6</w:t>
      </w:r>
      <w:r w:rsidR="00635AB6">
        <w:rPr>
          <w:rFonts w:ascii="Calibri" w:hAnsi="Calibri" w:cs="Calibri"/>
          <w:b/>
          <w:color w:val="13576B"/>
          <w:sz w:val="22"/>
          <w:szCs w:val="22"/>
        </w:rPr>
        <w:t xml:space="preserve"> mld</w:t>
      </w:r>
      <w:r w:rsidR="00944CB3">
        <w:rPr>
          <w:rFonts w:ascii="Calibri" w:hAnsi="Calibri" w:cs="Calibri"/>
          <w:b/>
          <w:color w:val="13576B"/>
          <w:sz w:val="22"/>
          <w:szCs w:val="22"/>
        </w:rPr>
        <w:t>.</w:t>
      </w:r>
      <w:r w:rsidR="00635AB6">
        <w:rPr>
          <w:rFonts w:ascii="Calibri" w:hAnsi="Calibri" w:cs="Calibri"/>
          <w:b/>
          <w:color w:val="13576B"/>
          <w:sz w:val="22"/>
          <w:szCs w:val="22"/>
        </w:rPr>
        <w:t xml:space="preserve"> Kč</w:t>
      </w:r>
      <w:r w:rsidR="00210A9C">
        <w:rPr>
          <w:rFonts w:ascii="Calibri" w:hAnsi="Calibri" w:cs="Calibri"/>
          <w:b/>
          <w:color w:val="13576B"/>
          <w:sz w:val="22"/>
          <w:szCs w:val="22"/>
        </w:rPr>
        <w:t>. Oproti červnu se hypoteční aktivita mírně snížila,</w:t>
      </w:r>
      <w:r w:rsidR="00942AD5">
        <w:rPr>
          <w:rFonts w:ascii="Calibri" w:hAnsi="Calibri" w:cs="Calibri"/>
          <w:b/>
          <w:color w:val="13576B"/>
          <w:sz w:val="22"/>
          <w:szCs w:val="22"/>
        </w:rPr>
        <w:t xml:space="preserve"> to je však pro červenec tradiční vývoj a </w:t>
      </w:r>
      <w:r w:rsidR="00210A9C">
        <w:rPr>
          <w:rFonts w:ascii="Calibri" w:hAnsi="Calibri" w:cs="Calibri"/>
          <w:b/>
          <w:color w:val="13576B"/>
          <w:sz w:val="22"/>
          <w:szCs w:val="22"/>
        </w:rPr>
        <w:t xml:space="preserve">po </w:t>
      </w:r>
      <w:r w:rsidR="00250C73">
        <w:rPr>
          <w:rFonts w:ascii="Calibri" w:hAnsi="Calibri" w:cs="Calibri"/>
          <w:b/>
          <w:color w:val="13576B"/>
          <w:sz w:val="22"/>
          <w:szCs w:val="22"/>
        </w:rPr>
        <w:t>jeho zohlednění</w:t>
      </w:r>
      <w:r w:rsidR="00210A9C">
        <w:rPr>
          <w:rFonts w:ascii="Calibri" w:hAnsi="Calibri" w:cs="Calibri"/>
          <w:b/>
          <w:color w:val="13576B"/>
          <w:sz w:val="22"/>
          <w:szCs w:val="22"/>
        </w:rPr>
        <w:t xml:space="preserve"> </w:t>
      </w:r>
      <w:r w:rsidR="00942AD5">
        <w:rPr>
          <w:rFonts w:ascii="Calibri" w:hAnsi="Calibri" w:cs="Calibri"/>
          <w:b/>
          <w:color w:val="13576B"/>
          <w:sz w:val="22"/>
          <w:szCs w:val="22"/>
        </w:rPr>
        <w:t xml:space="preserve">by </w:t>
      </w:r>
      <w:r w:rsidR="00FA5F7E">
        <w:rPr>
          <w:rFonts w:ascii="Calibri" w:hAnsi="Calibri" w:cs="Calibri"/>
          <w:b/>
          <w:color w:val="13576B"/>
          <w:sz w:val="22"/>
          <w:szCs w:val="22"/>
        </w:rPr>
        <w:t xml:space="preserve">meziměsíční </w:t>
      </w:r>
      <w:r w:rsidR="00942AD5">
        <w:rPr>
          <w:rFonts w:ascii="Calibri" w:hAnsi="Calibri" w:cs="Calibri"/>
          <w:b/>
          <w:color w:val="13576B"/>
          <w:sz w:val="22"/>
          <w:szCs w:val="22"/>
        </w:rPr>
        <w:t xml:space="preserve">aktivita </w:t>
      </w:r>
      <w:r w:rsidR="00250C73">
        <w:rPr>
          <w:rFonts w:ascii="Calibri" w:hAnsi="Calibri" w:cs="Calibri"/>
          <w:b/>
          <w:color w:val="13576B"/>
          <w:sz w:val="22"/>
          <w:szCs w:val="22"/>
        </w:rPr>
        <w:t>byla vyšší</w:t>
      </w:r>
      <w:r w:rsidR="00210A9C">
        <w:rPr>
          <w:rFonts w:ascii="Calibri" w:hAnsi="Calibri" w:cs="Calibri"/>
          <w:b/>
          <w:color w:val="13576B"/>
          <w:sz w:val="22"/>
          <w:szCs w:val="22"/>
        </w:rPr>
        <w:t xml:space="preserve">. V meziročním </w:t>
      </w:r>
      <w:r w:rsidR="00635AB6">
        <w:rPr>
          <w:rFonts w:ascii="Calibri" w:hAnsi="Calibri" w:cs="Calibri"/>
          <w:b/>
          <w:color w:val="13576B"/>
          <w:sz w:val="22"/>
          <w:szCs w:val="22"/>
        </w:rPr>
        <w:t>vyjádření růst z</w:t>
      </w:r>
      <w:r w:rsidR="00210A9C">
        <w:rPr>
          <w:rFonts w:ascii="Calibri" w:hAnsi="Calibri" w:cs="Calibri"/>
          <w:b/>
          <w:color w:val="13576B"/>
          <w:sz w:val="22"/>
          <w:szCs w:val="22"/>
        </w:rPr>
        <w:t xml:space="preserve">rychlil z červnových 80 % na téměř 110 %, což </w:t>
      </w:r>
      <w:r w:rsidR="00FA5F7E">
        <w:rPr>
          <w:rFonts w:ascii="Calibri" w:hAnsi="Calibri" w:cs="Calibri"/>
          <w:b/>
          <w:color w:val="13576B"/>
          <w:sz w:val="22"/>
          <w:szCs w:val="22"/>
        </w:rPr>
        <w:t xml:space="preserve">rovněž </w:t>
      </w:r>
      <w:r w:rsidR="00942AD5">
        <w:rPr>
          <w:rFonts w:ascii="Calibri" w:hAnsi="Calibri" w:cs="Calibri"/>
          <w:b/>
          <w:color w:val="13576B"/>
          <w:sz w:val="22"/>
          <w:szCs w:val="22"/>
        </w:rPr>
        <w:t>ilustruje</w:t>
      </w:r>
      <w:r w:rsidR="00210A9C">
        <w:rPr>
          <w:rFonts w:ascii="Calibri" w:hAnsi="Calibri" w:cs="Calibri"/>
          <w:b/>
          <w:color w:val="13576B"/>
          <w:sz w:val="22"/>
          <w:szCs w:val="22"/>
        </w:rPr>
        <w:t xml:space="preserve"> příznivý </w:t>
      </w:r>
      <w:r w:rsidR="00FA5F7E">
        <w:rPr>
          <w:rFonts w:ascii="Calibri" w:hAnsi="Calibri" w:cs="Calibri"/>
          <w:b/>
          <w:color w:val="13576B"/>
          <w:sz w:val="22"/>
          <w:szCs w:val="22"/>
        </w:rPr>
        <w:t xml:space="preserve">červencový </w:t>
      </w:r>
      <w:r w:rsidR="00210A9C">
        <w:rPr>
          <w:rFonts w:ascii="Calibri" w:hAnsi="Calibri" w:cs="Calibri"/>
          <w:b/>
          <w:color w:val="13576B"/>
          <w:sz w:val="22"/>
          <w:szCs w:val="22"/>
        </w:rPr>
        <w:t xml:space="preserve">vývoj. </w:t>
      </w:r>
      <w:r w:rsidR="00FA5F7E">
        <w:rPr>
          <w:rFonts w:ascii="Calibri" w:hAnsi="Calibri" w:cs="Calibri"/>
          <w:b/>
          <w:color w:val="13576B"/>
          <w:sz w:val="22"/>
          <w:szCs w:val="22"/>
        </w:rPr>
        <w:t>H</w:t>
      </w:r>
      <w:r w:rsidR="00CE052C">
        <w:rPr>
          <w:rFonts w:ascii="Calibri" w:hAnsi="Calibri" w:cs="Calibri"/>
          <w:b/>
          <w:color w:val="13576B"/>
          <w:sz w:val="22"/>
          <w:szCs w:val="22"/>
        </w:rPr>
        <w:t>ypoteční trh v </w:t>
      </w:r>
      <w:r w:rsidR="00535E49">
        <w:rPr>
          <w:rFonts w:ascii="Calibri" w:hAnsi="Calibri" w:cs="Calibri"/>
          <w:b/>
          <w:color w:val="13576B"/>
          <w:sz w:val="22"/>
          <w:szCs w:val="22"/>
        </w:rPr>
        <w:t>letošním</w:t>
      </w:r>
      <w:r w:rsidR="00CE052C">
        <w:rPr>
          <w:rFonts w:ascii="Calibri" w:hAnsi="Calibri" w:cs="Calibri"/>
          <w:b/>
          <w:color w:val="13576B"/>
          <w:sz w:val="22"/>
          <w:szCs w:val="22"/>
        </w:rPr>
        <w:t xml:space="preserve"> roce tak</w:t>
      </w:r>
      <w:r w:rsidR="00FA5F7E">
        <w:rPr>
          <w:rFonts w:ascii="Calibri" w:hAnsi="Calibri" w:cs="Calibri"/>
          <w:b/>
          <w:color w:val="13576B"/>
          <w:sz w:val="22"/>
          <w:szCs w:val="22"/>
        </w:rPr>
        <w:t xml:space="preserve"> pokračuje v oživování </w:t>
      </w:r>
      <w:r w:rsidR="00535E49">
        <w:rPr>
          <w:rFonts w:ascii="Calibri" w:hAnsi="Calibri" w:cs="Calibri"/>
          <w:b/>
          <w:color w:val="13576B"/>
          <w:sz w:val="22"/>
          <w:szCs w:val="22"/>
        </w:rPr>
        <w:t>a</w:t>
      </w:r>
      <w:r w:rsidR="00CE052C">
        <w:rPr>
          <w:rFonts w:ascii="Calibri" w:hAnsi="Calibri" w:cs="Calibri"/>
          <w:b/>
          <w:color w:val="13576B"/>
          <w:sz w:val="22"/>
          <w:szCs w:val="22"/>
        </w:rPr>
        <w:t xml:space="preserve"> obj</w:t>
      </w:r>
      <w:r w:rsidR="00535E49">
        <w:rPr>
          <w:rFonts w:ascii="Calibri" w:hAnsi="Calibri" w:cs="Calibri"/>
          <w:b/>
          <w:color w:val="13576B"/>
          <w:sz w:val="22"/>
          <w:szCs w:val="22"/>
        </w:rPr>
        <w:t>e</w:t>
      </w:r>
      <w:r w:rsidR="00CE052C">
        <w:rPr>
          <w:rFonts w:ascii="Calibri" w:hAnsi="Calibri" w:cs="Calibri"/>
          <w:b/>
          <w:color w:val="13576B"/>
          <w:sz w:val="22"/>
          <w:szCs w:val="22"/>
        </w:rPr>
        <w:t xml:space="preserve">my poskytnutých hypoték se v posledních </w:t>
      </w:r>
      <w:r w:rsidR="00535E49">
        <w:rPr>
          <w:rFonts w:ascii="Calibri" w:hAnsi="Calibri" w:cs="Calibri"/>
          <w:b/>
          <w:color w:val="13576B"/>
          <w:sz w:val="22"/>
          <w:szCs w:val="22"/>
        </w:rPr>
        <w:t>měsících</w:t>
      </w:r>
      <w:r w:rsidR="00CE052C">
        <w:rPr>
          <w:rFonts w:ascii="Calibri" w:hAnsi="Calibri" w:cs="Calibri"/>
          <w:b/>
          <w:color w:val="13576B"/>
          <w:sz w:val="22"/>
          <w:szCs w:val="22"/>
        </w:rPr>
        <w:t xml:space="preserve"> již dostaly nad úrovně roku 2020. </w:t>
      </w:r>
      <w:r w:rsidR="008E4D1F" w:rsidRPr="00616069">
        <w:rPr>
          <w:rFonts w:ascii="Calibri" w:hAnsi="Calibri" w:cs="Calibri"/>
          <w:b/>
          <w:color w:val="13576B"/>
          <w:sz w:val="22"/>
          <w:szCs w:val="22"/>
        </w:rPr>
        <w:t>Průměrná hypoteční sazba</w:t>
      </w:r>
      <w:r w:rsidR="008E27A7" w:rsidRPr="00616069">
        <w:rPr>
          <w:rFonts w:ascii="Calibri" w:hAnsi="Calibri" w:cs="Calibri"/>
          <w:b/>
          <w:color w:val="13576B"/>
          <w:sz w:val="22"/>
          <w:szCs w:val="22"/>
        </w:rPr>
        <w:t xml:space="preserve"> u nových úvěrů</w:t>
      </w:r>
      <w:r w:rsidR="00210A9C">
        <w:rPr>
          <w:rFonts w:ascii="Calibri" w:hAnsi="Calibri" w:cs="Calibri"/>
          <w:b/>
          <w:color w:val="13576B"/>
          <w:sz w:val="22"/>
          <w:szCs w:val="22"/>
        </w:rPr>
        <w:t xml:space="preserve"> poprvé v letošním roce m</w:t>
      </w:r>
      <w:r w:rsidR="00FA5F7E">
        <w:rPr>
          <w:rFonts w:ascii="Calibri" w:hAnsi="Calibri" w:cs="Calibri"/>
          <w:b/>
          <w:color w:val="13576B"/>
          <w:sz w:val="22"/>
          <w:szCs w:val="22"/>
        </w:rPr>
        <w:t>í</w:t>
      </w:r>
      <w:r w:rsidR="00210A9C">
        <w:rPr>
          <w:rFonts w:ascii="Calibri" w:hAnsi="Calibri" w:cs="Calibri"/>
          <w:b/>
          <w:color w:val="13576B"/>
          <w:sz w:val="22"/>
          <w:szCs w:val="22"/>
        </w:rPr>
        <w:t xml:space="preserve">rně vzrostla z 5,05 na 5,07 %. Vývoj tržních úrokových sazeb však patrně znovu otevírá prostor pro </w:t>
      </w:r>
      <w:r w:rsidR="00FA5F7E">
        <w:rPr>
          <w:rFonts w:ascii="Calibri" w:hAnsi="Calibri" w:cs="Calibri"/>
          <w:b/>
          <w:color w:val="13576B"/>
          <w:sz w:val="22"/>
          <w:szCs w:val="22"/>
        </w:rPr>
        <w:t>jej</w:t>
      </w:r>
      <w:r w:rsidR="00AA4A27">
        <w:rPr>
          <w:rFonts w:ascii="Calibri" w:hAnsi="Calibri" w:cs="Calibri"/>
          <w:b/>
          <w:color w:val="13576B"/>
          <w:sz w:val="22"/>
          <w:szCs w:val="22"/>
        </w:rPr>
        <w:t xml:space="preserve">í </w:t>
      </w:r>
      <w:r w:rsidR="00250C73">
        <w:rPr>
          <w:rFonts w:ascii="Calibri" w:hAnsi="Calibri" w:cs="Calibri"/>
          <w:b/>
          <w:color w:val="13576B"/>
          <w:sz w:val="22"/>
          <w:szCs w:val="22"/>
        </w:rPr>
        <w:t xml:space="preserve">budoucí </w:t>
      </w:r>
      <w:r w:rsidR="00210A9C">
        <w:rPr>
          <w:rFonts w:ascii="Calibri" w:hAnsi="Calibri" w:cs="Calibri"/>
          <w:b/>
          <w:color w:val="13576B"/>
          <w:sz w:val="22"/>
          <w:szCs w:val="22"/>
        </w:rPr>
        <w:t>pokles</w:t>
      </w:r>
      <w:r w:rsidR="00250C73">
        <w:rPr>
          <w:rFonts w:ascii="Calibri" w:hAnsi="Calibri" w:cs="Calibri"/>
          <w:b/>
          <w:color w:val="13576B"/>
          <w:sz w:val="22"/>
          <w:szCs w:val="22"/>
        </w:rPr>
        <w:t xml:space="preserve">. </w:t>
      </w:r>
      <w:r w:rsidR="00A01D67">
        <w:rPr>
          <w:rFonts w:ascii="Calibri" w:hAnsi="Calibri" w:cs="Calibri"/>
          <w:b/>
          <w:color w:val="13576B"/>
          <w:sz w:val="22"/>
          <w:szCs w:val="22"/>
        </w:rPr>
        <w:t xml:space="preserve">Průměrná </w:t>
      </w:r>
      <w:r w:rsidR="00D0011E">
        <w:rPr>
          <w:rFonts w:ascii="Calibri" w:hAnsi="Calibri" w:cs="Calibri"/>
          <w:b/>
          <w:color w:val="13576B"/>
          <w:sz w:val="22"/>
          <w:szCs w:val="22"/>
        </w:rPr>
        <w:t xml:space="preserve">velikost </w:t>
      </w:r>
      <w:r w:rsidR="00A01D67">
        <w:rPr>
          <w:rFonts w:ascii="Calibri" w:hAnsi="Calibri" w:cs="Calibri"/>
          <w:b/>
          <w:color w:val="13576B"/>
          <w:sz w:val="22"/>
          <w:szCs w:val="22"/>
        </w:rPr>
        <w:t>hypoték</w:t>
      </w:r>
      <w:r w:rsidR="00D0011E">
        <w:rPr>
          <w:rFonts w:ascii="Calibri" w:hAnsi="Calibri" w:cs="Calibri"/>
          <w:b/>
          <w:color w:val="13576B"/>
          <w:sz w:val="22"/>
          <w:szCs w:val="22"/>
        </w:rPr>
        <w:t>y</w:t>
      </w:r>
      <w:r w:rsidR="00A01D67">
        <w:rPr>
          <w:rFonts w:ascii="Calibri" w:hAnsi="Calibri" w:cs="Calibri"/>
          <w:b/>
          <w:color w:val="13576B"/>
          <w:sz w:val="22"/>
          <w:szCs w:val="22"/>
        </w:rPr>
        <w:t xml:space="preserve"> se</w:t>
      </w:r>
      <w:r w:rsidR="00CE052C">
        <w:rPr>
          <w:rFonts w:ascii="Calibri" w:hAnsi="Calibri" w:cs="Calibri"/>
          <w:b/>
          <w:color w:val="13576B"/>
          <w:sz w:val="22"/>
          <w:szCs w:val="22"/>
        </w:rPr>
        <w:t xml:space="preserve"> dále</w:t>
      </w:r>
      <w:r w:rsidR="00A01D67">
        <w:rPr>
          <w:rFonts w:ascii="Calibri" w:hAnsi="Calibri" w:cs="Calibri"/>
          <w:b/>
          <w:color w:val="13576B"/>
          <w:sz w:val="22"/>
          <w:szCs w:val="22"/>
        </w:rPr>
        <w:t xml:space="preserve"> zvýšila na 3,</w:t>
      </w:r>
      <w:r w:rsidR="005203B7">
        <w:rPr>
          <w:rFonts w:ascii="Calibri" w:hAnsi="Calibri" w:cs="Calibri"/>
          <w:b/>
          <w:color w:val="13576B"/>
          <w:sz w:val="22"/>
          <w:szCs w:val="22"/>
        </w:rPr>
        <w:t>7</w:t>
      </w:r>
      <w:r w:rsidR="00210A9C">
        <w:rPr>
          <w:rFonts w:ascii="Calibri" w:hAnsi="Calibri" w:cs="Calibri"/>
          <w:b/>
          <w:color w:val="13576B"/>
          <w:sz w:val="22"/>
          <w:szCs w:val="22"/>
        </w:rPr>
        <w:t>7</w:t>
      </w:r>
      <w:r w:rsidR="00A01D67">
        <w:rPr>
          <w:rFonts w:ascii="Calibri" w:hAnsi="Calibri" w:cs="Calibri"/>
          <w:b/>
          <w:color w:val="13576B"/>
          <w:sz w:val="22"/>
          <w:szCs w:val="22"/>
        </w:rPr>
        <w:t xml:space="preserve"> mil. Kč. </w:t>
      </w:r>
      <w:r w:rsidR="00210A9C">
        <w:rPr>
          <w:rFonts w:ascii="Calibri" w:hAnsi="Calibri" w:cs="Calibri"/>
          <w:b/>
          <w:color w:val="13576B"/>
          <w:sz w:val="22"/>
          <w:szCs w:val="22"/>
        </w:rPr>
        <w:t xml:space="preserve">Vzhledem k opravě reportovaných údajů jednou významnou bankou byly hodnoty </w:t>
      </w:r>
      <w:r w:rsidR="00FA5F7E">
        <w:rPr>
          <w:rFonts w:ascii="Calibri" w:hAnsi="Calibri" w:cs="Calibri"/>
          <w:b/>
          <w:color w:val="13576B"/>
          <w:sz w:val="22"/>
          <w:szCs w:val="22"/>
        </w:rPr>
        <w:t>od února tohoto roku revidovány</w:t>
      </w:r>
      <w:r w:rsidR="00942AD5">
        <w:rPr>
          <w:rFonts w:ascii="Calibri" w:hAnsi="Calibri" w:cs="Calibri"/>
          <w:b/>
          <w:color w:val="13576B"/>
          <w:sz w:val="22"/>
          <w:szCs w:val="22"/>
        </w:rPr>
        <w:t xml:space="preserve">. </w:t>
      </w:r>
      <w:r w:rsidR="00CA3B1F" w:rsidRPr="00616069">
        <w:rPr>
          <w:rFonts w:ascii="Calibri" w:hAnsi="Calibri" w:cs="Calibri"/>
          <w:b/>
          <w:color w:val="13576B"/>
          <w:sz w:val="22"/>
          <w:szCs w:val="22"/>
        </w:rPr>
        <w:t>Uvedené informace plynou z</w:t>
      </w:r>
      <w:r w:rsidR="0082687A" w:rsidRPr="00616069">
        <w:rPr>
          <w:rFonts w:ascii="Calibri" w:hAnsi="Calibri" w:cs="Calibri"/>
          <w:b/>
          <w:color w:val="13576B"/>
          <w:sz w:val="22"/>
          <w:szCs w:val="22"/>
        </w:rPr>
        <w:t xml:space="preserve"> údajů </w:t>
      </w:r>
      <w:r w:rsidR="00CA3B1F" w:rsidRPr="00616069">
        <w:rPr>
          <w:rFonts w:ascii="Calibri" w:hAnsi="Calibri" w:cs="Calibri"/>
          <w:b/>
          <w:color w:val="13576B"/>
          <w:sz w:val="22"/>
          <w:szCs w:val="22"/>
        </w:rPr>
        <w:t xml:space="preserve">ČBA </w:t>
      </w:r>
      <w:proofErr w:type="spellStart"/>
      <w:r w:rsidR="00CA3B1F" w:rsidRPr="00616069">
        <w:rPr>
          <w:rFonts w:ascii="Calibri" w:hAnsi="Calibri" w:cs="Calibri"/>
          <w:b/>
          <w:color w:val="13576B"/>
          <w:sz w:val="22"/>
          <w:szCs w:val="22"/>
        </w:rPr>
        <w:t>Hypomonitoru</w:t>
      </w:r>
      <w:proofErr w:type="spellEnd"/>
      <w:r w:rsidR="00CA3B1F" w:rsidRPr="00616069">
        <w:rPr>
          <w:rFonts w:ascii="Calibri" w:hAnsi="Calibri" w:cs="Calibri"/>
          <w:b/>
          <w:color w:val="13576B"/>
          <w:sz w:val="22"/>
          <w:szCs w:val="22"/>
        </w:rPr>
        <w:t>, který zachycuje data všech tuzemských bank a stavebních spořitelen poskytujících hypoteční úvěry.</w:t>
      </w:r>
      <w:r w:rsidR="00251163" w:rsidRPr="00616069">
        <w:rPr>
          <w:rFonts w:ascii="Calibri" w:hAnsi="Calibri" w:cs="Calibri"/>
          <w:b/>
          <w:color w:val="13576B"/>
          <w:sz w:val="22"/>
          <w:szCs w:val="22"/>
        </w:rPr>
        <w:t xml:space="preserve"> </w:t>
      </w:r>
    </w:p>
    <w:p w14:paraId="2341B0FD" w14:textId="77777777" w:rsidR="009450BA" w:rsidRPr="00616069" w:rsidRDefault="009450BA" w:rsidP="0001227F">
      <w:pPr>
        <w:rPr>
          <w:rFonts w:ascii="Calibri" w:hAnsi="Calibri" w:cs="Calibri"/>
          <w:b/>
          <w:color w:val="13576B"/>
          <w:sz w:val="22"/>
          <w:szCs w:val="22"/>
        </w:rPr>
      </w:pPr>
    </w:p>
    <w:p w14:paraId="20AA364A" w14:textId="7C70C746" w:rsidR="003C41DD" w:rsidRPr="00616069" w:rsidRDefault="009D674E" w:rsidP="00B14557">
      <w:pPr>
        <w:rPr>
          <w:rFonts w:ascii="Calibri" w:hAnsi="Calibri" w:cs="Calibri"/>
          <w:b/>
          <w:color w:val="13576B"/>
          <w:sz w:val="24"/>
          <w:szCs w:val="24"/>
        </w:rPr>
      </w:pPr>
      <w:bookmarkStart w:id="3" w:name="_Hlk119308342"/>
      <w:bookmarkStart w:id="4" w:name="_Hlk111121228"/>
      <w:r w:rsidRPr="00616069">
        <w:rPr>
          <w:rFonts w:ascii="Calibri" w:hAnsi="Calibri" w:cs="Calibri"/>
          <w:b/>
          <w:color w:val="13576B"/>
          <w:sz w:val="24"/>
          <w:szCs w:val="24"/>
        </w:rPr>
        <w:t>Objem po</w:t>
      </w:r>
      <w:r w:rsidR="00E733D4" w:rsidRPr="00616069">
        <w:rPr>
          <w:rFonts w:ascii="Calibri" w:hAnsi="Calibri" w:cs="Calibri"/>
          <w:b/>
          <w:color w:val="13576B"/>
          <w:sz w:val="24"/>
          <w:szCs w:val="24"/>
        </w:rPr>
        <w:t>s</w:t>
      </w:r>
      <w:r w:rsidRPr="00616069">
        <w:rPr>
          <w:rFonts w:ascii="Calibri" w:hAnsi="Calibri" w:cs="Calibri"/>
          <w:b/>
          <w:color w:val="13576B"/>
          <w:sz w:val="24"/>
          <w:szCs w:val="24"/>
        </w:rPr>
        <w:t>kytnutých hypoték</w:t>
      </w:r>
      <w:r w:rsidR="003C41DD" w:rsidRPr="00616069">
        <w:rPr>
          <w:rFonts w:ascii="Calibri" w:hAnsi="Calibri" w:cs="Calibri"/>
          <w:b/>
          <w:color w:val="13576B"/>
          <w:sz w:val="24"/>
          <w:szCs w:val="24"/>
        </w:rPr>
        <w:t xml:space="preserve"> v</w:t>
      </w:r>
      <w:r w:rsidR="00535E49">
        <w:rPr>
          <w:rFonts w:ascii="Calibri" w:hAnsi="Calibri" w:cs="Calibri"/>
          <w:b/>
          <w:color w:val="13576B"/>
          <w:sz w:val="24"/>
          <w:szCs w:val="24"/>
        </w:rPr>
        <w:t> </w:t>
      </w:r>
      <w:r w:rsidR="00A72DB7">
        <w:rPr>
          <w:rFonts w:ascii="Calibri" w:hAnsi="Calibri" w:cs="Calibri"/>
          <w:b/>
          <w:color w:val="13576B"/>
          <w:sz w:val="24"/>
          <w:szCs w:val="24"/>
        </w:rPr>
        <w:t>čer</w:t>
      </w:r>
      <w:r w:rsidR="00AA4A27">
        <w:rPr>
          <w:rFonts w:ascii="Calibri" w:hAnsi="Calibri" w:cs="Calibri"/>
          <w:b/>
          <w:color w:val="13576B"/>
          <w:sz w:val="24"/>
          <w:szCs w:val="24"/>
        </w:rPr>
        <w:t>venci</w:t>
      </w:r>
      <w:r w:rsidR="00535E49">
        <w:rPr>
          <w:rFonts w:ascii="Calibri" w:hAnsi="Calibri" w:cs="Calibri"/>
          <w:b/>
          <w:color w:val="13576B"/>
          <w:sz w:val="24"/>
          <w:szCs w:val="24"/>
        </w:rPr>
        <w:t xml:space="preserve"> </w:t>
      </w:r>
      <w:bookmarkStart w:id="5" w:name="_Hlk119308363"/>
      <w:bookmarkEnd w:id="3"/>
      <w:r w:rsidR="00A72DB7">
        <w:rPr>
          <w:rFonts w:ascii="Calibri" w:hAnsi="Calibri" w:cs="Calibri"/>
          <w:b/>
          <w:color w:val="13576B"/>
          <w:sz w:val="24"/>
          <w:szCs w:val="24"/>
        </w:rPr>
        <w:t xml:space="preserve">mírně </w:t>
      </w:r>
      <w:r w:rsidR="00AA4A27">
        <w:rPr>
          <w:rFonts w:ascii="Calibri" w:hAnsi="Calibri" w:cs="Calibri"/>
          <w:b/>
          <w:color w:val="13576B"/>
          <w:sz w:val="24"/>
          <w:szCs w:val="24"/>
        </w:rPr>
        <w:t>meziměsíčně poklesl</w:t>
      </w:r>
    </w:p>
    <w:p w14:paraId="6BD050E4" w14:textId="19FACFBB" w:rsidR="00FF3E5C" w:rsidRPr="00616069" w:rsidRDefault="00AA4A27" w:rsidP="00B14557">
      <w:pPr>
        <w:rPr>
          <w:rFonts w:ascii="Calibri" w:hAnsi="Calibri" w:cs="Calibri"/>
          <w:sz w:val="22"/>
          <w:szCs w:val="22"/>
        </w:rPr>
      </w:pPr>
      <w:r w:rsidRPr="00616069">
        <w:rPr>
          <w:rFonts w:ascii="Calibri" w:hAnsi="Calibri" w:cs="Calibri"/>
          <w:noProof/>
          <w:sz w:val="22"/>
          <w:szCs w:val="22"/>
        </w:rPr>
        <mc:AlternateContent>
          <mc:Choice Requires="wps">
            <w:drawing>
              <wp:anchor distT="0" distB="0" distL="114300" distR="114300" simplePos="0" relativeHeight="251676672" behindDoc="0" locked="0" layoutInCell="1" allowOverlap="1" wp14:anchorId="13805053" wp14:editId="0C086541">
                <wp:simplePos x="0" y="0"/>
                <wp:positionH relativeFrom="margin">
                  <wp:posOffset>-40005</wp:posOffset>
                </wp:positionH>
                <wp:positionV relativeFrom="paragraph">
                  <wp:posOffset>1096010</wp:posOffset>
                </wp:positionV>
                <wp:extent cx="6519545" cy="957580"/>
                <wp:effectExtent l="0" t="0" r="14605" b="13970"/>
                <wp:wrapTopAndBottom/>
                <wp:docPr id="1319296764" name="Rectangle 1"/>
                <wp:cNvGraphicFramePr/>
                <a:graphic xmlns:a="http://schemas.openxmlformats.org/drawingml/2006/main">
                  <a:graphicData uri="http://schemas.microsoft.com/office/word/2010/wordprocessingShape">
                    <wps:wsp>
                      <wps:cNvSpPr/>
                      <wps:spPr>
                        <a:xfrm>
                          <a:off x="0" y="0"/>
                          <a:ext cx="6519545" cy="9575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869D5A" w14:textId="77777777" w:rsidR="00490505" w:rsidRDefault="00490505" w:rsidP="00490505">
                            <w:pPr>
                              <w:rPr>
                                <w:rFonts w:ascii="Calibri" w:hAnsi="Calibri" w:cs="Calibri"/>
                                <w:b/>
                                <w:bCs/>
                                <w:sz w:val="22"/>
                                <w:szCs w:val="22"/>
                              </w:rPr>
                            </w:pPr>
                            <w:r w:rsidRPr="00490505">
                              <w:rPr>
                                <w:rFonts w:ascii="Calibri" w:hAnsi="Calibri" w:cs="Calibri"/>
                                <w:i/>
                                <w:iCs/>
                                <w:sz w:val="22"/>
                                <w:szCs w:val="22"/>
                              </w:rPr>
                              <w:t>„Situaci na hypotečním trhu jednoznačně ovlivňují meziročně výhodnější sazby, odložená poptávka klientů a obnovený růstu cen bytů a domů, jejichž nabídka navíc není nijak široká, takže kvalitní nemovitosti se prodávají rychle. Pozitivním trendem je rostoucí podíl hypoték na financování nízkoenergetických projektů, kde je mezi klienty významný podíl mladých lidí do 36 let,“ </w:t>
                            </w:r>
                            <w:r w:rsidRPr="00490505">
                              <w:rPr>
                                <w:rFonts w:ascii="Calibri" w:hAnsi="Calibri" w:cs="Calibri"/>
                                <w:sz w:val="22"/>
                                <w:szCs w:val="22"/>
                              </w:rPr>
                              <w:t>říká </w:t>
                            </w:r>
                            <w:r w:rsidRPr="00490505">
                              <w:rPr>
                                <w:rFonts w:ascii="Calibri" w:hAnsi="Calibri" w:cs="Calibri"/>
                                <w:b/>
                                <w:bCs/>
                                <w:sz w:val="22"/>
                                <w:szCs w:val="22"/>
                              </w:rPr>
                              <w:t>Martin Vašek, generální ředitel a předseda představenstva ČSOB Hypoteční banky.</w:t>
                            </w:r>
                          </w:p>
                          <w:p w14:paraId="41B7BE1F" w14:textId="77777777" w:rsidR="00B233EC" w:rsidRPr="00490505" w:rsidRDefault="00B233EC" w:rsidP="00490505">
                            <w:pPr>
                              <w:rPr>
                                <w:rFonts w:ascii="Calibri" w:hAnsi="Calibri" w:cs="Calibri"/>
                                <w:b/>
                                <w:bCs/>
                                <w:sz w:val="22"/>
                                <w:szCs w:val="22"/>
                              </w:rPr>
                            </w:pPr>
                          </w:p>
                          <w:p w14:paraId="0B44AA3D" w14:textId="4CFA25BD" w:rsidR="00C16E21" w:rsidRPr="00A72DB7" w:rsidRDefault="00C16E21" w:rsidP="00C16E21">
                            <w:pPr>
                              <w:rPr>
                                <w:rFonts w:ascii="Calibri" w:hAnsi="Calibri" w:cs="Calibri"/>
                                <w:b/>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805053" id="Rectangle 1" o:spid="_x0000_s1026" style="position:absolute;left:0;text-align:left;margin-left:-3.15pt;margin-top:86.3pt;width:513.35pt;height:75.4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6vdAIAAEAFAAAOAAAAZHJzL2Uyb0RvYy54bWysVEtv2zAMvg/YfxB0Xx1ncR9BnSJo0WFA&#10;0RZrh54VWWqMyaJGKbGzXz9KdpygK3YYdrFF8ePHty6vusawrUJfgy15fjLhTFkJVW1fS/79+fbT&#10;OWc+CFsJA1aVfKc8v1p8/HDZurmawhpMpZARifXz1pV8HYKbZ5mXa9UIfwJOWVJqwEYEEvE1q1C0&#10;xN6YbDqZnGYtYOUQpPKebm96JV8kfq2VDA9aexWYKTnFFtIX03cVv9niUsxfUbh1LYcwxD9E0Yja&#10;ktOR6kYEwTZY/0HV1BLBgw4nEpoMtK6lSjlQNvnkTTZPa+FUyoWK491YJv//aOX99sk9IpWhdX7u&#10;6Riz6DQ28U/xsS4VazcWS3WBSbo8LfKLYlZwJkl3UZwV56ma2cHaoQ9fFDQsHkqO1IxUI7G984E8&#10;EnQPic6MZS3Rfi4mCeXB1NVtbUzUpXlQ1wbZVlAnQ5fHzhHBEYokY+nykEg6hZ1RPf03pVldUejT&#10;3kGcsQOnkFLZcDrwGkvoaKYpgtEwf8/QhH0wAzaaqTR7o+GQ0t88jhbJK9gwGje1BXzPc/Vj9Nzj&#10;99n3Ocf0Q7fqhuauoNo9IkPol8A7eVtTY+6ED48CaeppP2iTwwN9tAHqBQwnztaAv967j3gaRtJy&#10;1tIWldz/3AhUnJmvlsb0Ip/N4tolYVacTUnAY83qWGM3zTVQe3N6M5xMx4gPZn/UCM0LLfwyeiWV&#10;sJJ8l1wG3AvXod9uejKkWi4TjFbNiXBnn5yM5LHAcfCeuxeBbpjOQHN9D/uNE/M3Q9pjo6WF5SaA&#10;rtMExxL3dR1KT2ua5nJ4UuI7cCwn1OHhW/wGAAD//wMAUEsDBBQABgAIAAAAIQDbyE3S4QAAAAsB&#10;AAAPAAAAZHJzL2Rvd25yZXYueG1sTI/BTsMwDIbvSLxDZCRuW7J2Kqg0nSoktAtIbAxx9RqvLWuc&#10;qsm28vZkJzja/vT7+4vVZHtxptF3jjUs5goEce1Mx42G3cfL7BGED8gGe8ek4Yc8rMrbmwJz4y68&#10;ofM2NCKGsM9RQxvCkEvp65Ys+rkbiOPt4EaLIY5jI82Ilxhue5kolUmLHccPLQ703FJ93J6shur7&#10;sHndpW9D16yPX+Zz/W4XWaX1/d1UPYEINIU/GK76UR3K6LR3JzZe9BpmWRrJuH9IMhBXQCVqCWKv&#10;IU3SJciykP87lL8AAAD//wMAUEsBAi0AFAAGAAgAAAAhALaDOJL+AAAA4QEAABMAAAAAAAAAAAAA&#10;AAAAAAAAAFtDb250ZW50X1R5cGVzXS54bWxQSwECLQAUAAYACAAAACEAOP0h/9YAAACUAQAACwAA&#10;AAAAAAAAAAAAAAAvAQAAX3JlbHMvLnJlbHNQSwECLQAUAAYACAAAACEAVpier3QCAABABQAADgAA&#10;AAAAAAAAAAAAAAAuAgAAZHJzL2Uyb0RvYy54bWxQSwECLQAUAAYACAAAACEA28hN0uEAAAALAQAA&#10;DwAAAAAAAAAAAAAAAADOBAAAZHJzL2Rvd25yZXYueG1sUEsFBgAAAAAEAAQA8wAAANwFAAAAAA==&#10;" fillcolor="white [3201]" strokecolor="black [3213]" strokeweight=".5pt">
                <v:textbox>
                  <w:txbxContent>
                    <w:p w14:paraId="33869D5A" w14:textId="77777777" w:rsidR="00490505" w:rsidRDefault="00490505" w:rsidP="00490505">
                      <w:pPr>
                        <w:rPr>
                          <w:rFonts w:ascii="Calibri" w:hAnsi="Calibri" w:cs="Calibri"/>
                          <w:b/>
                          <w:bCs/>
                          <w:sz w:val="22"/>
                          <w:szCs w:val="22"/>
                        </w:rPr>
                      </w:pPr>
                      <w:r w:rsidRPr="00490505">
                        <w:rPr>
                          <w:rFonts w:ascii="Calibri" w:hAnsi="Calibri" w:cs="Calibri"/>
                          <w:i/>
                          <w:iCs/>
                          <w:sz w:val="22"/>
                          <w:szCs w:val="22"/>
                        </w:rPr>
                        <w:t>„Situaci na hypotečním trhu jednoznačně ovlivňují meziročně výhodnější sazby, odložená poptávka klientů a obnovený růstu cen bytů a domů, jejichž nabídka navíc není nijak široká, takže kvalitní nemovitosti se prodávají rychle. Pozitivním trendem je rostoucí podíl hypoték na financování nízkoenergetických projektů, kde je mezi klienty významný podíl mladých lidí do 36 let,“ </w:t>
                      </w:r>
                      <w:r w:rsidRPr="00490505">
                        <w:rPr>
                          <w:rFonts w:ascii="Calibri" w:hAnsi="Calibri" w:cs="Calibri"/>
                          <w:sz w:val="22"/>
                          <w:szCs w:val="22"/>
                        </w:rPr>
                        <w:t>říká </w:t>
                      </w:r>
                      <w:r w:rsidRPr="00490505">
                        <w:rPr>
                          <w:rFonts w:ascii="Calibri" w:hAnsi="Calibri" w:cs="Calibri"/>
                          <w:b/>
                          <w:bCs/>
                          <w:sz w:val="22"/>
                          <w:szCs w:val="22"/>
                        </w:rPr>
                        <w:t>Martin Vašek, generální ředitel a předseda představenstva ČSOB Hypoteční banky.</w:t>
                      </w:r>
                    </w:p>
                    <w:p w14:paraId="41B7BE1F" w14:textId="77777777" w:rsidR="00B233EC" w:rsidRPr="00490505" w:rsidRDefault="00B233EC" w:rsidP="00490505">
                      <w:pPr>
                        <w:rPr>
                          <w:rFonts w:ascii="Calibri" w:hAnsi="Calibri" w:cs="Calibri"/>
                          <w:b/>
                          <w:bCs/>
                          <w:sz w:val="22"/>
                          <w:szCs w:val="22"/>
                        </w:rPr>
                      </w:pPr>
                    </w:p>
                    <w:p w14:paraId="0B44AA3D" w14:textId="4CFA25BD" w:rsidR="00C16E21" w:rsidRPr="00A72DB7" w:rsidRDefault="00C16E21" w:rsidP="00C16E21">
                      <w:pPr>
                        <w:rPr>
                          <w:rFonts w:ascii="Calibri" w:hAnsi="Calibri" w:cs="Calibri"/>
                          <w:b/>
                          <w:bCs/>
                          <w:sz w:val="22"/>
                          <w:szCs w:val="22"/>
                        </w:rPr>
                      </w:pPr>
                    </w:p>
                  </w:txbxContent>
                </v:textbox>
                <w10:wrap type="topAndBottom" anchorx="margin"/>
              </v:rect>
            </w:pict>
          </mc:Fallback>
        </mc:AlternateContent>
      </w:r>
      <w:r w:rsidR="00106451" w:rsidRPr="00616069">
        <w:rPr>
          <w:rFonts w:ascii="Calibri" w:hAnsi="Calibri" w:cs="Calibri"/>
          <w:sz w:val="22"/>
          <w:szCs w:val="22"/>
        </w:rPr>
        <w:t>Banky a stavební spořitelny dle</w:t>
      </w:r>
      <w:r w:rsidR="00F852BE" w:rsidRPr="00616069">
        <w:rPr>
          <w:rFonts w:ascii="Calibri" w:hAnsi="Calibri" w:cs="Calibri"/>
          <w:sz w:val="22"/>
          <w:szCs w:val="22"/>
        </w:rPr>
        <w:t xml:space="preserve"> </w:t>
      </w:r>
      <w:r w:rsidR="00106451" w:rsidRPr="00616069">
        <w:rPr>
          <w:rFonts w:ascii="Calibri" w:hAnsi="Calibri" w:cs="Calibri"/>
          <w:b/>
          <w:bCs/>
          <w:sz w:val="22"/>
          <w:szCs w:val="22"/>
        </w:rPr>
        <w:t xml:space="preserve">ČBA </w:t>
      </w:r>
      <w:proofErr w:type="spellStart"/>
      <w:r w:rsidR="00106451" w:rsidRPr="00616069">
        <w:rPr>
          <w:rFonts w:ascii="Calibri" w:hAnsi="Calibri" w:cs="Calibri"/>
          <w:b/>
          <w:bCs/>
          <w:sz w:val="22"/>
          <w:szCs w:val="22"/>
        </w:rPr>
        <w:t>Hypomonitoru</w:t>
      </w:r>
      <w:proofErr w:type="spellEnd"/>
      <w:r w:rsidR="00106451" w:rsidRPr="00616069">
        <w:rPr>
          <w:rFonts w:ascii="Calibri" w:hAnsi="Calibri" w:cs="Calibri"/>
          <w:sz w:val="22"/>
          <w:szCs w:val="22"/>
        </w:rPr>
        <w:t xml:space="preserve"> poskytly domácnostem </w:t>
      </w:r>
      <w:r w:rsidR="00BC1D46" w:rsidRPr="00616069">
        <w:rPr>
          <w:rFonts w:ascii="Calibri" w:hAnsi="Calibri" w:cs="Calibri"/>
          <w:sz w:val="22"/>
          <w:szCs w:val="22"/>
        </w:rPr>
        <w:t>v</w:t>
      </w:r>
      <w:r w:rsidR="00AE1BA9" w:rsidRPr="00616069">
        <w:rPr>
          <w:rFonts w:ascii="Calibri" w:hAnsi="Calibri" w:cs="Calibri"/>
          <w:sz w:val="22"/>
          <w:szCs w:val="22"/>
        </w:rPr>
        <w:t> </w:t>
      </w:r>
      <w:r w:rsidR="006C4E8E">
        <w:rPr>
          <w:rFonts w:ascii="Calibri" w:hAnsi="Calibri" w:cs="Calibri"/>
          <w:sz w:val="22"/>
          <w:szCs w:val="22"/>
        </w:rPr>
        <w:t>červ</w:t>
      </w:r>
      <w:r>
        <w:rPr>
          <w:rFonts w:ascii="Calibri" w:hAnsi="Calibri" w:cs="Calibri"/>
          <w:sz w:val="22"/>
          <w:szCs w:val="22"/>
        </w:rPr>
        <w:t>enci</w:t>
      </w:r>
      <w:r w:rsidR="00AE1BA9" w:rsidRPr="00616069">
        <w:rPr>
          <w:rFonts w:ascii="Calibri" w:hAnsi="Calibri" w:cs="Calibri"/>
          <w:sz w:val="22"/>
          <w:szCs w:val="22"/>
        </w:rPr>
        <w:t xml:space="preserve"> </w:t>
      </w:r>
      <w:r w:rsidR="00106451" w:rsidRPr="00616069">
        <w:rPr>
          <w:rFonts w:ascii="Calibri" w:hAnsi="Calibri" w:cs="Calibri"/>
          <w:sz w:val="22"/>
          <w:szCs w:val="22"/>
        </w:rPr>
        <w:t>hypotéky v</w:t>
      </w:r>
      <w:r w:rsidR="00BE4444" w:rsidRPr="00616069">
        <w:rPr>
          <w:rFonts w:ascii="Calibri" w:hAnsi="Calibri" w:cs="Calibri"/>
          <w:sz w:val="22"/>
          <w:szCs w:val="22"/>
        </w:rPr>
        <w:t> </w:t>
      </w:r>
      <w:r w:rsidR="00106451" w:rsidRPr="00616069">
        <w:rPr>
          <w:rFonts w:ascii="Calibri" w:hAnsi="Calibri" w:cs="Calibri"/>
          <w:sz w:val="22"/>
          <w:szCs w:val="22"/>
        </w:rPr>
        <w:t>objemu</w:t>
      </w:r>
      <w:r w:rsidR="00BE4444" w:rsidRPr="00616069">
        <w:rPr>
          <w:rFonts w:ascii="Calibri" w:hAnsi="Calibri" w:cs="Calibri"/>
          <w:sz w:val="22"/>
          <w:szCs w:val="22"/>
        </w:rPr>
        <w:t xml:space="preserve"> </w:t>
      </w:r>
      <w:r w:rsidR="00D0011E">
        <w:rPr>
          <w:rFonts w:ascii="Calibri" w:hAnsi="Calibri" w:cs="Calibri"/>
          <w:b/>
          <w:bCs/>
          <w:sz w:val="22"/>
          <w:szCs w:val="22"/>
        </w:rPr>
        <w:t>2</w:t>
      </w:r>
      <w:r>
        <w:rPr>
          <w:rFonts w:ascii="Calibri" w:hAnsi="Calibri" w:cs="Calibri"/>
          <w:b/>
          <w:bCs/>
          <w:sz w:val="22"/>
          <w:szCs w:val="22"/>
        </w:rPr>
        <w:t>3</w:t>
      </w:r>
      <w:r w:rsidR="00D0011E">
        <w:rPr>
          <w:rFonts w:ascii="Calibri" w:hAnsi="Calibri" w:cs="Calibri"/>
          <w:b/>
          <w:bCs/>
          <w:sz w:val="22"/>
          <w:szCs w:val="22"/>
        </w:rPr>
        <w:t>,</w:t>
      </w:r>
      <w:r>
        <w:rPr>
          <w:rFonts w:ascii="Calibri" w:hAnsi="Calibri" w:cs="Calibri"/>
          <w:b/>
          <w:bCs/>
          <w:sz w:val="22"/>
          <w:szCs w:val="22"/>
        </w:rPr>
        <w:t>8</w:t>
      </w:r>
      <w:r w:rsidR="00B230A8" w:rsidRPr="00616069">
        <w:rPr>
          <w:rFonts w:ascii="Calibri" w:hAnsi="Calibri" w:cs="Calibri"/>
          <w:b/>
          <w:bCs/>
          <w:sz w:val="22"/>
          <w:szCs w:val="22"/>
        </w:rPr>
        <w:t xml:space="preserve"> </w:t>
      </w:r>
      <w:r w:rsidR="00106451" w:rsidRPr="00616069">
        <w:rPr>
          <w:rFonts w:ascii="Calibri" w:hAnsi="Calibri" w:cs="Calibri"/>
          <w:b/>
          <w:bCs/>
          <w:sz w:val="22"/>
          <w:szCs w:val="22"/>
        </w:rPr>
        <w:t>mld. Kč</w:t>
      </w:r>
      <w:bookmarkEnd w:id="5"/>
      <w:r w:rsidR="00E84DC4" w:rsidRPr="00616069">
        <w:rPr>
          <w:rFonts w:ascii="Calibri" w:hAnsi="Calibri" w:cs="Calibri"/>
          <w:b/>
          <w:bCs/>
          <w:sz w:val="22"/>
          <w:szCs w:val="22"/>
        </w:rPr>
        <w:t xml:space="preserve">. </w:t>
      </w:r>
      <w:r w:rsidR="0056090E" w:rsidRPr="00616069">
        <w:rPr>
          <w:rFonts w:ascii="Calibri" w:hAnsi="Calibri" w:cs="Calibri"/>
          <w:b/>
          <w:bCs/>
          <w:sz w:val="22"/>
          <w:szCs w:val="22"/>
        </w:rPr>
        <w:t xml:space="preserve">Objem poskytnutých hypoték tak </w:t>
      </w:r>
      <w:r w:rsidR="008811FC" w:rsidRPr="00616069">
        <w:rPr>
          <w:rFonts w:ascii="Calibri" w:hAnsi="Calibri" w:cs="Calibri"/>
          <w:b/>
          <w:bCs/>
          <w:sz w:val="22"/>
          <w:szCs w:val="22"/>
        </w:rPr>
        <w:t>meziměsíčně</w:t>
      </w:r>
      <w:r>
        <w:rPr>
          <w:rFonts w:ascii="Calibri" w:hAnsi="Calibri" w:cs="Calibri"/>
          <w:b/>
          <w:bCs/>
          <w:sz w:val="22"/>
          <w:szCs w:val="22"/>
        </w:rPr>
        <w:t xml:space="preserve"> poklesl</w:t>
      </w:r>
      <w:r w:rsidR="001259D2" w:rsidRPr="00616069">
        <w:rPr>
          <w:rFonts w:ascii="Calibri" w:hAnsi="Calibri" w:cs="Calibri"/>
          <w:b/>
          <w:bCs/>
          <w:sz w:val="22"/>
          <w:szCs w:val="22"/>
        </w:rPr>
        <w:t xml:space="preserve"> o</w:t>
      </w:r>
      <w:r w:rsidR="006C4E8E">
        <w:rPr>
          <w:rFonts w:ascii="Calibri" w:hAnsi="Calibri" w:cs="Calibri"/>
          <w:b/>
          <w:bCs/>
          <w:sz w:val="22"/>
          <w:szCs w:val="22"/>
        </w:rPr>
        <w:t xml:space="preserve"> </w:t>
      </w:r>
      <w:r>
        <w:rPr>
          <w:rFonts w:ascii="Calibri" w:hAnsi="Calibri" w:cs="Calibri"/>
          <w:b/>
          <w:bCs/>
          <w:sz w:val="22"/>
          <w:szCs w:val="22"/>
        </w:rPr>
        <w:t>1</w:t>
      </w:r>
      <w:r w:rsidR="00453473">
        <w:rPr>
          <w:rFonts w:ascii="Calibri" w:hAnsi="Calibri" w:cs="Calibri"/>
          <w:b/>
          <w:bCs/>
          <w:sz w:val="22"/>
          <w:szCs w:val="22"/>
        </w:rPr>
        <w:t>,</w:t>
      </w:r>
      <w:r>
        <w:rPr>
          <w:rFonts w:ascii="Calibri" w:hAnsi="Calibri" w:cs="Calibri"/>
          <w:b/>
          <w:bCs/>
          <w:sz w:val="22"/>
          <w:szCs w:val="22"/>
        </w:rPr>
        <w:t>3</w:t>
      </w:r>
      <w:r w:rsidR="00453473">
        <w:rPr>
          <w:rFonts w:ascii="Calibri" w:hAnsi="Calibri" w:cs="Calibri"/>
          <w:b/>
          <w:bCs/>
          <w:sz w:val="22"/>
          <w:szCs w:val="22"/>
        </w:rPr>
        <w:t xml:space="preserve"> mld. Kč, tj. </w:t>
      </w:r>
      <w:r>
        <w:rPr>
          <w:rFonts w:ascii="Calibri" w:hAnsi="Calibri" w:cs="Calibri"/>
          <w:b/>
          <w:bCs/>
          <w:sz w:val="22"/>
          <w:szCs w:val="22"/>
        </w:rPr>
        <w:t>5</w:t>
      </w:r>
      <w:r w:rsidR="00453473">
        <w:rPr>
          <w:rFonts w:ascii="Calibri" w:hAnsi="Calibri" w:cs="Calibri"/>
          <w:b/>
          <w:bCs/>
          <w:sz w:val="22"/>
          <w:szCs w:val="22"/>
        </w:rPr>
        <w:t xml:space="preserve"> %</w:t>
      </w:r>
      <w:r>
        <w:rPr>
          <w:rFonts w:ascii="Calibri" w:hAnsi="Calibri" w:cs="Calibri"/>
          <w:b/>
          <w:bCs/>
          <w:sz w:val="22"/>
          <w:szCs w:val="22"/>
        </w:rPr>
        <w:t xml:space="preserve">. Červencová aktivita na hypotečním trhu však obvykle oproti červnu klesá dvouciferným tempem, z tohoto pohledu byl tak letošní červencový pokles mírnější. </w:t>
      </w:r>
      <w:bookmarkStart w:id="6" w:name="_Hlk119308385"/>
      <w:r w:rsidR="00453473" w:rsidRPr="00100394">
        <w:rPr>
          <w:rFonts w:ascii="Calibri" w:hAnsi="Calibri" w:cs="Calibri"/>
          <w:sz w:val="22"/>
          <w:szCs w:val="22"/>
        </w:rPr>
        <w:t>Červ</w:t>
      </w:r>
      <w:r>
        <w:rPr>
          <w:rFonts w:ascii="Calibri" w:hAnsi="Calibri" w:cs="Calibri"/>
          <w:sz w:val="22"/>
          <w:szCs w:val="22"/>
        </w:rPr>
        <w:t>encový</w:t>
      </w:r>
      <w:r w:rsidR="00453473" w:rsidRPr="00100394">
        <w:rPr>
          <w:rFonts w:ascii="Calibri" w:hAnsi="Calibri" w:cs="Calibri"/>
          <w:sz w:val="22"/>
          <w:szCs w:val="22"/>
        </w:rPr>
        <w:t xml:space="preserve"> objem</w:t>
      </w:r>
      <w:r w:rsidR="00453473">
        <w:rPr>
          <w:rFonts w:ascii="Calibri" w:hAnsi="Calibri" w:cs="Calibri"/>
          <w:b/>
          <w:bCs/>
          <w:sz w:val="22"/>
          <w:szCs w:val="22"/>
        </w:rPr>
        <w:t xml:space="preserve"> </w:t>
      </w:r>
      <w:r w:rsidR="00453473">
        <w:rPr>
          <w:rFonts w:ascii="Calibri" w:hAnsi="Calibri" w:cs="Calibri"/>
          <w:sz w:val="22"/>
          <w:szCs w:val="22"/>
        </w:rPr>
        <w:t xml:space="preserve">poskytnutých hypoték tak i přes meziměsíční zpomalení </w:t>
      </w:r>
      <w:r w:rsidR="006C4E8E">
        <w:rPr>
          <w:rFonts w:ascii="Calibri" w:hAnsi="Calibri" w:cs="Calibri"/>
          <w:sz w:val="22"/>
          <w:szCs w:val="22"/>
        </w:rPr>
        <w:t>zůstáv</w:t>
      </w:r>
      <w:r w:rsidR="00453473">
        <w:rPr>
          <w:rFonts w:ascii="Calibri" w:hAnsi="Calibri" w:cs="Calibri"/>
          <w:sz w:val="22"/>
          <w:szCs w:val="22"/>
        </w:rPr>
        <w:t>á</w:t>
      </w:r>
      <w:r w:rsidR="006C4E8E">
        <w:rPr>
          <w:rFonts w:ascii="Calibri" w:hAnsi="Calibri" w:cs="Calibri"/>
          <w:sz w:val="22"/>
          <w:szCs w:val="22"/>
        </w:rPr>
        <w:t xml:space="preserve"> </w:t>
      </w:r>
      <w:r w:rsidR="00453473">
        <w:rPr>
          <w:rFonts w:ascii="Calibri" w:hAnsi="Calibri" w:cs="Calibri"/>
          <w:sz w:val="22"/>
          <w:szCs w:val="22"/>
        </w:rPr>
        <w:t xml:space="preserve">příznivý </w:t>
      </w:r>
      <w:r w:rsidR="006C4E8E" w:rsidRPr="00E02157">
        <w:rPr>
          <w:rFonts w:ascii="Calibri" w:hAnsi="Calibri" w:cs="Calibri"/>
          <w:sz w:val="22"/>
          <w:szCs w:val="22"/>
        </w:rPr>
        <w:t xml:space="preserve">a </w:t>
      </w:r>
      <w:r w:rsidR="00453473">
        <w:rPr>
          <w:rFonts w:ascii="Calibri" w:hAnsi="Calibri" w:cs="Calibri"/>
          <w:sz w:val="22"/>
          <w:szCs w:val="22"/>
        </w:rPr>
        <w:t xml:space="preserve">potvrzuje, že </w:t>
      </w:r>
      <w:r w:rsidR="006C4E8E" w:rsidRPr="00E02157">
        <w:rPr>
          <w:rFonts w:ascii="Calibri" w:hAnsi="Calibri" w:cs="Calibri"/>
          <w:sz w:val="22"/>
          <w:szCs w:val="22"/>
        </w:rPr>
        <w:t>oživování hypoteční aktivity v letošním roce pokračuje.</w:t>
      </w:r>
      <w:r w:rsidR="006C4E8E">
        <w:rPr>
          <w:rFonts w:ascii="Calibri" w:hAnsi="Calibri" w:cs="Calibri"/>
          <w:b/>
          <w:bCs/>
          <w:sz w:val="22"/>
          <w:szCs w:val="22"/>
        </w:rPr>
        <w:t xml:space="preserve"> </w:t>
      </w:r>
      <w:r>
        <w:rPr>
          <w:rFonts w:ascii="Calibri" w:hAnsi="Calibri" w:cs="Calibri"/>
          <w:b/>
          <w:bCs/>
          <w:sz w:val="22"/>
          <w:szCs w:val="22"/>
        </w:rPr>
        <w:t>To dokládá i meziroční růst, který zrychlil z</w:t>
      </w:r>
      <w:r w:rsidR="00942AD5">
        <w:rPr>
          <w:rFonts w:ascii="Calibri" w:hAnsi="Calibri" w:cs="Calibri"/>
          <w:b/>
          <w:bCs/>
          <w:sz w:val="22"/>
          <w:szCs w:val="22"/>
        </w:rPr>
        <w:t xml:space="preserve"> červnových </w:t>
      </w:r>
      <w:r>
        <w:rPr>
          <w:rFonts w:ascii="Calibri" w:hAnsi="Calibri" w:cs="Calibri"/>
          <w:b/>
          <w:bCs/>
          <w:sz w:val="22"/>
          <w:szCs w:val="22"/>
        </w:rPr>
        <w:t xml:space="preserve">80 na 109 %. </w:t>
      </w:r>
      <w:bookmarkEnd w:id="6"/>
      <w:r>
        <w:rPr>
          <w:rStyle w:val="Znakapoznpodarou"/>
          <w:rFonts w:ascii="Calibri" w:hAnsi="Calibri" w:cs="Calibri"/>
          <w:b/>
          <w:bCs/>
          <w:sz w:val="22"/>
          <w:szCs w:val="22"/>
        </w:rPr>
        <w:footnoteReference w:id="1"/>
      </w:r>
    </w:p>
    <w:p w14:paraId="124D2D31" w14:textId="2CF89B10" w:rsidR="00F61FFC" w:rsidRPr="00616069" w:rsidRDefault="006E04F7" w:rsidP="00E908C6">
      <w:pPr>
        <w:spacing w:after="120"/>
        <w:rPr>
          <w:rFonts w:ascii="Calibri" w:hAnsi="Calibri" w:cs="Calibri"/>
          <w:b/>
          <w:color w:val="13576B"/>
          <w:sz w:val="23"/>
          <w:szCs w:val="23"/>
        </w:rPr>
      </w:pPr>
      <w:bookmarkStart w:id="7" w:name="_Hlk119308742"/>
      <w:r w:rsidRPr="00616069">
        <w:rPr>
          <w:rFonts w:ascii="Calibri" w:hAnsi="Calibri" w:cs="Calibri"/>
          <w:b/>
          <w:color w:val="13576B"/>
          <w:sz w:val="23"/>
          <w:szCs w:val="23"/>
        </w:rPr>
        <w:t>Tabulka č. 1: Shrnutí objemu poskytnutých hypoték a průměrných úrokových sazeb za</w:t>
      </w:r>
      <w:r w:rsidR="003E393C" w:rsidRPr="00616069">
        <w:rPr>
          <w:rFonts w:ascii="Calibri" w:hAnsi="Calibri" w:cs="Calibri"/>
          <w:b/>
          <w:color w:val="13576B"/>
          <w:sz w:val="23"/>
          <w:szCs w:val="23"/>
        </w:rPr>
        <w:t xml:space="preserve"> </w:t>
      </w:r>
      <w:r w:rsidR="000F0342">
        <w:rPr>
          <w:rFonts w:ascii="Calibri" w:hAnsi="Calibri" w:cs="Calibri"/>
          <w:b/>
          <w:color w:val="13576B"/>
          <w:sz w:val="23"/>
          <w:szCs w:val="23"/>
        </w:rPr>
        <w:t>červen</w:t>
      </w:r>
      <w:r w:rsidR="00490505">
        <w:rPr>
          <w:rFonts w:ascii="Calibri" w:hAnsi="Calibri" w:cs="Calibri"/>
          <w:b/>
          <w:color w:val="13576B"/>
          <w:sz w:val="23"/>
          <w:szCs w:val="23"/>
        </w:rPr>
        <w:t>ec</w:t>
      </w:r>
      <w:r w:rsidR="000F0342">
        <w:rPr>
          <w:rFonts w:ascii="Calibri" w:hAnsi="Calibri" w:cs="Calibri"/>
          <w:b/>
          <w:color w:val="13576B"/>
          <w:sz w:val="23"/>
          <w:szCs w:val="23"/>
        </w:rPr>
        <w:t xml:space="preserve"> </w:t>
      </w:r>
      <w:r w:rsidRPr="00616069">
        <w:rPr>
          <w:rFonts w:ascii="Calibri" w:hAnsi="Calibri" w:cs="Calibri"/>
          <w:b/>
          <w:color w:val="13576B"/>
          <w:sz w:val="23"/>
          <w:szCs w:val="23"/>
        </w:rPr>
        <w:t>202</w:t>
      </w:r>
      <w:r w:rsidR="003E393C" w:rsidRPr="00616069">
        <w:rPr>
          <w:rFonts w:ascii="Calibri" w:hAnsi="Calibri" w:cs="Calibri"/>
          <w:b/>
          <w:color w:val="13576B"/>
          <w:sz w:val="23"/>
          <w:szCs w:val="23"/>
        </w:rPr>
        <w:t>4</w:t>
      </w:r>
    </w:p>
    <w:tbl>
      <w:tblPr>
        <w:tblW w:w="6560" w:type="dxa"/>
        <w:tblCellMar>
          <w:left w:w="70" w:type="dxa"/>
          <w:right w:w="70" w:type="dxa"/>
        </w:tblCellMar>
        <w:tblLook w:val="04A0" w:firstRow="1" w:lastRow="0" w:firstColumn="1" w:lastColumn="0" w:noHBand="0" w:noVBand="1"/>
      </w:tblPr>
      <w:tblGrid>
        <w:gridCol w:w="3539"/>
        <w:gridCol w:w="1101"/>
        <w:gridCol w:w="960"/>
        <w:gridCol w:w="960"/>
      </w:tblGrid>
      <w:tr w:rsidR="006E04F7" w:rsidRPr="00616069" w14:paraId="17FF1971" w14:textId="77777777" w:rsidTr="00356809">
        <w:trPr>
          <w:trHeight w:val="300"/>
        </w:trPr>
        <w:tc>
          <w:tcPr>
            <w:tcW w:w="3539" w:type="dxa"/>
            <w:tcBorders>
              <w:top w:val="nil"/>
              <w:left w:val="nil"/>
              <w:bottom w:val="nil"/>
              <w:right w:val="nil"/>
            </w:tcBorders>
            <w:shd w:val="clear" w:color="000000" w:fill="FFFFFF"/>
            <w:noWrap/>
            <w:vAlign w:val="bottom"/>
            <w:hideMark/>
          </w:tcPr>
          <w:p w14:paraId="3A7F3251" w14:textId="77777777" w:rsidR="006E04F7" w:rsidRPr="00616069" w:rsidRDefault="006E04F7" w:rsidP="00356809">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1101" w:type="dxa"/>
            <w:vMerge w:val="restart"/>
            <w:tcBorders>
              <w:top w:val="nil"/>
              <w:left w:val="nil"/>
              <w:bottom w:val="single" w:sz="4" w:space="0" w:color="000000"/>
              <w:right w:val="single" w:sz="4" w:space="0" w:color="auto"/>
            </w:tcBorders>
            <w:shd w:val="clear" w:color="000000" w:fill="FFFFFF"/>
            <w:vAlign w:val="bottom"/>
            <w:hideMark/>
          </w:tcPr>
          <w:p w14:paraId="3CBA24DE" w14:textId="77777777" w:rsidR="006E04F7" w:rsidRPr="0061606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616069">
              <w:rPr>
                <w:rFonts w:ascii="Calibri Light" w:hAnsi="Calibri Light" w:cs="Calibri Light"/>
                <w:b/>
                <w:bCs/>
                <w:color w:val="13576B"/>
                <w:sz w:val="22"/>
                <w:szCs w:val="22"/>
              </w:rPr>
              <w:t>Objem</w:t>
            </w:r>
            <w:r w:rsidRPr="00616069">
              <w:rPr>
                <w:rFonts w:ascii="Calibri Light" w:hAnsi="Calibri Light" w:cs="Calibri Light"/>
                <w:b/>
                <w:bCs/>
                <w:color w:val="13576B"/>
                <w:sz w:val="22"/>
                <w:szCs w:val="22"/>
              </w:rPr>
              <w:br/>
              <w:t>(mld. Kč)</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C253183" w14:textId="77777777" w:rsidR="006E04F7" w:rsidRPr="0061606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616069">
              <w:rPr>
                <w:rFonts w:ascii="Calibri Light" w:hAnsi="Calibri Light" w:cs="Calibri Light"/>
                <w:b/>
                <w:bCs/>
                <w:color w:val="13576B"/>
                <w:sz w:val="22"/>
                <w:szCs w:val="22"/>
              </w:rPr>
              <w:t>Počet</w:t>
            </w:r>
          </w:p>
        </w:tc>
        <w:tc>
          <w:tcPr>
            <w:tcW w:w="960" w:type="dxa"/>
            <w:vMerge w:val="restart"/>
            <w:tcBorders>
              <w:top w:val="nil"/>
              <w:left w:val="nil"/>
              <w:bottom w:val="single" w:sz="4" w:space="0" w:color="000000"/>
              <w:right w:val="nil"/>
            </w:tcBorders>
            <w:shd w:val="clear" w:color="000000" w:fill="FFFFFF"/>
            <w:vAlign w:val="bottom"/>
            <w:hideMark/>
          </w:tcPr>
          <w:p w14:paraId="49E958C3" w14:textId="77777777" w:rsidR="006E04F7" w:rsidRPr="0061606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616069">
              <w:rPr>
                <w:rFonts w:ascii="Calibri Light" w:hAnsi="Calibri Light" w:cs="Calibri Light"/>
                <w:b/>
                <w:bCs/>
                <w:color w:val="13576B"/>
                <w:sz w:val="22"/>
                <w:szCs w:val="22"/>
              </w:rPr>
              <w:t>Sazba</w:t>
            </w:r>
            <w:r w:rsidRPr="00616069">
              <w:rPr>
                <w:rFonts w:ascii="Calibri Light" w:hAnsi="Calibri Light" w:cs="Calibri Light"/>
                <w:b/>
                <w:bCs/>
                <w:color w:val="13576B"/>
                <w:sz w:val="22"/>
                <w:szCs w:val="22"/>
              </w:rPr>
              <w:br/>
              <w:t xml:space="preserve"> (%)</w:t>
            </w:r>
          </w:p>
        </w:tc>
      </w:tr>
      <w:tr w:rsidR="006E04F7" w:rsidRPr="00616069" w14:paraId="07461CAA" w14:textId="77777777" w:rsidTr="00356809">
        <w:trPr>
          <w:trHeight w:val="300"/>
        </w:trPr>
        <w:tc>
          <w:tcPr>
            <w:tcW w:w="3539" w:type="dxa"/>
            <w:tcBorders>
              <w:top w:val="nil"/>
              <w:left w:val="nil"/>
              <w:bottom w:val="single" w:sz="4" w:space="0" w:color="auto"/>
              <w:right w:val="nil"/>
            </w:tcBorders>
            <w:shd w:val="clear" w:color="000000" w:fill="FFFFFF"/>
            <w:noWrap/>
            <w:vAlign w:val="bottom"/>
            <w:hideMark/>
          </w:tcPr>
          <w:p w14:paraId="307FCD68" w14:textId="77777777" w:rsidR="006E04F7" w:rsidRPr="00616069" w:rsidRDefault="006E04F7" w:rsidP="00356809">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c>
          <w:tcPr>
            <w:tcW w:w="1101" w:type="dxa"/>
            <w:vMerge/>
            <w:tcBorders>
              <w:top w:val="nil"/>
              <w:left w:val="nil"/>
              <w:bottom w:val="single" w:sz="4" w:space="0" w:color="000000"/>
              <w:right w:val="single" w:sz="4" w:space="0" w:color="auto"/>
            </w:tcBorders>
            <w:vAlign w:val="center"/>
            <w:hideMark/>
          </w:tcPr>
          <w:p w14:paraId="31F7E1F4" w14:textId="77777777" w:rsidR="006E04F7" w:rsidRPr="00616069" w:rsidRDefault="006E04F7" w:rsidP="00356809">
            <w:pPr>
              <w:overflowPunct/>
              <w:autoSpaceDE/>
              <w:autoSpaceDN/>
              <w:adjustRightInd/>
              <w:jc w:val="left"/>
              <w:textAlignment w:val="auto"/>
              <w:rPr>
                <w:rFonts w:ascii="Calibri Light" w:hAnsi="Calibri Light" w:cs="Calibri Light"/>
                <w:b/>
                <w:bCs/>
                <w:color w:val="13576B"/>
                <w:sz w:val="22"/>
                <w:szCs w:val="22"/>
              </w:rPr>
            </w:pPr>
          </w:p>
        </w:tc>
        <w:tc>
          <w:tcPr>
            <w:tcW w:w="960" w:type="dxa"/>
            <w:vMerge/>
            <w:tcBorders>
              <w:top w:val="nil"/>
              <w:left w:val="single" w:sz="4" w:space="0" w:color="auto"/>
              <w:bottom w:val="single" w:sz="4" w:space="0" w:color="000000"/>
              <w:right w:val="single" w:sz="4" w:space="0" w:color="auto"/>
            </w:tcBorders>
            <w:vAlign w:val="center"/>
            <w:hideMark/>
          </w:tcPr>
          <w:p w14:paraId="0DA418F2" w14:textId="77777777" w:rsidR="006E04F7" w:rsidRPr="00616069" w:rsidRDefault="006E04F7" w:rsidP="00356809">
            <w:pPr>
              <w:overflowPunct/>
              <w:autoSpaceDE/>
              <w:autoSpaceDN/>
              <w:adjustRightInd/>
              <w:jc w:val="left"/>
              <w:textAlignment w:val="auto"/>
              <w:rPr>
                <w:rFonts w:ascii="Calibri Light" w:hAnsi="Calibri Light" w:cs="Calibri Light"/>
                <w:b/>
                <w:bCs/>
                <w:color w:val="13576B"/>
                <w:sz w:val="22"/>
                <w:szCs w:val="22"/>
              </w:rPr>
            </w:pPr>
          </w:p>
        </w:tc>
        <w:tc>
          <w:tcPr>
            <w:tcW w:w="960" w:type="dxa"/>
            <w:vMerge/>
            <w:tcBorders>
              <w:top w:val="nil"/>
              <w:left w:val="nil"/>
              <w:bottom w:val="single" w:sz="4" w:space="0" w:color="000000"/>
              <w:right w:val="nil"/>
            </w:tcBorders>
            <w:vAlign w:val="center"/>
            <w:hideMark/>
          </w:tcPr>
          <w:p w14:paraId="6B5DC471" w14:textId="77777777" w:rsidR="006E04F7" w:rsidRPr="00616069" w:rsidRDefault="006E04F7" w:rsidP="00356809">
            <w:pPr>
              <w:overflowPunct/>
              <w:autoSpaceDE/>
              <w:autoSpaceDN/>
              <w:adjustRightInd/>
              <w:jc w:val="left"/>
              <w:textAlignment w:val="auto"/>
              <w:rPr>
                <w:rFonts w:ascii="Calibri Light" w:hAnsi="Calibri Light" w:cs="Calibri Light"/>
                <w:b/>
                <w:bCs/>
                <w:color w:val="13576B"/>
                <w:sz w:val="22"/>
                <w:szCs w:val="22"/>
              </w:rPr>
            </w:pPr>
          </w:p>
        </w:tc>
      </w:tr>
      <w:tr w:rsidR="00490505" w:rsidRPr="00616069" w14:paraId="35D90BA7" w14:textId="77777777" w:rsidTr="00991D3E">
        <w:trPr>
          <w:trHeight w:val="300"/>
        </w:trPr>
        <w:tc>
          <w:tcPr>
            <w:tcW w:w="3539" w:type="dxa"/>
            <w:tcBorders>
              <w:top w:val="nil"/>
              <w:left w:val="nil"/>
              <w:bottom w:val="single" w:sz="4" w:space="0" w:color="auto"/>
              <w:right w:val="nil"/>
            </w:tcBorders>
            <w:shd w:val="clear" w:color="000000" w:fill="FFFFFF"/>
            <w:noWrap/>
            <w:vAlign w:val="bottom"/>
            <w:hideMark/>
          </w:tcPr>
          <w:p w14:paraId="27C651BE" w14:textId="77777777" w:rsidR="00490505" w:rsidRPr="00616069" w:rsidRDefault="00490505" w:rsidP="00490505">
            <w:pPr>
              <w:overflowPunct/>
              <w:autoSpaceDE/>
              <w:autoSpaceDN/>
              <w:adjustRightInd/>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Celkem</w:t>
            </w:r>
          </w:p>
        </w:tc>
        <w:tc>
          <w:tcPr>
            <w:tcW w:w="1101" w:type="dxa"/>
            <w:tcBorders>
              <w:top w:val="nil"/>
              <w:left w:val="nil"/>
              <w:bottom w:val="single" w:sz="4" w:space="0" w:color="auto"/>
              <w:right w:val="single" w:sz="4" w:space="0" w:color="auto"/>
            </w:tcBorders>
            <w:shd w:val="clear" w:color="000000" w:fill="FFFFFF"/>
            <w:noWrap/>
            <w:vAlign w:val="center"/>
            <w:hideMark/>
          </w:tcPr>
          <w:p w14:paraId="7E3AB166" w14:textId="161CF74B" w:rsidR="00490505" w:rsidRPr="00616069" w:rsidRDefault="00490505" w:rsidP="00490505">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23,8</w:t>
            </w:r>
          </w:p>
        </w:tc>
        <w:tc>
          <w:tcPr>
            <w:tcW w:w="960" w:type="dxa"/>
            <w:tcBorders>
              <w:top w:val="nil"/>
              <w:left w:val="nil"/>
              <w:bottom w:val="single" w:sz="4" w:space="0" w:color="auto"/>
              <w:right w:val="single" w:sz="4" w:space="0" w:color="auto"/>
            </w:tcBorders>
            <w:shd w:val="clear" w:color="000000" w:fill="FFFFFF"/>
            <w:noWrap/>
            <w:vAlign w:val="center"/>
            <w:hideMark/>
          </w:tcPr>
          <w:p w14:paraId="2CB48BEB" w14:textId="0624A6BD"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6 493</w:t>
            </w:r>
          </w:p>
        </w:tc>
        <w:tc>
          <w:tcPr>
            <w:tcW w:w="960" w:type="dxa"/>
            <w:tcBorders>
              <w:top w:val="nil"/>
              <w:left w:val="nil"/>
              <w:bottom w:val="single" w:sz="4" w:space="0" w:color="auto"/>
              <w:right w:val="nil"/>
            </w:tcBorders>
            <w:shd w:val="clear" w:color="000000" w:fill="FFFFFF"/>
            <w:noWrap/>
            <w:vAlign w:val="center"/>
            <w:hideMark/>
          </w:tcPr>
          <w:p w14:paraId="25688592" w14:textId="07BEF374"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5,06</w:t>
            </w:r>
          </w:p>
        </w:tc>
      </w:tr>
      <w:tr w:rsidR="00490505" w:rsidRPr="00616069" w14:paraId="76C06795" w14:textId="77777777" w:rsidTr="00991D3E">
        <w:trPr>
          <w:trHeight w:val="300"/>
        </w:trPr>
        <w:tc>
          <w:tcPr>
            <w:tcW w:w="3539" w:type="dxa"/>
            <w:tcBorders>
              <w:top w:val="single" w:sz="4" w:space="0" w:color="auto"/>
              <w:left w:val="nil"/>
              <w:bottom w:val="nil"/>
              <w:right w:val="nil"/>
            </w:tcBorders>
            <w:shd w:val="solid" w:color="DAF3EA" w:fill="C1F7E9"/>
            <w:noWrap/>
            <w:vAlign w:val="bottom"/>
            <w:hideMark/>
          </w:tcPr>
          <w:p w14:paraId="62A0E8CC" w14:textId="77777777" w:rsidR="00490505" w:rsidRPr="00616069" w:rsidRDefault="00490505" w:rsidP="00490505">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 xml:space="preserve">Nové úvěry </w:t>
            </w:r>
          </w:p>
        </w:tc>
        <w:tc>
          <w:tcPr>
            <w:tcW w:w="1101" w:type="dxa"/>
            <w:tcBorders>
              <w:top w:val="single" w:sz="4" w:space="0" w:color="auto"/>
              <w:left w:val="nil"/>
              <w:bottom w:val="nil"/>
              <w:right w:val="single" w:sz="4" w:space="0" w:color="auto"/>
            </w:tcBorders>
            <w:shd w:val="solid" w:color="DAF3EA" w:fill="C1F7E9"/>
            <w:noWrap/>
            <w:vAlign w:val="center"/>
            <w:hideMark/>
          </w:tcPr>
          <w:p w14:paraId="520FBFDC" w14:textId="4727EF35" w:rsidR="00490505" w:rsidRPr="00231F3A" w:rsidRDefault="00490505" w:rsidP="00490505">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19,6</w:t>
            </w:r>
          </w:p>
        </w:tc>
        <w:tc>
          <w:tcPr>
            <w:tcW w:w="960" w:type="dxa"/>
            <w:tcBorders>
              <w:top w:val="single" w:sz="4" w:space="0" w:color="auto"/>
              <w:left w:val="nil"/>
              <w:bottom w:val="nil"/>
              <w:right w:val="single" w:sz="4" w:space="0" w:color="auto"/>
            </w:tcBorders>
            <w:shd w:val="solid" w:color="DAF3EA" w:fill="C1F7E9"/>
            <w:noWrap/>
            <w:vAlign w:val="center"/>
            <w:hideMark/>
          </w:tcPr>
          <w:p w14:paraId="41404E63" w14:textId="7CD3D2ED" w:rsidR="00490505" w:rsidRPr="00231F3A" w:rsidRDefault="00490505" w:rsidP="00490505">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5 204</w:t>
            </w:r>
          </w:p>
        </w:tc>
        <w:tc>
          <w:tcPr>
            <w:tcW w:w="960" w:type="dxa"/>
            <w:tcBorders>
              <w:top w:val="single" w:sz="4" w:space="0" w:color="auto"/>
              <w:left w:val="nil"/>
              <w:bottom w:val="nil"/>
              <w:right w:val="nil"/>
            </w:tcBorders>
            <w:shd w:val="solid" w:color="DAF3EA" w:fill="C1F7E9"/>
            <w:noWrap/>
            <w:vAlign w:val="center"/>
            <w:hideMark/>
          </w:tcPr>
          <w:p w14:paraId="5B0C0248" w14:textId="35007433" w:rsidR="00490505" w:rsidRPr="00231F3A" w:rsidRDefault="00490505" w:rsidP="00490505">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5,07</w:t>
            </w:r>
          </w:p>
        </w:tc>
      </w:tr>
      <w:tr w:rsidR="00490505" w:rsidRPr="00616069" w14:paraId="6E865282" w14:textId="77777777" w:rsidTr="002344B5">
        <w:trPr>
          <w:trHeight w:val="300"/>
        </w:trPr>
        <w:tc>
          <w:tcPr>
            <w:tcW w:w="3539" w:type="dxa"/>
            <w:tcBorders>
              <w:top w:val="nil"/>
              <w:left w:val="nil"/>
              <w:bottom w:val="nil"/>
              <w:right w:val="nil"/>
            </w:tcBorders>
            <w:shd w:val="clear" w:color="000000" w:fill="FFFFFF"/>
            <w:noWrap/>
            <w:vAlign w:val="bottom"/>
            <w:hideMark/>
          </w:tcPr>
          <w:p w14:paraId="4E52C0C1" w14:textId="77777777" w:rsidR="00490505" w:rsidRPr="00616069" w:rsidRDefault="00490505" w:rsidP="00490505">
            <w:pPr>
              <w:overflowPunct/>
              <w:autoSpaceDE/>
              <w:autoSpaceDN/>
              <w:adjustRightInd/>
              <w:ind w:firstLineChars="200" w:firstLine="440"/>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xml:space="preserve">z toho: </w:t>
            </w:r>
          </w:p>
        </w:tc>
        <w:tc>
          <w:tcPr>
            <w:tcW w:w="1101" w:type="dxa"/>
            <w:tcBorders>
              <w:top w:val="nil"/>
              <w:left w:val="nil"/>
              <w:bottom w:val="nil"/>
              <w:right w:val="single" w:sz="4" w:space="0" w:color="auto"/>
            </w:tcBorders>
            <w:shd w:val="clear" w:color="000000" w:fill="FFFFFF"/>
            <w:noWrap/>
            <w:vAlign w:val="center"/>
            <w:hideMark/>
          </w:tcPr>
          <w:p w14:paraId="57B98F3E" w14:textId="729610E6"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c>
          <w:tcPr>
            <w:tcW w:w="960" w:type="dxa"/>
            <w:tcBorders>
              <w:top w:val="nil"/>
              <w:left w:val="nil"/>
              <w:bottom w:val="nil"/>
              <w:right w:val="single" w:sz="4" w:space="0" w:color="auto"/>
            </w:tcBorders>
            <w:shd w:val="clear" w:color="000000" w:fill="FFFFFF"/>
            <w:noWrap/>
            <w:vAlign w:val="center"/>
            <w:hideMark/>
          </w:tcPr>
          <w:p w14:paraId="04B92348" w14:textId="389AD077"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center"/>
            <w:hideMark/>
          </w:tcPr>
          <w:p w14:paraId="4D8B27E5" w14:textId="6C614B59"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r>
      <w:tr w:rsidR="00490505" w:rsidRPr="00616069" w14:paraId="10DD8204" w14:textId="77777777" w:rsidTr="002344B5">
        <w:trPr>
          <w:trHeight w:val="300"/>
        </w:trPr>
        <w:tc>
          <w:tcPr>
            <w:tcW w:w="3539" w:type="dxa"/>
            <w:tcBorders>
              <w:top w:val="nil"/>
              <w:left w:val="nil"/>
              <w:bottom w:val="nil"/>
              <w:right w:val="nil"/>
            </w:tcBorders>
            <w:shd w:val="clear" w:color="000000" w:fill="FFFFFF"/>
            <w:noWrap/>
            <w:vAlign w:val="bottom"/>
            <w:hideMark/>
          </w:tcPr>
          <w:p w14:paraId="321828A8" w14:textId="77777777" w:rsidR="00490505" w:rsidRPr="00616069" w:rsidRDefault="00490505" w:rsidP="00490505">
            <w:pPr>
              <w:overflowPunct/>
              <w:autoSpaceDE/>
              <w:autoSpaceDN/>
              <w:adjustRightInd/>
              <w:ind w:firstLineChars="300" w:firstLine="660"/>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na koupi</w:t>
            </w:r>
          </w:p>
        </w:tc>
        <w:tc>
          <w:tcPr>
            <w:tcW w:w="1101" w:type="dxa"/>
            <w:tcBorders>
              <w:top w:val="nil"/>
              <w:left w:val="nil"/>
              <w:bottom w:val="nil"/>
              <w:right w:val="single" w:sz="4" w:space="0" w:color="auto"/>
            </w:tcBorders>
            <w:shd w:val="clear" w:color="000000" w:fill="FFFFFF"/>
            <w:noWrap/>
            <w:vAlign w:val="center"/>
            <w:hideMark/>
          </w:tcPr>
          <w:p w14:paraId="63DC905E" w14:textId="78C75E45"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15,4</w:t>
            </w:r>
          </w:p>
        </w:tc>
        <w:tc>
          <w:tcPr>
            <w:tcW w:w="960" w:type="dxa"/>
            <w:tcBorders>
              <w:top w:val="nil"/>
              <w:left w:val="nil"/>
              <w:bottom w:val="nil"/>
              <w:right w:val="single" w:sz="4" w:space="0" w:color="auto"/>
            </w:tcBorders>
            <w:shd w:val="clear" w:color="000000" w:fill="FFFFFF"/>
            <w:noWrap/>
            <w:vAlign w:val="center"/>
            <w:hideMark/>
          </w:tcPr>
          <w:p w14:paraId="1F9B5019" w14:textId="1F71EA5E"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4 017</w:t>
            </w:r>
          </w:p>
        </w:tc>
        <w:tc>
          <w:tcPr>
            <w:tcW w:w="960" w:type="dxa"/>
            <w:tcBorders>
              <w:top w:val="nil"/>
              <w:left w:val="nil"/>
              <w:bottom w:val="nil"/>
              <w:right w:val="nil"/>
            </w:tcBorders>
            <w:shd w:val="clear" w:color="000000" w:fill="FFFFFF"/>
            <w:noWrap/>
            <w:vAlign w:val="center"/>
            <w:hideMark/>
          </w:tcPr>
          <w:p w14:paraId="245CA2C7" w14:textId="0E42AAA6"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5,05</w:t>
            </w:r>
          </w:p>
        </w:tc>
      </w:tr>
      <w:tr w:rsidR="00490505" w:rsidRPr="00616069" w14:paraId="6815BAA0" w14:textId="77777777" w:rsidTr="002344B5">
        <w:trPr>
          <w:trHeight w:val="300"/>
        </w:trPr>
        <w:tc>
          <w:tcPr>
            <w:tcW w:w="3539" w:type="dxa"/>
            <w:tcBorders>
              <w:top w:val="nil"/>
              <w:left w:val="nil"/>
              <w:bottom w:val="nil"/>
              <w:right w:val="nil"/>
            </w:tcBorders>
            <w:shd w:val="clear" w:color="000000" w:fill="FFFFFF"/>
            <w:noWrap/>
            <w:vAlign w:val="bottom"/>
            <w:hideMark/>
          </w:tcPr>
          <w:p w14:paraId="1CD17F24" w14:textId="77777777" w:rsidR="00490505" w:rsidRPr="00616069" w:rsidRDefault="00490505" w:rsidP="00490505">
            <w:pPr>
              <w:overflowPunct/>
              <w:autoSpaceDE/>
              <w:autoSpaceDN/>
              <w:adjustRightInd/>
              <w:ind w:firstLineChars="300" w:firstLine="660"/>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na výstavbu</w:t>
            </w:r>
          </w:p>
        </w:tc>
        <w:tc>
          <w:tcPr>
            <w:tcW w:w="1101" w:type="dxa"/>
            <w:tcBorders>
              <w:top w:val="nil"/>
              <w:left w:val="nil"/>
              <w:bottom w:val="nil"/>
              <w:right w:val="single" w:sz="4" w:space="0" w:color="auto"/>
            </w:tcBorders>
            <w:shd w:val="clear" w:color="000000" w:fill="FFFFFF"/>
            <w:noWrap/>
            <w:vAlign w:val="center"/>
            <w:hideMark/>
          </w:tcPr>
          <w:p w14:paraId="2C073796" w14:textId="4A4ED8E8"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3,3</w:t>
            </w:r>
          </w:p>
        </w:tc>
        <w:tc>
          <w:tcPr>
            <w:tcW w:w="960" w:type="dxa"/>
            <w:tcBorders>
              <w:top w:val="nil"/>
              <w:left w:val="nil"/>
              <w:bottom w:val="nil"/>
              <w:right w:val="single" w:sz="4" w:space="0" w:color="auto"/>
            </w:tcBorders>
            <w:shd w:val="clear" w:color="000000" w:fill="FFFFFF"/>
            <w:noWrap/>
            <w:vAlign w:val="center"/>
            <w:hideMark/>
          </w:tcPr>
          <w:p w14:paraId="2BEC2F1D" w14:textId="0D625AD6"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893</w:t>
            </w:r>
          </w:p>
        </w:tc>
        <w:tc>
          <w:tcPr>
            <w:tcW w:w="960" w:type="dxa"/>
            <w:tcBorders>
              <w:top w:val="nil"/>
              <w:left w:val="nil"/>
              <w:bottom w:val="nil"/>
              <w:right w:val="nil"/>
            </w:tcBorders>
            <w:shd w:val="clear" w:color="000000" w:fill="FFFFFF"/>
            <w:noWrap/>
            <w:vAlign w:val="center"/>
            <w:hideMark/>
          </w:tcPr>
          <w:p w14:paraId="1ED8392A" w14:textId="43BB4337"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5,07</w:t>
            </w:r>
          </w:p>
        </w:tc>
      </w:tr>
      <w:tr w:rsidR="00490505" w:rsidRPr="00616069" w14:paraId="13F97586"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24A57913" w14:textId="77777777" w:rsidR="00490505" w:rsidRPr="00616069" w:rsidRDefault="00490505" w:rsidP="00490505">
            <w:pPr>
              <w:overflowPunct/>
              <w:autoSpaceDE/>
              <w:autoSpaceDN/>
              <w:adjustRightInd/>
              <w:ind w:firstLineChars="300" w:firstLine="660"/>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ostatní</w:t>
            </w:r>
          </w:p>
        </w:tc>
        <w:tc>
          <w:tcPr>
            <w:tcW w:w="1101" w:type="dxa"/>
            <w:tcBorders>
              <w:top w:val="nil"/>
              <w:left w:val="nil"/>
              <w:bottom w:val="single" w:sz="4" w:space="0" w:color="auto"/>
              <w:right w:val="single" w:sz="4" w:space="0" w:color="auto"/>
            </w:tcBorders>
            <w:shd w:val="clear" w:color="000000" w:fill="FFFFFF"/>
            <w:noWrap/>
            <w:vAlign w:val="center"/>
            <w:hideMark/>
          </w:tcPr>
          <w:p w14:paraId="7B22856C" w14:textId="004DCDFD"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1,0</w:t>
            </w:r>
          </w:p>
        </w:tc>
        <w:tc>
          <w:tcPr>
            <w:tcW w:w="960" w:type="dxa"/>
            <w:tcBorders>
              <w:top w:val="nil"/>
              <w:left w:val="nil"/>
              <w:bottom w:val="single" w:sz="4" w:space="0" w:color="auto"/>
              <w:right w:val="single" w:sz="4" w:space="0" w:color="auto"/>
            </w:tcBorders>
            <w:shd w:val="clear" w:color="000000" w:fill="FFFFFF"/>
            <w:noWrap/>
            <w:vAlign w:val="center"/>
            <w:hideMark/>
          </w:tcPr>
          <w:p w14:paraId="766570EC" w14:textId="02D5683A"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294</w:t>
            </w:r>
          </w:p>
        </w:tc>
        <w:tc>
          <w:tcPr>
            <w:tcW w:w="960" w:type="dxa"/>
            <w:tcBorders>
              <w:top w:val="nil"/>
              <w:left w:val="nil"/>
              <w:bottom w:val="single" w:sz="4" w:space="0" w:color="auto"/>
              <w:right w:val="nil"/>
            </w:tcBorders>
            <w:shd w:val="clear" w:color="000000" w:fill="FFFFFF"/>
            <w:noWrap/>
            <w:vAlign w:val="center"/>
            <w:hideMark/>
          </w:tcPr>
          <w:p w14:paraId="2CAA1522" w14:textId="208F18E3"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5,26</w:t>
            </w:r>
          </w:p>
        </w:tc>
      </w:tr>
      <w:tr w:rsidR="00490505" w:rsidRPr="00616069" w14:paraId="219FB66B"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641E43AF" w14:textId="77777777" w:rsidR="00490505" w:rsidRPr="00616069" w:rsidRDefault="00490505" w:rsidP="00490505">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Refinancované z jiné instituce</w:t>
            </w:r>
          </w:p>
        </w:tc>
        <w:tc>
          <w:tcPr>
            <w:tcW w:w="1101" w:type="dxa"/>
            <w:tcBorders>
              <w:top w:val="nil"/>
              <w:left w:val="nil"/>
              <w:bottom w:val="single" w:sz="4" w:space="0" w:color="auto"/>
              <w:right w:val="single" w:sz="4" w:space="0" w:color="auto"/>
            </w:tcBorders>
            <w:shd w:val="clear" w:color="000000" w:fill="FFFFFF"/>
            <w:noWrap/>
            <w:vAlign w:val="center"/>
            <w:hideMark/>
          </w:tcPr>
          <w:p w14:paraId="78177EA4" w14:textId="089E9421" w:rsidR="00490505" w:rsidRPr="00616069" w:rsidRDefault="00490505" w:rsidP="00490505">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3,3</w:t>
            </w:r>
          </w:p>
        </w:tc>
        <w:tc>
          <w:tcPr>
            <w:tcW w:w="960" w:type="dxa"/>
            <w:tcBorders>
              <w:top w:val="nil"/>
              <w:left w:val="nil"/>
              <w:bottom w:val="single" w:sz="4" w:space="0" w:color="auto"/>
              <w:right w:val="single" w:sz="4" w:space="0" w:color="auto"/>
            </w:tcBorders>
            <w:shd w:val="clear" w:color="000000" w:fill="FFFFFF"/>
            <w:noWrap/>
            <w:vAlign w:val="center"/>
            <w:hideMark/>
          </w:tcPr>
          <w:p w14:paraId="38625343" w14:textId="5B2B7334"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1 022</w:t>
            </w:r>
          </w:p>
        </w:tc>
        <w:tc>
          <w:tcPr>
            <w:tcW w:w="960" w:type="dxa"/>
            <w:tcBorders>
              <w:top w:val="nil"/>
              <w:left w:val="nil"/>
              <w:bottom w:val="single" w:sz="4" w:space="0" w:color="auto"/>
              <w:right w:val="nil"/>
            </w:tcBorders>
            <w:shd w:val="clear" w:color="000000" w:fill="FFFFFF"/>
            <w:noWrap/>
            <w:vAlign w:val="center"/>
            <w:hideMark/>
          </w:tcPr>
          <w:p w14:paraId="2F210A95" w14:textId="5466D968" w:rsidR="00490505" w:rsidRPr="00616069" w:rsidRDefault="00490505" w:rsidP="00490505">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5,04</w:t>
            </w:r>
          </w:p>
        </w:tc>
      </w:tr>
      <w:tr w:rsidR="00490505" w:rsidRPr="00616069" w14:paraId="3D627EA7"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0725FADF" w14:textId="77777777" w:rsidR="00490505" w:rsidRPr="00616069" w:rsidRDefault="00490505" w:rsidP="00490505">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Refinancované interně</w:t>
            </w:r>
          </w:p>
        </w:tc>
        <w:tc>
          <w:tcPr>
            <w:tcW w:w="1101" w:type="dxa"/>
            <w:tcBorders>
              <w:top w:val="nil"/>
              <w:left w:val="nil"/>
              <w:bottom w:val="single" w:sz="4" w:space="0" w:color="auto"/>
              <w:right w:val="single" w:sz="4" w:space="0" w:color="auto"/>
            </w:tcBorders>
            <w:shd w:val="clear" w:color="000000" w:fill="FFFFFF"/>
            <w:noWrap/>
            <w:vAlign w:val="center"/>
            <w:hideMark/>
          </w:tcPr>
          <w:p w14:paraId="5715E1E0" w14:textId="4A830FEB" w:rsidR="00490505" w:rsidRPr="00616069" w:rsidRDefault="00490505" w:rsidP="00490505">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0,8</w:t>
            </w:r>
          </w:p>
        </w:tc>
        <w:tc>
          <w:tcPr>
            <w:tcW w:w="960" w:type="dxa"/>
            <w:tcBorders>
              <w:top w:val="nil"/>
              <w:left w:val="nil"/>
              <w:bottom w:val="single" w:sz="4" w:space="0" w:color="auto"/>
              <w:right w:val="single" w:sz="4" w:space="0" w:color="auto"/>
            </w:tcBorders>
            <w:shd w:val="clear" w:color="000000" w:fill="FFFFFF"/>
            <w:noWrap/>
            <w:vAlign w:val="center"/>
            <w:hideMark/>
          </w:tcPr>
          <w:p w14:paraId="7D87364C" w14:textId="31E64508"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267</w:t>
            </w:r>
          </w:p>
        </w:tc>
        <w:tc>
          <w:tcPr>
            <w:tcW w:w="960" w:type="dxa"/>
            <w:tcBorders>
              <w:top w:val="nil"/>
              <w:left w:val="nil"/>
              <w:bottom w:val="single" w:sz="4" w:space="0" w:color="auto"/>
              <w:right w:val="nil"/>
            </w:tcBorders>
            <w:shd w:val="clear" w:color="000000" w:fill="FFFFFF"/>
            <w:noWrap/>
            <w:vAlign w:val="center"/>
            <w:hideMark/>
          </w:tcPr>
          <w:p w14:paraId="473AFF57" w14:textId="14F35BCC" w:rsidR="00490505" w:rsidRPr="00616069" w:rsidRDefault="00490505" w:rsidP="00490505">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5,09</w:t>
            </w:r>
          </w:p>
        </w:tc>
      </w:tr>
      <w:tr w:rsidR="006E04F7" w:rsidRPr="00616069" w14:paraId="763F0D46" w14:textId="77777777" w:rsidTr="00356809">
        <w:trPr>
          <w:trHeight w:val="300"/>
        </w:trPr>
        <w:tc>
          <w:tcPr>
            <w:tcW w:w="3539" w:type="dxa"/>
            <w:tcBorders>
              <w:top w:val="nil"/>
              <w:left w:val="nil"/>
              <w:bottom w:val="nil"/>
              <w:right w:val="nil"/>
            </w:tcBorders>
            <w:shd w:val="clear" w:color="000000" w:fill="FFFFFF"/>
            <w:noWrap/>
            <w:vAlign w:val="bottom"/>
            <w:hideMark/>
          </w:tcPr>
          <w:p w14:paraId="06A1A28A" w14:textId="77777777" w:rsidR="006E04F7" w:rsidRPr="00616069" w:rsidRDefault="006E04F7" w:rsidP="00356809">
            <w:pPr>
              <w:overflowPunct/>
              <w:autoSpaceDE/>
              <w:autoSpaceDN/>
              <w:adjustRightInd/>
              <w:jc w:val="left"/>
              <w:textAlignment w:val="auto"/>
              <w:rPr>
                <w:rFonts w:ascii="Calibri Light" w:hAnsi="Calibri Light" w:cs="Calibri Light"/>
                <w:color w:val="13576B"/>
                <w:sz w:val="20"/>
              </w:rPr>
            </w:pPr>
            <w:r w:rsidRPr="00616069">
              <w:rPr>
                <w:rFonts w:ascii="Calibri Light" w:hAnsi="Calibri Light" w:cs="Calibri Light"/>
                <w:color w:val="13576B"/>
                <w:sz w:val="20"/>
              </w:rPr>
              <w:t xml:space="preserve">Pramen: ČBA </w:t>
            </w:r>
            <w:proofErr w:type="spellStart"/>
            <w:r w:rsidRPr="00616069">
              <w:rPr>
                <w:rFonts w:ascii="Calibri Light" w:hAnsi="Calibri Light" w:cs="Calibri Light"/>
                <w:color w:val="13576B"/>
                <w:sz w:val="20"/>
              </w:rPr>
              <w:t>Hypomonitor</w:t>
            </w:r>
            <w:proofErr w:type="spellEnd"/>
          </w:p>
        </w:tc>
        <w:tc>
          <w:tcPr>
            <w:tcW w:w="1101" w:type="dxa"/>
            <w:tcBorders>
              <w:top w:val="nil"/>
              <w:left w:val="nil"/>
              <w:bottom w:val="nil"/>
              <w:right w:val="nil"/>
            </w:tcBorders>
            <w:shd w:val="clear" w:color="000000" w:fill="FFFFFF"/>
            <w:noWrap/>
            <w:vAlign w:val="bottom"/>
            <w:hideMark/>
          </w:tcPr>
          <w:p w14:paraId="01E541C2" w14:textId="77777777" w:rsidR="006E04F7" w:rsidRPr="00616069" w:rsidRDefault="006E04F7" w:rsidP="00356809">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bottom"/>
            <w:hideMark/>
          </w:tcPr>
          <w:p w14:paraId="531856BD" w14:textId="77777777" w:rsidR="006E04F7" w:rsidRPr="00616069" w:rsidRDefault="006E04F7" w:rsidP="00356809">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bottom"/>
            <w:hideMark/>
          </w:tcPr>
          <w:p w14:paraId="67C47165" w14:textId="77777777" w:rsidR="006E04F7" w:rsidRPr="00616069" w:rsidRDefault="006E04F7" w:rsidP="00356809">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r>
    </w:tbl>
    <w:p w14:paraId="21076DCA" w14:textId="359F8E4B" w:rsidR="006E04F7" w:rsidRPr="00616069" w:rsidRDefault="006E04F7" w:rsidP="00863D31">
      <w:pPr>
        <w:rPr>
          <w:rFonts w:ascii="Calibri" w:hAnsi="Calibri" w:cs="Calibri"/>
          <w:b/>
          <w:bCs/>
          <w:sz w:val="22"/>
          <w:szCs w:val="22"/>
        </w:rPr>
      </w:pPr>
    </w:p>
    <w:p w14:paraId="27BA4ADE" w14:textId="53806145" w:rsidR="00237E0B" w:rsidRPr="00616069" w:rsidRDefault="00942AD5" w:rsidP="00237E0B">
      <w:pPr>
        <w:spacing w:before="120" w:after="120"/>
        <w:rPr>
          <w:rFonts w:ascii="Calibri" w:hAnsi="Calibri" w:cs="Calibri"/>
          <w:sz w:val="22"/>
          <w:szCs w:val="22"/>
        </w:rPr>
      </w:pPr>
      <w:r w:rsidRPr="00616069">
        <w:rPr>
          <w:rFonts w:ascii="Calibri" w:hAnsi="Calibri" w:cs="Calibri"/>
          <w:noProof/>
          <w:sz w:val="22"/>
          <w:szCs w:val="22"/>
        </w:rPr>
        <w:lastRenderedPageBreak/>
        <mc:AlternateContent>
          <mc:Choice Requires="wps">
            <w:drawing>
              <wp:anchor distT="0" distB="0" distL="114300" distR="114300" simplePos="0" relativeHeight="251678720" behindDoc="0" locked="0" layoutInCell="1" allowOverlap="1" wp14:anchorId="4A3D2F1B" wp14:editId="1A79BBFC">
                <wp:simplePos x="0" y="0"/>
                <wp:positionH relativeFrom="margin">
                  <wp:posOffset>-41910</wp:posOffset>
                </wp:positionH>
                <wp:positionV relativeFrom="paragraph">
                  <wp:posOffset>1044575</wp:posOffset>
                </wp:positionV>
                <wp:extent cx="6519545" cy="982345"/>
                <wp:effectExtent l="0" t="0" r="14605" b="27305"/>
                <wp:wrapTopAndBottom/>
                <wp:docPr id="870128156" name="Rectangle 1"/>
                <wp:cNvGraphicFramePr/>
                <a:graphic xmlns:a="http://schemas.openxmlformats.org/drawingml/2006/main">
                  <a:graphicData uri="http://schemas.microsoft.com/office/word/2010/wordprocessingShape">
                    <wps:wsp>
                      <wps:cNvSpPr/>
                      <wps:spPr>
                        <a:xfrm>
                          <a:off x="0" y="0"/>
                          <a:ext cx="6519545" cy="98234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2F6363" w14:textId="77777777" w:rsidR="002A3A83" w:rsidRPr="002A3A83" w:rsidRDefault="002A3A83" w:rsidP="002A3A83">
                            <w:pPr>
                              <w:rPr>
                                <w:rFonts w:ascii="Calibri" w:eastAsia="Calibri" w:hAnsi="Calibri" w:cs="Calibri"/>
                                <w:i/>
                                <w:iCs/>
                                <w:sz w:val="22"/>
                                <w:szCs w:val="22"/>
                              </w:rPr>
                            </w:pPr>
                            <w:r w:rsidRPr="002A3A83">
                              <w:rPr>
                                <w:rFonts w:ascii="Calibri" w:eastAsia="Calibri" w:hAnsi="Calibri" w:cs="Calibri"/>
                                <w:i/>
                                <w:iCs/>
                                <w:sz w:val="22"/>
                                <w:szCs w:val="22"/>
                              </w:rPr>
                              <w:t xml:space="preserve">„Letní sezóna a prázdniny jsou v posledních letech spojeny se zájmem o investice do rekreačních nemovitostí v zahraničí. Tento trend dle našich údajů letos dále zesílil, někteří klienti pak využívají pro nákup nemovitostí ve vybraných sousedních zemích i možnost využít jako zástavu hypotéky pořizovanou zahraniční nemovitost, což situaci dále usnadňuje a zároveň ukazuje, jak se tuzemský hypoteční trh postupně přizpůsobuje požadavkům klientů,“ </w:t>
                            </w:r>
                            <w:r w:rsidRPr="002A3A83">
                              <w:rPr>
                                <w:rFonts w:ascii="Calibri" w:eastAsia="Calibri" w:hAnsi="Calibri" w:cs="Calibri"/>
                                <w:b/>
                                <w:bCs/>
                                <w:i/>
                                <w:iCs/>
                                <w:sz w:val="22"/>
                                <w:szCs w:val="22"/>
                              </w:rPr>
                              <w:t xml:space="preserve">připomíná Filip Vavruška, ředitel </w:t>
                            </w:r>
                            <w:proofErr w:type="spellStart"/>
                            <w:r w:rsidRPr="002A3A83">
                              <w:rPr>
                                <w:rFonts w:ascii="Calibri" w:eastAsia="Calibri" w:hAnsi="Calibri" w:cs="Calibri"/>
                                <w:b/>
                                <w:bCs/>
                                <w:i/>
                                <w:iCs/>
                                <w:sz w:val="22"/>
                                <w:szCs w:val="22"/>
                              </w:rPr>
                              <w:t>Oberbank</w:t>
                            </w:r>
                            <w:proofErr w:type="spellEnd"/>
                            <w:r w:rsidRPr="002A3A83">
                              <w:rPr>
                                <w:rFonts w:ascii="Calibri" w:eastAsia="Calibri" w:hAnsi="Calibri" w:cs="Calibri"/>
                                <w:b/>
                                <w:bCs/>
                                <w:i/>
                                <w:iCs/>
                                <w:sz w:val="22"/>
                                <w:szCs w:val="22"/>
                              </w:rPr>
                              <w:t xml:space="preserve"> Česká republika.</w:t>
                            </w:r>
                          </w:p>
                          <w:p w14:paraId="6D0F8AD9" w14:textId="483E0F87" w:rsidR="000E087A" w:rsidRPr="00100394" w:rsidRDefault="000E087A" w:rsidP="000E087A">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3D2F1B" id="_x0000_s1027" style="position:absolute;left:0;text-align:left;margin-left:-3.3pt;margin-top:82.25pt;width:513.35pt;height:77.3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dadQIAAEcFAAAOAAAAZHJzL2Uyb0RvYy54bWysVE1v2zAMvQ/YfxB0Xx2nSdcGdYqgRYcB&#10;RVusHXpWZCkxJosapcTOfv0o2XGCLthh2MWmRPLx8+n6pq0N2yr0FdiC52cjzpSVUFZ2VfDvr/ef&#10;LjnzQdhSGLCq4Dvl+c3844frxs3UGNZgSoWMQKyfNa7g6xDcLMu8XKta+DNwypJSA9Yi0BFXWYmi&#10;IfTaZOPR6CJrAEuHIJX3dHvXKfk84WutZHjS2qvATMEpt5C+mL7L+M3m12K2QuHWlezTEP+QRS0q&#10;S0EHqDsRBNtg9QdUXUkEDzqcSagz0LqSKtVA1eSjd9W8rIVTqRZqjndDm/z/g5WP2xf3jNSGxvmZ&#10;JzFW0Wqs45/yY21q1m5olmoDk3R5Mc2vppMpZ5J0V5fjc5IJJjt4O/Thi4KaRaHgSMNIPRLbBx86&#10;071JDGYsawj2fDpKVh5MVd5XxkRd2gd1a5BtBU0ytHkf68iKIhtLCRwKSVLYGdXBf1OaVSWlPu4C&#10;xB07YAoplQ0XPa6xZB3dNGUwOOanHE3YJ9PbRjeVdm9w7Ev6W8TBI0UFGwbnurKApyKXP4bInf2+&#10;+q7mWH5oly0VTdSMhcWbJZS7Z2QIHRe8k/cVzedB+PAskJafaEKEDk/00QZoJNBLnK0Bf526j/a0&#10;k6TlrCEyFdz/3AhUnJmvlrb1Kp9MIvvSYTL9PKYDHmuWxxq7qW+BppzT0+FkEqN9MHtRI9RvxPtF&#10;jEoqYSXFLrgMuD/cho7k9HJItVgkM2KcE+HBvjgZwWOf4/69tm8CXb+kgdb7EfbEE7N3u9rZRk8L&#10;i00AXaVFPvS1nwCxNVGhf1nic3B8TlaH92/+GwAA//8DAFBLAwQUAAYACAAAACEAW2X/7eEAAAAL&#10;AQAADwAAAGRycy9kb3ducmV2LnhtbEyPy07DMBBF90j9B2uQ2LV2UrBKiFNFlVA3INEHYuvG0yQ0&#10;Hkex24a/x13BcmaO7pybL0fbsQsOvnWkIJkJYEiVMy3VCva71+kCmA+ajO4coYIf9LAsJne5zoy7&#10;0gYv21CzGEI+0wqaEPqMc181aLWfuR4p3o5usDrEcai5GfQ1htuOp0JIbnVL8UOje1w1WJ22Z6ug&#10;/D5u3vbz976t16cv87n+sIkslXq4H8sXYAHH8AfDTT+qQxGdDu5MxrNOwVTKSMa9fHwCdgNEKhJg&#10;BwXz5DkFXuT8f4fiFwAA//8DAFBLAQItABQABgAIAAAAIQC2gziS/gAAAOEBAAATAAAAAAAAAAAA&#10;AAAAAAAAAABbQ29udGVudF9UeXBlc10ueG1sUEsBAi0AFAAGAAgAAAAhADj9If/WAAAAlAEAAAsA&#10;AAAAAAAAAAAAAAAALwEAAF9yZWxzLy5yZWxzUEsBAi0AFAAGAAgAAAAhAMR+Z1p1AgAARwUAAA4A&#10;AAAAAAAAAAAAAAAALgIAAGRycy9lMm9Eb2MueG1sUEsBAi0AFAAGAAgAAAAhAFtl/+3hAAAACwEA&#10;AA8AAAAAAAAAAAAAAAAAzwQAAGRycy9kb3ducmV2LnhtbFBLBQYAAAAABAAEAPMAAADdBQAAAAA=&#10;" fillcolor="white [3201]" strokecolor="black [3213]" strokeweight=".5pt">
                <v:textbox>
                  <w:txbxContent>
                    <w:p w14:paraId="572F6363" w14:textId="77777777" w:rsidR="002A3A83" w:rsidRPr="002A3A83" w:rsidRDefault="002A3A83" w:rsidP="002A3A83">
                      <w:pPr>
                        <w:rPr>
                          <w:rFonts w:ascii="Calibri" w:eastAsia="Calibri" w:hAnsi="Calibri" w:cs="Calibri"/>
                          <w:i/>
                          <w:iCs/>
                          <w:sz w:val="22"/>
                          <w:szCs w:val="22"/>
                        </w:rPr>
                      </w:pPr>
                      <w:r w:rsidRPr="002A3A83">
                        <w:rPr>
                          <w:rFonts w:ascii="Calibri" w:eastAsia="Calibri" w:hAnsi="Calibri" w:cs="Calibri"/>
                          <w:i/>
                          <w:iCs/>
                          <w:sz w:val="22"/>
                          <w:szCs w:val="22"/>
                        </w:rPr>
                        <w:t xml:space="preserve">„Letní sezóna a prázdniny jsou v posledních letech spojeny se zájmem o investice do rekreačních nemovitostí v zahraničí. Tento trend dle našich údajů letos dále zesílil, někteří klienti pak využívají pro nákup nemovitostí ve vybraných sousedních zemích i možnost využít jako zástavu hypotéky pořizovanou zahraniční nemovitost, což situaci dále usnadňuje a zároveň ukazuje, jak se tuzemský hypoteční trh postupně přizpůsobuje požadavkům klientů,“ </w:t>
                      </w:r>
                      <w:r w:rsidRPr="002A3A83">
                        <w:rPr>
                          <w:rFonts w:ascii="Calibri" w:eastAsia="Calibri" w:hAnsi="Calibri" w:cs="Calibri"/>
                          <w:b/>
                          <w:bCs/>
                          <w:i/>
                          <w:iCs/>
                          <w:sz w:val="22"/>
                          <w:szCs w:val="22"/>
                        </w:rPr>
                        <w:t xml:space="preserve">připomíná Filip Vavruška, ředitel </w:t>
                      </w:r>
                      <w:proofErr w:type="spellStart"/>
                      <w:r w:rsidRPr="002A3A83">
                        <w:rPr>
                          <w:rFonts w:ascii="Calibri" w:eastAsia="Calibri" w:hAnsi="Calibri" w:cs="Calibri"/>
                          <w:b/>
                          <w:bCs/>
                          <w:i/>
                          <w:iCs/>
                          <w:sz w:val="22"/>
                          <w:szCs w:val="22"/>
                        </w:rPr>
                        <w:t>Oberbank</w:t>
                      </w:r>
                      <w:proofErr w:type="spellEnd"/>
                      <w:r w:rsidRPr="002A3A83">
                        <w:rPr>
                          <w:rFonts w:ascii="Calibri" w:eastAsia="Calibri" w:hAnsi="Calibri" w:cs="Calibri"/>
                          <w:b/>
                          <w:bCs/>
                          <w:i/>
                          <w:iCs/>
                          <w:sz w:val="22"/>
                          <w:szCs w:val="22"/>
                        </w:rPr>
                        <w:t xml:space="preserve"> Česká republika.</w:t>
                      </w:r>
                    </w:p>
                    <w:p w14:paraId="6D0F8AD9" w14:textId="483E0F87" w:rsidR="000E087A" w:rsidRPr="00100394" w:rsidRDefault="000E087A" w:rsidP="000E087A">
                      <w:pPr>
                        <w:rPr>
                          <w:b/>
                          <w:bCs/>
                        </w:rPr>
                      </w:pPr>
                    </w:p>
                  </w:txbxContent>
                </v:textbox>
                <w10:wrap type="topAndBottom" anchorx="margin"/>
              </v:rect>
            </w:pict>
          </mc:Fallback>
        </mc:AlternateContent>
      </w:r>
      <w:r w:rsidR="00412A2D">
        <w:rPr>
          <w:rFonts w:ascii="Calibri" w:hAnsi="Calibri" w:cs="Calibri"/>
          <w:b/>
          <w:bCs/>
          <w:sz w:val="22"/>
          <w:szCs w:val="22"/>
        </w:rPr>
        <w:t>O</w:t>
      </w:r>
      <w:r w:rsidR="00237E0B" w:rsidRPr="00616069">
        <w:rPr>
          <w:rFonts w:ascii="Calibri" w:hAnsi="Calibri" w:cs="Calibri"/>
          <w:b/>
          <w:bCs/>
          <w:sz w:val="22"/>
          <w:szCs w:val="22"/>
        </w:rPr>
        <w:t>bjem skutečně nově poskytnutých hypoték bez refinancování v</w:t>
      </w:r>
      <w:r w:rsidR="00F06185">
        <w:rPr>
          <w:rFonts w:ascii="Calibri" w:hAnsi="Calibri" w:cs="Calibri"/>
          <w:b/>
          <w:bCs/>
          <w:sz w:val="22"/>
          <w:szCs w:val="22"/>
        </w:rPr>
        <w:t> </w:t>
      </w:r>
      <w:r w:rsidR="00D24E61">
        <w:rPr>
          <w:rFonts w:ascii="Calibri" w:hAnsi="Calibri" w:cs="Calibri"/>
          <w:b/>
          <w:bCs/>
          <w:sz w:val="22"/>
          <w:szCs w:val="22"/>
        </w:rPr>
        <w:t>červ</w:t>
      </w:r>
      <w:r>
        <w:rPr>
          <w:rFonts w:ascii="Calibri" w:hAnsi="Calibri" w:cs="Calibri"/>
          <w:b/>
          <w:bCs/>
          <w:sz w:val="22"/>
          <w:szCs w:val="22"/>
        </w:rPr>
        <w:t>enci</w:t>
      </w:r>
      <w:r w:rsidR="00F06185">
        <w:rPr>
          <w:rFonts w:ascii="Calibri" w:hAnsi="Calibri" w:cs="Calibri"/>
          <w:b/>
          <w:bCs/>
          <w:sz w:val="22"/>
          <w:szCs w:val="22"/>
        </w:rPr>
        <w:t xml:space="preserve"> </w:t>
      </w:r>
      <w:r w:rsidR="00237E0B" w:rsidRPr="00616069">
        <w:rPr>
          <w:rFonts w:ascii="Calibri" w:hAnsi="Calibri" w:cs="Calibri"/>
          <w:b/>
          <w:bCs/>
          <w:sz w:val="22"/>
          <w:szCs w:val="22"/>
        </w:rPr>
        <w:t xml:space="preserve">dosáhl </w:t>
      </w:r>
      <w:r>
        <w:rPr>
          <w:rFonts w:ascii="Calibri" w:hAnsi="Calibri" w:cs="Calibri"/>
          <w:b/>
          <w:bCs/>
          <w:sz w:val="22"/>
          <w:szCs w:val="22"/>
        </w:rPr>
        <w:t>19</w:t>
      </w:r>
      <w:r w:rsidR="00352D4E">
        <w:rPr>
          <w:rFonts w:ascii="Calibri" w:hAnsi="Calibri" w:cs="Calibri"/>
          <w:b/>
          <w:bCs/>
          <w:sz w:val="22"/>
          <w:szCs w:val="22"/>
        </w:rPr>
        <w:t>,</w:t>
      </w:r>
      <w:r>
        <w:rPr>
          <w:rFonts w:ascii="Calibri" w:hAnsi="Calibri" w:cs="Calibri"/>
          <w:b/>
          <w:bCs/>
          <w:sz w:val="22"/>
          <w:szCs w:val="22"/>
        </w:rPr>
        <w:t>6</w:t>
      </w:r>
      <w:r w:rsidR="00237E0B" w:rsidRPr="00616069">
        <w:rPr>
          <w:rFonts w:ascii="Calibri" w:hAnsi="Calibri" w:cs="Calibri"/>
          <w:b/>
          <w:bCs/>
          <w:sz w:val="22"/>
          <w:szCs w:val="22"/>
        </w:rPr>
        <w:t xml:space="preserve"> mld. K</w:t>
      </w:r>
      <w:r w:rsidR="00944CB3">
        <w:rPr>
          <w:rFonts w:ascii="Calibri" w:hAnsi="Calibri" w:cs="Calibri"/>
          <w:b/>
          <w:bCs/>
          <w:sz w:val="22"/>
          <w:szCs w:val="22"/>
        </w:rPr>
        <w:t>č</w:t>
      </w:r>
      <w:r w:rsidR="00D24E61">
        <w:rPr>
          <w:rFonts w:ascii="Calibri" w:hAnsi="Calibri" w:cs="Calibri"/>
          <w:b/>
          <w:bCs/>
          <w:sz w:val="22"/>
          <w:szCs w:val="22"/>
        </w:rPr>
        <w:t>.</w:t>
      </w:r>
      <w:r w:rsidR="00F06185">
        <w:rPr>
          <w:rFonts w:ascii="Calibri" w:hAnsi="Calibri" w:cs="Calibri"/>
          <w:b/>
          <w:bCs/>
          <w:sz w:val="22"/>
          <w:szCs w:val="22"/>
        </w:rPr>
        <w:t xml:space="preserve"> Meziměsíčně se objem </w:t>
      </w:r>
      <w:r>
        <w:rPr>
          <w:rFonts w:ascii="Calibri" w:hAnsi="Calibri" w:cs="Calibri"/>
          <w:b/>
          <w:bCs/>
          <w:sz w:val="22"/>
          <w:szCs w:val="22"/>
        </w:rPr>
        <w:t>snížil</w:t>
      </w:r>
      <w:r w:rsidR="00F06185">
        <w:rPr>
          <w:rFonts w:ascii="Calibri" w:hAnsi="Calibri" w:cs="Calibri"/>
          <w:b/>
          <w:bCs/>
          <w:sz w:val="22"/>
          <w:szCs w:val="22"/>
        </w:rPr>
        <w:t xml:space="preserve"> o </w:t>
      </w:r>
      <w:r>
        <w:rPr>
          <w:rFonts w:ascii="Calibri" w:hAnsi="Calibri" w:cs="Calibri"/>
          <w:b/>
          <w:bCs/>
          <w:sz w:val="22"/>
          <w:szCs w:val="22"/>
        </w:rPr>
        <w:t>6</w:t>
      </w:r>
      <w:r w:rsidR="00D24E61">
        <w:rPr>
          <w:rFonts w:ascii="Calibri" w:hAnsi="Calibri" w:cs="Calibri"/>
          <w:b/>
          <w:bCs/>
          <w:sz w:val="22"/>
          <w:szCs w:val="22"/>
        </w:rPr>
        <w:t>,</w:t>
      </w:r>
      <w:r>
        <w:rPr>
          <w:rFonts w:ascii="Calibri" w:hAnsi="Calibri" w:cs="Calibri"/>
          <w:b/>
          <w:bCs/>
          <w:sz w:val="22"/>
          <w:szCs w:val="22"/>
        </w:rPr>
        <w:t>5</w:t>
      </w:r>
      <w:r w:rsidR="00D24E61">
        <w:rPr>
          <w:rFonts w:ascii="Calibri" w:hAnsi="Calibri" w:cs="Calibri"/>
          <w:b/>
          <w:bCs/>
          <w:sz w:val="22"/>
          <w:szCs w:val="22"/>
        </w:rPr>
        <w:t xml:space="preserve"> </w:t>
      </w:r>
      <w:r w:rsidR="00F06185">
        <w:rPr>
          <w:rFonts w:ascii="Calibri" w:hAnsi="Calibri" w:cs="Calibri"/>
          <w:b/>
          <w:bCs/>
          <w:sz w:val="22"/>
          <w:szCs w:val="22"/>
        </w:rPr>
        <w:t>%</w:t>
      </w:r>
      <w:r w:rsidR="00D24E61">
        <w:rPr>
          <w:rFonts w:ascii="Calibri" w:hAnsi="Calibri" w:cs="Calibri"/>
          <w:b/>
          <w:bCs/>
          <w:sz w:val="22"/>
          <w:szCs w:val="22"/>
        </w:rPr>
        <w:t>.</w:t>
      </w:r>
      <w:r w:rsidR="00F06185">
        <w:rPr>
          <w:rFonts w:ascii="Calibri" w:hAnsi="Calibri" w:cs="Calibri"/>
          <w:b/>
          <w:bCs/>
          <w:sz w:val="22"/>
          <w:szCs w:val="22"/>
        </w:rPr>
        <w:t xml:space="preserve"> </w:t>
      </w:r>
      <w:r w:rsidR="00237E0B" w:rsidRPr="00616069">
        <w:rPr>
          <w:rFonts w:ascii="Calibri" w:hAnsi="Calibri" w:cs="Calibri"/>
          <w:sz w:val="22"/>
          <w:szCs w:val="22"/>
        </w:rPr>
        <w:t xml:space="preserve">Objem refinancovaných úvěrů (interně či z jiné instituce) pak činil </w:t>
      </w:r>
      <w:r w:rsidR="00D24E61">
        <w:rPr>
          <w:rFonts w:ascii="Calibri" w:hAnsi="Calibri" w:cs="Calibri"/>
          <w:sz w:val="22"/>
          <w:szCs w:val="22"/>
        </w:rPr>
        <w:t>4</w:t>
      </w:r>
      <w:r w:rsidR="00237E0B" w:rsidRPr="00616069">
        <w:rPr>
          <w:rFonts w:ascii="Calibri" w:hAnsi="Calibri" w:cs="Calibri"/>
          <w:sz w:val="22"/>
          <w:szCs w:val="22"/>
        </w:rPr>
        <w:t xml:space="preserve"> mld. Kč</w:t>
      </w:r>
      <w:r>
        <w:rPr>
          <w:rFonts w:ascii="Calibri" w:hAnsi="Calibri" w:cs="Calibri"/>
          <w:sz w:val="22"/>
          <w:szCs w:val="22"/>
        </w:rPr>
        <w:t xml:space="preserve">, stejně jako v květnu. </w:t>
      </w:r>
      <w:r w:rsidR="00237E0B" w:rsidRPr="00616069">
        <w:rPr>
          <w:rFonts w:ascii="Calibri" w:hAnsi="Calibri" w:cs="Calibri"/>
          <w:sz w:val="22"/>
          <w:szCs w:val="22"/>
        </w:rPr>
        <w:t xml:space="preserve">Podíl refinancovaných úvěrů na celkovém objemu poskytnutých hypoték </w:t>
      </w:r>
      <w:r w:rsidR="00D24E61">
        <w:rPr>
          <w:rFonts w:ascii="Calibri" w:hAnsi="Calibri" w:cs="Calibri"/>
          <w:sz w:val="22"/>
          <w:szCs w:val="22"/>
        </w:rPr>
        <w:t>činil v čer</w:t>
      </w:r>
      <w:r>
        <w:rPr>
          <w:rFonts w:ascii="Calibri" w:hAnsi="Calibri" w:cs="Calibri"/>
          <w:sz w:val="22"/>
          <w:szCs w:val="22"/>
        </w:rPr>
        <w:t>venci</w:t>
      </w:r>
      <w:r w:rsidR="003E0FC6">
        <w:rPr>
          <w:rFonts w:ascii="Calibri" w:hAnsi="Calibri" w:cs="Calibri"/>
          <w:sz w:val="22"/>
          <w:szCs w:val="22"/>
        </w:rPr>
        <w:t xml:space="preserve"> </w:t>
      </w:r>
      <w:r>
        <w:rPr>
          <w:rFonts w:ascii="Calibri" w:hAnsi="Calibri" w:cs="Calibri"/>
          <w:sz w:val="22"/>
          <w:szCs w:val="22"/>
        </w:rPr>
        <w:t>17</w:t>
      </w:r>
      <w:r w:rsidR="00237E0B" w:rsidRPr="00616069">
        <w:rPr>
          <w:rFonts w:ascii="Calibri" w:hAnsi="Calibri" w:cs="Calibri"/>
          <w:sz w:val="22"/>
          <w:szCs w:val="22"/>
        </w:rPr>
        <w:t>,</w:t>
      </w:r>
      <w:r>
        <w:rPr>
          <w:rFonts w:ascii="Calibri" w:hAnsi="Calibri" w:cs="Calibri"/>
          <w:sz w:val="22"/>
          <w:szCs w:val="22"/>
        </w:rPr>
        <w:t>4</w:t>
      </w:r>
      <w:r w:rsidR="00237E0B" w:rsidRPr="00616069">
        <w:rPr>
          <w:rFonts w:ascii="Calibri" w:hAnsi="Calibri" w:cs="Calibri"/>
          <w:sz w:val="22"/>
          <w:szCs w:val="22"/>
        </w:rPr>
        <w:t xml:space="preserve"> %, což je</w:t>
      </w:r>
      <w:r w:rsidR="003A1E08">
        <w:rPr>
          <w:rFonts w:ascii="Calibri" w:hAnsi="Calibri" w:cs="Calibri"/>
          <w:sz w:val="22"/>
          <w:szCs w:val="22"/>
        </w:rPr>
        <w:t xml:space="preserve"> </w:t>
      </w:r>
      <w:r w:rsidR="00F06185">
        <w:rPr>
          <w:rFonts w:ascii="Calibri" w:hAnsi="Calibri" w:cs="Calibri"/>
          <w:sz w:val="22"/>
          <w:szCs w:val="22"/>
        </w:rPr>
        <w:t xml:space="preserve">hodnota </w:t>
      </w:r>
      <w:r w:rsidR="00D24E61">
        <w:rPr>
          <w:rFonts w:ascii="Calibri" w:hAnsi="Calibri" w:cs="Calibri"/>
          <w:sz w:val="22"/>
          <w:szCs w:val="22"/>
        </w:rPr>
        <w:t>mírně nad</w:t>
      </w:r>
      <w:r w:rsidR="00F06185">
        <w:rPr>
          <w:rFonts w:ascii="Calibri" w:hAnsi="Calibri" w:cs="Calibri"/>
          <w:sz w:val="22"/>
          <w:szCs w:val="22"/>
        </w:rPr>
        <w:t xml:space="preserve"> celoročním průměrem ve výši </w:t>
      </w:r>
      <w:r>
        <w:rPr>
          <w:rFonts w:ascii="Calibri" w:hAnsi="Calibri" w:cs="Calibri"/>
          <w:sz w:val="22"/>
          <w:szCs w:val="22"/>
        </w:rPr>
        <w:t>16</w:t>
      </w:r>
      <w:r w:rsidR="00F06185">
        <w:rPr>
          <w:rFonts w:ascii="Calibri" w:hAnsi="Calibri" w:cs="Calibri"/>
          <w:sz w:val="22"/>
          <w:szCs w:val="22"/>
        </w:rPr>
        <w:t xml:space="preserve"> %</w:t>
      </w:r>
      <w:r w:rsidR="00237E0B" w:rsidRPr="00616069">
        <w:rPr>
          <w:rFonts w:ascii="Calibri" w:hAnsi="Calibri" w:cs="Calibri"/>
          <w:sz w:val="22"/>
          <w:szCs w:val="22"/>
        </w:rPr>
        <w:t xml:space="preserve">. </w:t>
      </w:r>
      <w:r w:rsidR="00237E0B" w:rsidRPr="00616069">
        <w:rPr>
          <w:rFonts w:ascii="Calibri" w:hAnsi="Calibri" w:cs="Calibri"/>
          <w:b/>
          <w:bCs/>
          <w:sz w:val="22"/>
          <w:szCs w:val="22"/>
        </w:rPr>
        <w:t xml:space="preserve">Počet nově poskytnutých hypoték dosáhl </w:t>
      </w:r>
      <w:r w:rsidR="003E0FC6">
        <w:rPr>
          <w:rFonts w:ascii="Calibri" w:hAnsi="Calibri" w:cs="Calibri"/>
          <w:b/>
          <w:bCs/>
          <w:sz w:val="22"/>
          <w:szCs w:val="22"/>
        </w:rPr>
        <w:t>5</w:t>
      </w:r>
      <w:r w:rsidR="003F512D">
        <w:rPr>
          <w:rFonts w:ascii="Calibri" w:hAnsi="Calibri" w:cs="Calibri"/>
          <w:b/>
          <w:bCs/>
          <w:sz w:val="22"/>
          <w:szCs w:val="22"/>
        </w:rPr>
        <w:t xml:space="preserve"> </w:t>
      </w:r>
      <w:r>
        <w:rPr>
          <w:rFonts w:ascii="Calibri" w:hAnsi="Calibri" w:cs="Calibri"/>
          <w:b/>
          <w:bCs/>
          <w:sz w:val="22"/>
          <w:szCs w:val="22"/>
        </w:rPr>
        <w:t>2</w:t>
      </w:r>
      <w:r w:rsidR="00BE5DF3">
        <w:rPr>
          <w:rFonts w:ascii="Calibri" w:hAnsi="Calibri" w:cs="Calibri"/>
          <w:b/>
          <w:bCs/>
          <w:sz w:val="22"/>
          <w:szCs w:val="22"/>
        </w:rPr>
        <w:t>0</w:t>
      </w:r>
      <w:r>
        <w:rPr>
          <w:rFonts w:ascii="Calibri" w:hAnsi="Calibri" w:cs="Calibri"/>
          <w:b/>
          <w:bCs/>
          <w:sz w:val="22"/>
          <w:szCs w:val="22"/>
        </w:rPr>
        <w:t>4</w:t>
      </w:r>
      <w:r w:rsidR="003E0FC6">
        <w:rPr>
          <w:rFonts w:ascii="Calibri" w:hAnsi="Calibri" w:cs="Calibri"/>
          <w:b/>
          <w:bCs/>
          <w:sz w:val="22"/>
          <w:szCs w:val="22"/>
        </w:rPr>
        <w:t>,</w:t>
      </w:r>
      <w:r w:rsidR="00BE5DF3">
        <w:rPr>
          <w:rFonts w:ascii="Calibri" w:hAnsi="Calibri" w:cs="Calibri"/>
          <w:b/>
          <w:bCs/>
          <w:sz w:val="22"/>
          <w:szCs w:val="22"/>
        </w:rPr>
        <w:t xml:space="preserve"> což </w:t>
      </w:r>
      <w:r w:rsidR="0055785D">
        <w:rPr>
          <w:rFonts w:ascii="Calibri" w:hAnsi="Calibri" w:cs="Calibri"/>
          <w:b/>
          <w:bCs/>
          <w:sz w:val="22"/>
          <w:szCs w:val="22"/>
        </w:rPr>
        <w:t xml:space="preserve">představuje 8% meziměsíční pokles, nicméně hodnotu nad celoročním průměrem ve výši 4 774 hypoték měsíčně. </w:t>
      </w:r>
    </w:p>
    <w:bookmarkEnd w:id="1"/>
    <w:bookmarkEnd w:id="4"/>
    <w:bookmarkEnd w:id="7"/>
    <w:p w14:paraId="1E57F713" w14:textId="77777777" w:rsidR="00B233EC" w:rsidRDefault="00B233EC" w:rsidP="00A72C93">
      <w:pPr>
        <w:rPr>
          <w:rFonts w:ascii="Calibri" w:hAnsi="Calibri" w:cs="Calibri"/>
          <w:b/>
          <w:color w:val="13576B"/>
          <w:sz w:val="23"/>
          <w:szCs w:val="23"/>
        </w:rPr>
      </w:pPr>
    </w:p>
    <w:p w14:paraId="7AE0CCC0" w14:textId="577AD55B" w:rsidR="00A72C93" w:rsidRPr="00616069" w:rsidRDefault="0000363D" w:rsidP="00A72C93">
      <w:pPr>
        <w:rPr>
          <w:rFonts w:ascii="Calibri" w:hAnsi="Calibri" w:cs="Calibri"/>
          <w:b/>
          <w:color w:val="13576B"/>
          <w:sz w:val="23"/>
          <w:szCs w:val="23"/>
        </w:rPr>
      </w:pPr>
      <w:r w:rsidRPr="00616069">
        <w:rPr>
          <w:rFonts w:ascii="Calibri" w:hAnsi="Calibri" w:cs="Calibri"/>
          <w:b/>
          <w:color w:val="13576B"/>
          <w:sz w:val="23"/>
          <w:szCs w:val="23"/>
        </w:rPr>
        <w:t>Průměrná hypoteční sazba</w:t>
      </w:r>
      <w:r w:rsidR="001102C6" w:rsidRPr="00616069">
        <w:rPr>
          <w:rFonts w:ascii="Calibri" w:hAnsi="Calibri" w:cs="Calibri"/>
          <w:b/>
          <w:color w:val="13576B"/>
          <w:sz w:val="23"/>
          <w:szCs w:val="23"/>
        </w:rPr>
        <w:t xml:space="preserve"> </w:t>
      </w:r>
      <w:r w:rsidR="0055785D">
        <w:rPr>
          <w:rFonts w:ascii="Calibri" w:hAnsi="Calibri" w:cs="Calibri"/>
          <w:b/>
          <w:color w:val="13576B"/>
          <w:sz w:val="23"/>
          <w:szCs w:val="23"/>
        </w:rPr>
        <w:t xml:space="preserve">nepatrně vzrostla </w:t>
      </w:r>
    </w:p>
    <w:p w14:paraId="6602F780" w14:textId="7C25BFBF" w:rsidR="00836C3B" w:rsidRPr="00616069" w:rsidRDefault="0001227F" w:rsidP="007826E0">
      <w:pPr>
        <w:rPr>
          <w:rFonts w:ascii="Calibri" w:hAnsi="Calibri" w:cs="Calibri"/>
          <w:sz w:val="22"/>
          <w:szCs w:val="22"/>
        </w:rPr>
      </w:pPr>
      <w:bookmarkStart w:id="8" w:name="_Hlk119309111"/>
      <w:r w:rsidRPr="00616069">
        <w:rPr>
          <w:rFonts w:ascii="Calibri" w:hAnsi="Calibri" w:cs="Calibri"/>
          <w:b/>
          <w:bCs/>
          <w:sz w:val="22"/>
          <w:szCs w:val="22"/>
        </w:rPr>
        <w:t>Úroková sazba u </w:t>
      </w:r>
      <w:r w:rsidR="00BD532D" w:rsidRPr="00616069">
        <w:rPr>
          <w:rFonts w:ascii="Calibri" w:hAnsi="Calibri" w:cs="Calibri"/>
          <w:b/>
          <w:bCs/>
          <w:sz w:val="22"/>
          <w:szCs w:val="22"/>
        </w:rPr>
        <w:t xml:space="preserve">skutečně </w:t>
      </w:r>
      <w:r w:rsidRPr="00616069">
        <w:rPr>
          <w:rFonts w:ascii="Calibri" w:hAnsi="Calibri" w:cs="Calibri"/>
          <w:b/>
          <w:bCs/>
          <w:sz w:val="22"/>
          <w:szCs w:val="22"/>
        </w:rPr>
        <w:t>nově poskytnutých hypotečních úvěrů</w:t>
      </w:r>
      <w:r w:rsidR="006C3F79" w:rsidRPr="00616069">
        <w:rPr>
          <w:rFonts w:ascii="Calibri" w:hAnsi="Calibri" w:cs="Calibri"/>
          <w:b/>
          <w:bCs/>
          <w:sz w:val="22"/>
          <w:szCs w:val="22"/>
        </w:rPr>
        <w:t xml:space="preserve"> </w:t>
      </w:r>
      <w:r w:rsidR="00B06527">
        <w:rPr>
          <w:rFonts w:ascii="Calibri" w:hAnsi="Calibri" w:cs="Calibri"/>
          <w:b/>
          <w:bCs/>
          <w:sz w:val="22"/>
          <w:szCs w:val="22"/>
        </w:rPr>
        <w:t xml:space="preserve">kosmeticky </w:t>
      </w:r>
      <w:r w:rsidR="0055785D">
        <w:rPr>
          <w:rFonts w:ascii="Calibri" w:hAnsi="Calibri" w:cs="Calibri"/>
          <w:b/>
          <w:bCs/>
          <w:sz w:val="22"/>
          <w:szCs w:val="22"/>
        </w:rPr>
        <w:t xml:space="preserve">vzrostla z červnových </w:t>
      </w:r>
      <w:r w:rsidR="0044352D" w:rsidRPr="00616069">
        <w:rPr>
          <w:rFonts w:ascii="Calibri" w:hAnsi="Calibri" w:cs="Calibri"/>
          <w:b/>
          <w:bCs/>
          <w:sz w:val="22"/>
          <w:szCs w:val="22"/>
        </w:rPr>
        <w:t>5,</w:t>
      </w:r>
      <w:r w:rsidR="00B06527">
        <w:rPr>
          <w:rFonts w:ascii="Calibri" w:hAnsi="Calibri" w:cs="Calibri"/>
          <w:b/>
          <w:bCs/>
          <w:sz w:val="22"/>
          <w:szCs w:val="22"/>
        </w:rPr>
        <w:t>0</w:t>
      </w:r>
      <w:r w:rsidR="0055785D">
        <w:rPr>
          <w:rFonts w:ascii="Calibri" w:hAnsi="Calibri" w:cs="Calibri"/>
          <w:b/>
          <w:bCs/>
          <w:sz w:val="22"/>
          <w:szCs w:val="22"/>
        </w:rPr>
        <w:t>5</w:t>
      </w:r>
      <w:r w:rsidR="0044352D" w:rsidRPr="00616069">
        <w:rPr>
          <w:rFonts w:ascii="Calibri" w:hAnsi="Calibri" w:cs="Calibri"/>
          <w:b/>
          <w:bCs/>
          <w:sz w:val="22"/>
          <w:szCs w:val="22"/>
        </w:rPr>
        <w:t xml:space="preserve"> %</w:t>
      </w:r>
      <w:r w:rsidR="00AE76A8" w:rsidRPr="00616069">
        <w:rPr>
          <w:rFonts w:ascii="Calibri" w:hAnsi="Calibri" w:cs="Calibri"/>
          <w:b/>
          <w:bCs/>
          <w:sz w:val="22"/>
          <w:szCs w:val="22"/>
        </w:rPr>
        <w:t xml:space="preserve"> </w:t>
      </w:r>
      <w:r w:rsidR="002F0118" w:rsidRPr="00616069">
        <w:rPr>
          <w:rFonts w:ascii="Calibri" w:hAnsi="Calibri" w:cs="Calibri"/>
          <w:b/>
          <w:bCs/>
          <w:sz w:val="22"/>
          <w:szCs w:val="22"/>
        </w:rPr>
        <w:t>na 5,</w:t>
      </w:r>
      <w:r w:rsidR="0006711A">
        <w:rPr>
          <w:rFonts w:ascii="Calibri" w:hAnsi="Calibri" w:cs="Calibri"/>
          <w:b/>
          <w:bCs/>
          <w:sz w:val="22"/>
          <w:szCs w:val="22"/>
        </w:rPr>
        <w:t>0</w:t>
      </w:r>
      <w:r w:rsidR="0055785D">
        <w:rPr>
          <w:rFonts w:ascii="Calibri" w:hAnsi="Calibri" w:cs="Calibri"/>
          <w:b/>
          <w:bCs/>
          <w:sz w:val="22"/>
          <w:szCs w:val="22"/>
        </w:rPr>
        <w:t>7</w:t>
      </w:r>
      <w:r w:rsidR="002F0118" w:rsidRPr="00616069">
        <w:rPr>
          <w:rFonts w:ascii="Calibri" w:hAnsi="Calibri" w:cs="Calibri"/>
          <w:b/>
          <w:bCs/>
          <w:sz w:val="22"/>
          <w:szCs w:val="22"/>
        </w:rPr>
        <w:t> %</w:t>
      </w:r>
      <w:r w:rsidR="00237E0B" w:rsidRPr="00616069">
        <w:rPr>
          <w:rFonts w:ascii="Calibri" w:hAnsi="Calibri" w:cs="Calibri"/>
          <w:b/>
          <w:bCs/>
          <w:sz w:val="22"/>
          <w:szCs w:val="22"/>
        </w:rPr>
        <w:t>,</w:t>
      </w:r>
      <w:r w:rsidR="00A0021A">
        <w:rPr>
          <w:rFonts w:ascii="Calibri" w:hAnsi="Calibri" w:cs="Calibri"/>
          <w:b/>
          <w:bCs/>
          <w:sz w:val="22"/>
          <w:szCs w:val="22"/>
        </w:rPr>
        <w:t xml:space="preserve"> </w:t>
      </w:r>
      <w:r w:rsidR="0055785D">
        <w:rPr>
          <w:rFonts w:ascii="Calibri" w:hAnsi="Calibri" w:cs="Calibri"/>
          <w:b/>
          <w:bCs/>
          <w:sz w:val="22"/>
          <w:szCs w:val="22"/>
        </w:rPr>
        <w:t>což představuje první nepatrný růst průměrné sazby od května minulého roku.</w:t>
      </w:r>
      <w:r w:rsidR="00734568">
        <w:rPr>
          <w:rFonts w:ascii="Calibri" w:hAnsi="Calibri" w:cs="Calibri"/>
          <w:sz w:val="22"/>
          <w:szCs w:val="22"/>
        </w:rPr>
        <w:t xml:space="preserve"> </w:t>
      </w:r>
      <w:bookmarkEnd w:id="8"/>
      <w:r w:rsidR="001F2A1F" w:rsidRPr="0055785D">
        <w:rPr>
          <w:rFonts w:ascii="Calibri" w:hAnsi="Calibri" w:cs="Calibri"/>
          <w:sz w:val="22"/>
          <w:szCs w:val="22"/>
        </w:rPr>
        <w:t xml:space="preserve">Realizované úrokové </w:t>
      </w:r>
      <w:r w:rsidR="007768F5" w:rsidRPr="0055785D">
        <w:rPr>
          <w:rFonts w:ascii="Calibri" w:hAnsi="Calibri" w:cs="Calibri"/>
          <w:sz w:val="22"/>
          <w:szCs w:val="22"/>
        </w:rPr>
        <w:t xml:space="preserve">sazby </w:t>
      </w:r>
      <w:r w:rsidR="001F2A1F" w:rsidRPr="0055785D">
        <w:rPr>
          <w:rFonts w:ascii="Calibri" w:hAnsi="Calibri" w:cs="Calibri"/>
          <w:sz w:val="22"/>
          <w:szCs w:val="22"/>
        </w:rPr>
        <w:t>na rozdíl od cen nabídkových reflektují skutečnou reálnou úrokovou sazbu u podepsaných hypotečních smluv</w:t>
      </w:r>
      <w:r w:rsidR="00971EE1" w:rsidRPr="0055785D">
        <w:rPr>
          <w:rFonts w:ascii="Calibri" w:hAnsi="Calibri" w:cs="Calibri"/>
          <w:sz w:val="22"/>
          <w:szCs w:val="22"/>
        </w:rPr>
        <w:t>.</w:t>
      </w:r>
      <w:r w:rsidR="005063FD" w:rsidRPr="00616069">
        <w:rPr>
          <w:rFonts w:ascii="Calibri" w:hAnsi="Calibri" w:cs="Calibri"/>
          <w:sz w:val="22"/>
          <w:szCs w:val="22"/>
        </w:rPr>
        <w:t xml:space="preserve"> </w:t>
      </w:r>
    </w:p>
    <w:p w14:paraId="270B6825" w14:textId="0A6CAED4" w:rsidR="00251393" w:rsidRPr="00616069" w:rsidRDefault="00251393" w:rsidP="007826E0">
      <w:pPr>
        <w:rPr>
          <w:rFonts w:ascii="Calibri" w:hAnsi="Calibri" w:cs="Calibri"/>
          <w:sz w:val="22"/>
          <w:szCs w:val="22"/>
        </w:rPr>
      </w:pPr>
    </w:p>
    <w:p w14:paraId="6492840A" w14:textId="5F0DCEAC" w:rsidR="005874B8" w:rsidRPr="00616069" w:rsidRDefault="005874B8" w:rsidP="005874B8">
      <w:pPr>
        <w:spacing w:after="120"/>
        <w:rPr>
          <w:rFonts w:ascii="Calibri" w:hAnsi="Calibri" w:cs="Calibri"/>
          <w:sz w:val="22"/>
          <w:szCs w:val="22"/>
        </w:rPr>
      </w:pPr>
      <w:r w:rsidRPr="00616069">
        <w:rPr>
          <w:rFonts w:ascii="Calibri" w:hAnsi="Calibri" w:cs="Calibri"/>
          <w:b/>
          <w:color w:val="13576B"/>
          <w:sz w:val="23"/>
          <w:szCs w:val="23"/>
        </w:rPr>
        <w:t>Graf č. 1: Průměrná hypoteční sazba – nové obchody</w:t>
      </w:r>
    </w:p>
    <w:p w14:paraId="63E0611A" w14:textId="09285A49" w:rsidR="005874B8" w:rsidRPr="00616069" w:rsidRDefault="00490505" w:rsidP="005874B8">
      <w:pPr>
        <w:rPr>
          <w:rFonts w:ascii="Calibri" w:hAnsi="Calibri" w:cs="Calibri"/>
          <w:sz w:val="22"/>
          <w:szCs w:val="22"/>
        </w:rPr>
      </w:pPr>
      <w:r w:rsidRPr="00490505">
        <w:rPr>
          <w:rFonts w:ascii="Calibri" w:hAnsi="Calibri" w:cs="Calibri"/>
          <w:noProof/>
          <w:sz w:val="22"/>
          <w:szCs w:val="22"/>
        </w:rPr>
        <w:drawing>
          <wp:inline distT="0" distB="0" distL="0" distR="0" wp14:anchorId="6C1C56AB" wp14:editId="3940438A">
            <wp:extent cx="4320000" cy="2668448"/>
            <wp:effectExtent l="0" t="0" r="4445" b="0"/>
            <wp:docPr id="601751252" name="Picture 1" descr="A graph of a number of dat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51252" name="Picture 1" descr="A graph of a number of data&#10;&#10;Description automatically generated"/>
                    <pic:cNvPicPr/>
                  </pic:nvPicPr>
                  <pic:blipFill>
                    <a:blip r:embed="rId8"/>
                    <a:stretch>
                      <a:fillRect/>
                    </a:stretch>
                  </pic:blipFill>
                  <pic:spPr>
                    <a:xfrm>
                      <a:off x="0" y="0"/>
                      <a:ext cx="4320000" cy="2668448"/>
                    </a:xfrm>
                    <a:prstGeom prst="rect">
                      <a:avLst/>
                    </a:prstGeom>
                  </pic:spPr>
                </pic:pic>
              </a:graphicData>
            </a:graphic>
          </wp:inline>
        </w:drawing>
      </w:r>
    </w:p>
    <w:p w14:paraId="31FA0ABF" w14:textId="5D5C3360" w:rsidR="005874B8" w:rsidRPr="00616069" w:rsidRDefault="005874B8" w:rsidP="005874B8">
      <w:pPr>
        <w:rPr>
          <w:rFonts w:ascii="Calibri" w:hAnsi="Calibri" w:cs="Calibri"/>
          <w:sz w:val="22"/>
          <w:szCs w:val="22"/>
        </w:rPr>
      </w:pPr>
    </w:p>
    <w:p w14:paraId="649D0E1D" w14:textId="5BFBC73F" w:rsidR="00AC7487" w:rsidRDefault="00AC7487" w:rsidP="00AB48D1">
      <w:pPr>
        <w:rPr>
          <w:rFonts w:ascii="Calibri" w:hAnsi="Calibri" w:cs="Calibri"/>
          <w:b/>
          <w:bCs/>
          <w:sz w:val="22"/>
          <w:szCs w:val="22"/>
        </w:rPr>
      </w:pPr>
      <w:bookmarkStart w:id="9" w:name="_Hlk137652102"/>
      <w:r w:rsidRPr="00100394">
        <w:rPr>
          <w:rFonts w:ascii="Calibri" w:hAnsi="Calibri" w:cs="Calibri"/>
          <w:b/>
          <w:bCs/>
          <w:sz w:val="22"/>
          <w:szCs w:val="22"/>
        </w:rPr>
        <w:t>Hypoteční sazby reagují s</w:t>
      </w:r>
      <w:r w:rsidR="00EF1944" w:rsidRPr="00100394">
        <w:rPr>
          <w:rFonts w:ascii="Calibri" w:hAnsi="Calibri" w:cs="Calibri"/>
          <w:b/>
          <w:bCs/>
          <w:sz w:val="22"/>
          <w:szCs w:val="22"/>
        </w:rPr>
        <w:t xml:space="preserve"> několikaměsíčním </w:t>
      </w:r>
      <w:r w:rsidRPr="00100394">
        <w:rPr>
          <w:rFonts w:ascii="Calibri" w:hAnsi="Calibri" w:cs="Calibri"/>
          <w:b/>
          <w:bCs/>
          <w:sz w:val="22"/>
          <w:szCs w:val="22"/>
        </w:rPr>
        <w:t>zpožděním především na vývoj tržních úrokových sazeb delších splatností.</w:t>
      </w:r>
      <w:r w:rsidRPr="00616069">
        <w:rPr>
          <w:rFonts w:ascii="Calibri" w:hAnsi="Calibri" w:cs="Calibri"/>
          <w:sz w:val="22"/>
          <w:szCs w:val="22"/>
        </w:rPr>
        <w:t xml:space="preserve"> Promítá se do nich řada faktorů </w:t>
      </w:r>
      <w:r w:rsidRPr="00616069">
        <w:rPr>
          <w:rFonts w:ascii="Calibri" w:hAnsi="Calibri" w:cs="Calibri"/>
        </w:rPr>
        <w:t>–</w:t>
      </w:r>
      <w:r w:rsidRPr="00616069">
        <w:rPr>
          <w:rFonts w:ascii="Calibri" w:hAnsi="Calibri" w:cs="Calibri"/>
          <w:sz w:val="22"/>
          <w:szCs w:val="22"/>
        </w:rPr>
        <w:t xml:space="preserve"> nejen očekáváný vývoj základních sazeb ČNB, ale i výhled na inflaci, ekonomický vývoj či dynamika obdobných úrokových sazeb v zahraničí. </w:t>
      </w:r>
      <w:bookmarkStart w:id="10" w:name="_Hlk119309144"/>
      <w:r w:rsidRPr="00616069">
        <w:rPr>
          <w:rFonts w:ascii="Calibri" w:hAnsi="Calibri" w:cs="Calibri"/>
          <w:sz w:val="22"/>
          <w:szCs w:val="22"/>
        </w:rPr>
        <w:t>Zmíněné tržní úrokové sazby delších splatností</w:t>
      </w:r>
      <w:r w:rsidRPr="00616069">
        <w:rPr>
          <w:rStyle w:val="Znakapoznpodarou"/>
          <w:rFonts w:ascii="Calibri" w:hAnsi="Calibri" w:cs="Calibri"/>
          <w:i/>
          <w:iCs/>
          <w:sz w:val="22"/>
          <w:szCs w:val="22"/>
        </w:rPr>
        <w:footnoteReference w:id="2"/>
      </w:r>
      <w:r w:rsidRPr="00616069">
        <w:rPr>
          <w:rFonts w:ascii="Calibri" w:hAnsi="Calibri" w:cs="Calibri"/>
          <w:sz w:val="22"/>
          <w:szCs w:val="22"/>
        </w:rPr>
        <w:t xml:space="preserve"> </w:t>
      </w:r>
      <w:r w:rsidR="0055785D">
        <w:rPr>
          <w:rFonts w:ascii="Calibri" w:hAnsi="Calibri" w:cs="Calibri"/>
          <w:sz w:val="22"/>
          <w:szCs w:val="22"/>
        </w:rPr>
        <w:t xml:space="preserve">po postupném rozkolísaném klesání začaly od března </w:t>
      </w:r>
      <w:r w:rsidR="005417AF">
        <w:rPr>
          <w:rFonts w:ascii="Calibri" w:hAnsi="Calibri" w:cs="Calibri"/>
          <w:sz w:val="22"/>
          <w:szCs w:val="22"/>
        </w:rPr>
        <w:t xml:space="preserve">letošního roku </w:t>
      </w:r>
      <w:r w:rsidR="0055785D">
        <w:rPr>
          <w:rFonts w:ascii="Calibri" w:hAnsi="Calibri" w:cs="Calibri"/>
          <w:sz w:val="22"/>
          <w:szCs w:val="22"/>
        </w:rPr>
        <w:t xml:space="preserve">opět růst. Tento vývoj se však v průběhu června otočil a zintenzivnil v posledních týdnech, kdy trhy začaly opětovně sázet na rychlejší pokles sazeb </w:t>
      </w:r>
      <w:proofErr w:type="spellStart"/>
      <w:r w:rsidR="0055785D">
        <w:rPr>
          <w:rFonts w:ascii="Calibri" w:hAnsi="Calibri" w:cs="Calibri"/>
          <w:sz w:val="22"/>
          <w:szCs w:val="22"/>
        </w:rPr>
        <w:t>Fedu</w:t>
      </w:r>
      <w:proofErr w:type="spellEnd"/>
      <w:r w:rsidR="0055785D">
        <w:rPr>
          <w:rFonts w:ascii="Calibri" w:hAnsi="Calibri" w:cs="Calibri"/>
          <w:sz w:val="22"/>
          <w:szCs w:val="22"/>
        </w:rPr>
        <w:t xml:space="preserve">. Tuzemské sazby delších splatností se tak nyní pohybují na nejnižších úrovních v letošním roce </w:t>
      </w:r>
      <w:r w:rsidR="00C0702F">
        <w:rPr>
          <w:rFonts w:ascii="Calibri" w:hAnsi="Calibri" w:cs="Calibri"/>
          <w:sz w:val="22"/>
          <w:szCs w:val="22"/>
        </w:rPr>
        <w:t>a zároveň na nejnižších úrovních od přelomu let 2021 a 2022</w:t>
      </w:r>
      <w:r w:rsidR="00F343CC" w:rsidRPr="00100394">
        <w:rPr>
          <w:rFonts w:ascii="Calibri" w:hAnsi="Calibri" w:cs="Calibri"/>
          <w:b/>
          <w:bCs/>
          <w:sz w:val="22"/>
          <w:szCs w:val="22"/>
        </w:rPr>
        <w:t>.</w:t>
      </w:r>
      <w:r w:rsidR="002010C8">
        <w:rPr>
          <w:rFonts w:ascii="Calibri" w:hAnsi="Calibri" w:cs="Calibri"/>
          <w:sz w:val="22"/>
          <w:szCs w:val="22"/>
        </w:rPr>
        <w:t xml:space="preserve"> </w:t>
      </w:r>
      <w:r w:rsidR="00A0021A" w:rsidRPr="002010C8">
        <w:rPr>
          <w:rFonts w:ascii="Calibri" w:hAnsi="Calibri" w:cs="Calibri"/>
          <w:b/>
          <w:bCs/>
          <w:sz w:val="22"/>
          <w:szCs w:val="22"/>
        </w:rPr>
        <w:t>Ve srovnání s minulým měsícem jsou</w:t>
      </w:r>
      <w:r w:rsidR="00505434" w:rsidRPr="002010C8">
        <w:rPr>
          <w:rFonts w:ascii="Calibri" w:hAnsi="Calibri" w:cs="Calibri"/>
          <w:b/>
          <w:bCs/>
          <w:sz w:val="22"/>
          <w:szCs w:val="22"/>
        </w:rPr>
        <w:t xml:space="preserve"> zhruba </w:t>
      </w:r>
      <w:r w:rsidR="002010C8" w:rsidRPr="002010C8">
        <w:rPr>
          <w:rFonts w:ascii="Calibri" w:hAnsi="Calibri" w:cs="Calibri"/>
          <w:b/>
          <w:bCs/>
          <w:sz w:val="22"/>
          <w:szCs w:val="22"/>
        </w:rPr>
        <w:t xml:space="preserve">o </w:t>
      </w:r>
      <w:proofErr w:type="gramStart"/>
      <w:r w:rsidR="002010C8" w:rsidRPr="002010C8">
        <w:rPr>
          <w:rFonts w:ascii="Calibri" w:hAnsi="Calibri" w:cs="Calibri"/>
          <w:b/>
          <w:bCs/>
          <w:sz w:val="22"/>
          <w:szCs w:val="22"/>
        </w:rPr>
        <w:t>0,</w:t>
      </w:r>
      <w:r w:rsidR="00C0702F">
        <w:rPr>
          <w:rFonts w:ascii="Calibri" w:hAnsi="Calibri" w:cs="Calibri"/>
          <w:b/>
          <w:bCs/>
          <w:sz w:val="22"/>
          <w:szCs w:val="22"/>
        </w:rPr>
        <w:t>2</w:t>
      </w:r>
      <w:r w:rsidR="00D15D74">
        <w:rPr>
          <w:rFonts w:ascii="Calibri" w:hAnsi="Calibri" w:cs="Calibri"/>
          <w:b/>
          <w:bCs/>
          <w:sz w:val="22"/>
          <w:szCs w:val="22"/>
        </w:rPr>
        <w:t>5</w:t>
      </w:r>
      <w:r w:rsidR="002010C8" w:rsidRPr="002010C8">
        <w:rPr>
          <w:rFonts w:ascii="Calibri" w:hAnsi="Calibri" w:cs="Calibri"/>
          <w:b/>
          <w:bCs/>
          <w:sz w:val="22"/>
          <w:szCs w:val="22"/>
        </w:rPr>
        <w:t xml:space="preserve"> procentního</w:t>
      </w:r>
      <w:proofErr w:type="gramEnd"/>
      <w:r w:rsidR="002010C8" w:rsidRPr="002010C8">
        <w:rPr>
          <w:rFonts w:ascii="Calibri" w:hAnsi="Calibri" w:cs="Calibri"/>
          <w:b/>
          <w:bCs/>
          <w:sz w:val="22"/>
          <w:szCs w:val="22"/>
        </w:rPr>
        <w:t xml:space="preserve"> bodu </w:t>
      </w:r>
      <w:r w:rsidR="00C0702F">
        <w:rPr>
          <w:rFonts w:ascii="Calibri" w:hAnsi="Calibri" w:cs="Calibri"/>
          <w:b/>
          <w:bCs/>
          <w:sz w:val="22"/>
          <w:szCs w:val="22"/>
        </w:rPr>
        <w:t xml:space="preserve">nižší </w:t>
      </w:r>
      <w:r w:rsidR="002010C8" w:rsidRPr="002010C8">
        <w:rPr>
          <w:rFonts w:ascii="Calibri" w:hAnsi="Calibri" w:cs="Calibri"/>
          <w:b/>
          <w:bCs/>
          <w:sz w:val="22"/>
          <w:szCs w:val="22"/>
        </w:rPr>
        <w:t xml:space="preserve">a </w:t>
      </w:r>
      <w:bookmarkEnd w:id="10"/>
      <w:r w:rsidR="005417AF">
        <w:rPr>
          <w:rFonts w:ascii="Calibri" w:hAnsi="Calibri" w:cs="Calibri"/>
          <w:b/>
          <w:bCs/>
          <w:sz w:val="22"/>
          <w:szCs w:val="22"/>
        </w:rPr>
        <w:t>pod průměrem letošního roku.</w:t>
      </w:r>
    </w:p>
    <w:p w14:paraId="5578E9B0" w14:textId="5AB62CD1" w:rsidR="00F61FFC" w:rsidRPr="00616069" w:rsidRDefault="00942AD5" w:rsidP="00AB48D1">
      <w:pPr>
        <w:rPr>
          <w:rFonts w:ascii="Calibri" w:hAnsi="Calibri" w:cs="Calibri"/>
          <w:sz w:val="22"/>
          <w:szCs w:val="22"/>
        </w:rPr>
      </w:pPr>
      <w:r w:rsidRPr="00616069">
        <w:rPr>
          <w:rFonts w:ascii="Calibri" w:hAnsi="Calibri" w:cs="Calibri"/>
          <w:noProof/>
          <w:sz w:val="22"/>
          <w:szCs w:val="22"/>
        </w:rPr>
        <w:lastRenderedPageBreak/>
        <mc:AlternateContent>
          <mc:Choice Requires="wps">
            <w:drawing>
              <wp:anchor distT="0" distB="0" distL="114300" distR="114300" simplePos="0" relativeHeight="251680768" behindDoc="0" locked="0" layoutInCell="1" allowOverlap="1" wp14:anchorId="1B818DC6" wp14:editId="0A0D223B">
                <wp:simplePos x="0" y="0"/>
                <wp:positionH relativeFrom="margin">
                  <wp:posOffset>635</wp:posOffset>
                </wp:positionH>
                <wp:positionV relativeFrom="paragraph">
                  <wp:posOffset>165735</wp:posOffset>
                </wp:positionV>
                <wp:extent cx="6519545" cy="777240"/>
                <wp:effectExtent l="0" t="0" r="14605" b="22860"/>
                <wp:wrapTopAndBottom/>
                <wp:docPr id="709082043" name="Rectangle 1"/>
                <wp:cNvGraphicFramePr/>
                <a:graphic xmlns:a="http://schemas.openxmlformats.org/drawingml/2006/main">
                  <a:graphicData uri="http://schemas.microsoft.com/office/word/2010/wordprocessingShape">
                    <wps:wsp>
                      <wps:cNvSpPr/>
                      <wps:spPr>
                        <a:xfrm>
                          <a:off x="0" y="0"/>
                          <a:ext cx="6519545" cy="77724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D9E82B" w14:textId="60A65DBB" w:rsidR="00942AD5" w:rsidRPr="00100394" w:rsidRDefault="00942AD5" w:rsidP="00942AD5">
                            <w:pPr>
                              <w:rPr>
                                <w:b/>
                                <w:bCs/>
                              </w:rPr>
                            </w:pPr>
                            <w:bookmarkStart w:id="11" w:name="_Hlk169018185"/>
                            <w:bookmarkStart w:id="12" w:name="_Hlk169018186"/>
                            <w:r w:rsidRPr="001F1677">
                              <w:rPr>
                                <w:rFonts w:ascii="Calibri" w:eastAsia="Calibri" w:hAnsi="Calibri" w:cs="Calibri"/>
                                <w:i/>
                                <w:iCs/>
                                <w:sz w:val="22"/>
                                <w:szCs w:val="22"/>
                              </w:rPr>
                              <w:t>„</w:t>
                            </w:r>
                            <w:bookmarkEnd w:id="11"/>
                            <w:bookmarkEnd w:id="12"/>
                            <w:r w:rsidR="005417AF">
                              <w:rPr>
                                <w:rFonts w:ascii="Calibri" w:eastAsia="Calibri" w:hAnsi="Calibri" w:cs="Calibri"/>
                                <w:i/>
                                <w:iCs/>
                                <w:sz w:val="22"/>
                                <w:szCs w:val="22"/>
                              </w:rPr>
                              <w:t xml:space="preserve">Vývoj tržních sazeb delších splatností v posledních týdnech opět otevírá prostor pro snižování hypotečních sazeb, které se v posledních </w:t>
                            </w:r>
                            <w:r w:rsidR="004852E3">
                              <w:rPr>
                                <w:rFonts w:ascii="Calibri" w:eastAsia="Calibri" w:hAnsi="Calibri" w:cs="Calibri"/>
                                <w:i/>
                                <w:iCs/>
                                <w:sz w:val="22"/>
                                <w:szCs w:val="22"/>
                              </w:rPr>
                              <w:t>měsících</w:t>
                            </w:r>
                            <w:r w:rsidR="005417AF">
                              <w:rPr>
                                <w:rFonts w:ascii="Calibri" w:eastAsia="Calibri" w:hAnsi="Calibri" w:cs="Calibri"/>
                                <w:i/>
                                <w:iCs/>
                                <w:sz w:val="22"/>
                                <w:szCs w:val="22"/>
                              </w:rPr>
                              <w:t xml:space="preserve"> zastavilo. Sázky trhu na rychlejší pokles sazeb </w:t>
                            </w:r>
                            <w:proofErr w:type="spellStart"/>
                            <w:r w:rsidR="005417AF">
                              <w:rPr>
                                <w:rFonts w:ascii="Calibri" w:eastAsia="Calibri" w:hAnsi="Calibri" w:cs="Calibri"/>
                                <w:i/>
                                <w:iCs/>
                                <w:sz w:val="22"/>
                                <w:szCs w:val="22"/>
                              </w:rPr>
                              <w:t>Fedu</w:t>
                            </w:r>
                            <w:proofErr w:type="spellEnd"/>
                            <w:r w:rsidR="005417AF">
                              <w:rPr>
                                <w:rFonts w:ascii="Calibri" w:eastAsia="Calibri" w:hAnsi="Calibri" w:cs="Calibri"/>
                                <w:i/>
                                <w:iCs/>
                                <w:sz w:val="22"/>
                                <w:szCs w:val="22"/>
                              </w:rPr>
                              <w:t xml:space="preserve"> vedl i</w:t>
                            </w:r>
                            <w:r w:rsidR="00250C73">
                              <w:rPr>
                                <w:rFonts w:ascii="Calibri" w:eastAsia="Calibri" w:hAnsi="Calibri" w:cs="Calibri"/>
                                <w:i/>
                                <w:iCs/>
                                <w:sz w:val="22"/>
                                <w:szCs w:val="22"/>
                              </w:rPr>
                              <w:t xml:space="preserve"> k</w:t>
                            </w:r>
                            <w:r w:rsidR="005417AF">
                              <w:rPr>
                                <w:rFonts w:ascii="Calibri" w:eastAsia="Calibri" w:hAnsi="Calibri" w:cs="Calibri"/>
                                <w:i/>
                                <w:iCs/>
                                <w:sz w:val="22"/>
                                <w:szCs w:val="22"/>
                              </w:rPr>
                              <w:t xml:space="preserve"> výraznějšímu snížení </w:t>
                            </w:r>
                            <w:r w:rsidR="004852E3">
                              <w:rPr>
                                <w:rFonts w:ascii="Calibri" w:eastAsia="Calibri" w:hAnsi="Calibri" w:cs="Calibri"/>
                                <w:i/>
                                <w:iCs/>
                                <w:sz w:val="22"/>
                                <w:szCs w:val="22"/>
                              </w:rPr>
                              <w:t>tuzemských</w:t>
                            </w:r>
                            <w:r w:rsidR="005417AF">
                              <w:rPr>
                                <w:rFonts w:ascii="Calibri" w:eastAsia="Calibri" w:hAnsi="Calibri" w:cs="Calibri"/>
                                <w:i/>
                                <w:iCs/>
                                <w:sz w:val="22"/>
                                <w:szCs w:val="22"/>
                              </w:rPr>
                              <w:t xml:space="preserve"> tržních sazeb, kter</w:t>
                            </w:r>
                            <w:r w:rsidR="004852E3">
                              <w:rPr>
                                <w:rFonts w:ascii="Calibri" w:eastAsia="Calibri" w:hAnsi="Calibri" w:cs="Calibri"/>
                                <w:i/>
                                <w:iCs/>
                                <w:sz w:val="22"/>
                                <w:szCs w:val="22"/>
                              </w:rPr>
                              <w:t>é</w:t>
                            </w:r>
                            <w:r w:rsidR="005417AF">
                              <w:rPr>
                                <w:rFonts w:ascii="Calibri" w:eastAsia="Calibri" w:hAnsi="Calibri" w:cs="Calibri"/>
                                <w:i/>
                                <w:iCs/>
                                <w:sz w:val="22"/>
                                <w:szCs w:val="22"/>
                              </w:rPr>
                              <w:t xml:space="preserve"> tak nyní </w:t>
                            </w:r>
                            <w:r w:rsidR="004852E3">
                              <w:rPr>
                                <w:rFonts w:ascii="Calibri" w:eastAsia="Calibri" w:hAnsi="Calibri" w:cs="Calibri"/>
                                <w:i/>
                                <w:iCs/>
                                <w:sz w:val="22"/>
                                <w:szCs w:val="22"/>
                              </w:rPr>
                              <w:t>patří</w:t>
                            </w:r>
                            <w:r w:rsidR="005417AF">
                              <w:rPr>
                                <w:rFonts w:ascii="Calibri" w:eastAsia="Calibri" w:hAnsi="Calibri" w:cs="Calibri"/>
                                <w:i/>
                                <w:iCs/>
                                <w:sz w:val="22"/>
                                <w:szCs w:val="22"/>
                              </w:rPr>
                              <w:t xml:space="preserve"> mezi </w:t>
                            </w:r>
                            <w:r w:rsidR="004852E3">
                              <w:rPr>
                                <w:rFonts w:ascii="Calibri" w:eastAsia="Calibri" w:hAnsi="Calibri" w:cs="Calibri"/>
                                <w:i/>
                                <w:iCs/>
                                <w:sz w:val="22"/>
                                <w:szCs w:val="22"/>
                              </w:rPr>
                              <w:t>nejnižší</w:t>
                            </w:r>
                            <w:r w:rsidR="005417AF">
                              <w:rPr>
                                <w:rFonts w:ascii="Calibri" w:eastAsia="Calibri" w:hAnsi="Calibri" w:cs="Calibri"/>
                                <w:i/>
                                <w:iCs/>
                                <w:sz w:val="22"/>
                                <w:szCs w:val="22"/>
                              </w:rPr>
                              <w:t xml:space="preserve"> </w:t>
                            </w:r>
                            <w:r w:rsidR="00250C73">
                              <w:rPr>
                                <w:rFonts w:ascii="Calibri" w:eastAsia="Calibri" w:hAnsi="Calibri" w:cs="Calibri"/>
                                <w:i/>
                                <w:iCs/>
                                <w:sz w:val="22"/>
                                <w:szCs w:val="22"/>
                              </w:rPr>
                              <w:t xml:space="preserve">v </w:t>
                            </w:r>
                            <w:r w:rsidR="005417AF">
                              <w:rPr>
                                <w:rFonts w:ascii="Calibri" w:eastAsia="Calibri" w:hAnsi="Calibri" w:cs="Calibri"/>
                                <w:i/>
                                <w:iCs/>
                                <w:sz w:val="22"/>
                                <w:szCs w:val="22"/>
                              </w:rPr>
                              <w:t>letošním roce a</w:t>
                            </w:r>
                            <w:r w:rsidR="00B233EC">
                              <w:rPr>
                                <w:rFonts w:ascii="Calibri" w:eastAsia="Calibri" w:hAnsi="Calibri" w:cs="Calibri"/>
                                <w:i/>
                                <w:iCs/>
                                <w:sz w:val="22"/>
                                <w:szCs w:val="22"/>
                              </w:rPr>
                              <w:t xml:space="preserve"> zároveň </w:t>
                            </w:r>
                            <w:r w:rsidR="005417AF">
                              <w:rPr>
                                <w:rFonts w:ascii="Calibri" w:eastAsia="Calibri" w:hAnsi="Calibri" w:cs="Calibri"/>
                                <w:i/>
                                <w:iCs/>
                                <w:sz w:val="22"/>
                                <w:szCs w:val="22"/>
                              </w:rPr>
                              <w:t>na nejnižších úrovních od přelomu roku 2021 a 2022</w:t>
                            </w:r>
                            <w:r w:rsidRPr="005F105B">
                              <w:rPr>
                                <w:rFonts w:ascii="Calibri" w:eastAsia="Calibri" w:hAnsi="Calibri" w:cs="Calibri"/>
                                <w:i/>
                                <w:iCs/>
                                <w:sz w:val="22"/>
                                <w:szCs w:val="22"/>
                              </w:rPr>
                              <w:t xml:space="preserve">,“ </w:t>
                            </w:r>
                            <w:r w:rsidRPr="00100394">
                              <w:rPr>
                                <w:rFonts w:ascii="Calibri" w:eastAsia="Calibri" w:hAnsi="Calibri" w:cs="Calibri"/>
                                <w:b/>
                                <w:bCs/>
                                <w:sz w:val="22"/>
                                <w:szCs w:val="22"/>
                              </w:rPr>
                              <w:t>říká Jakub Seidler, hlavní ekonom České bankovní asociace.</w:t>
                            </w:r>
                          </w:p>
                          <w:p w14:paraId="52041135" w14:textId="28AC70FF" w:rsidR="00942AD5" w:rsidRPr="00616069" w:rsidRDefault="00942AD5" w:rsidP="00942AD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818DC6" id="_x0000_s1028" style="position:absolute;left:0;text-align:left;margin-left:.05pt;margin-top:13.05pt;width:513.35pt;height:61.2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xCeQIAAEcFAAAOAAAAZHJzL2Uyb0RvYy54bWysVE1v2zAMvQ/YfxB0Xx1nSbMGdYqgRYcB&#10;RRu0HXpWZKkxJouaxMTOfv0o2XGCrthh2MUWRfLx61GXV21t2E75UIEteH424kxZCWVlXwv+/fn2&#10;0xfOAgpbCgNWFXyvAr9afPxw2bi5GsMGTKk8IxAb5o0r+AbRzbMsyI2qRTgDpywpNfhaIIn+NSu9&#10;aAi9Ntl4NDrPGvCl8yBVCHR70yn5IuFrrSQ+aB0UMlNwyg3T16fvOn6zxaWYv3rhNpXs0xD/kEUt&#10;KktBB6gbgYJtffUHVF1JDwE0nkmoM9C6kirVQNXkozfVPG2EU6kWak5wQ5vC/4OV97snt/LUhsaF&#10;eaBjrKLVvo5/yo+1qVn7oVmqRSbp8nyaX0wnU84k6Waz2XiSupkdvZ0P+FVBzeKh4J6GkXokdncB&#10;KSKZHkxiMGNZQ7Cfp6NkFcBU5W1lTNQlPqhr49lO0CSxzePkCODEiiRj6fJYSDrh3qgO/lFpVpWU&#10;+rgLEDl2xBRSKovnPa6xZB3dNGUwOObvORo8JNPbRjeVuDc49iX9LeLgkaKCxcG5riz49yKXP4bI&#10;nf2h+q7mWD6265aKjjX3M15DuV955qHbheDkbUXzuRMBV8IT+WlNaKHxgT7aAI0E+hNnG/C/3ruP&#10;9sRJ0nLW0DIVPPzcCq84M98ssfUinxA7GCZhMp2NSfCnmvWpxm7ra6Ap5/R0OJmO0R7N4ag91C+0&#10;98sYlVTCSopdcIn+IFxjt+T0cki1XCYz2jgn8M4+ORnBY58j/57bF+FdT1Iket/DYfHE/A1XO9vo&#10;aWG5RdBVInLsdNfXfgK0rYme/csSn4NTOVkd37/FbwAAAP//AwBQSwMEFAAGAAgAAAAhAHWlXp3e&#10;AAAACAEAAA8AAABkcnMvZG93bnJldi54bWxMj0FrwkAQhe+F/odlCr3VjWkbJM1GgiBeWlCreF2z&#10;Y5KanQ3ZVdN/7+TUnmYeb3jzvWw+2FZcsfeNIwXTSQQCqXSmoUrB7nv5MgPhgyajW0eo4Bc9zPPH&#10;h0ynxt1og9dtqASHkE+1gjqELpXSlzVa7SeuQ2Lv5HqrA8u+kqbXNw63rYyjKJFWN8Qfat3hosby&#10;vL1YBcXPafO5e/3qmmp1Ppj9am2nSaHU89NQfIAIOIS/YxjxGR1yZjq6Cxkv2lGLoCBOeI5uFCfc&#10;5Mjb2+wdZJ7J/wXyOwAAAP//AwBQSwECLQAUAAYACAAAACEAtoM4kv4AAADhAQAAEwAAAAAAAAAA&#10;AAAAAAAAAAAAW0NvbnRlbnRfVHlwZXNdLnhtbFBLAQItABQABgAIAAAAIQA4/SH/1gAAAJQBAAAL&#10;AAAAAAAAAAAAAAAAAC8BAABfcmVscy8ucmVsc1BLAQItABQABgAIAAAAIQDfgjxCeQIAAEcFAAAO&#10;AAAAAAAAAAAAAAAAAC4CAABkcnMvZTJvRG9jLnhtbFBLAQItABQABgAIAAAAIQB1pV6d3gAAAAgB&#10;AAAPAAAAAAAAAAAAAAAAANMEAABkcnMvZG93bnJldi54bWxQSwUGAAAAAAQABADzAAAA3gUAAAAA&#10;" fillcolor="white [3201]" strokecolor="black [3213]" strokeweight=".5pt">
                <v:textbox>
                  <w:txbxContent>
                    <w:p w14:paraId="1ED9E82B" w14:textId="60A65DBB" w:rsidR="00942AD5" w:rsidRPr="00100394" w:rsidRDefault="00942AD5" w:rsidP="00942AD5">
                      <w:pPr>
                        <w:rPr>
                          <w:b/>
                          <w:bCs/>
                        </w:rPr>
                      </w:pPr>
                      <w:bookmarkStart w:id="13" w:name="_Hlk169018185"/>
                      <w:bookmarkStart w:id="14" w:name="_Hlk169018186"/>
                      <w:r w:rsidRPr="001F1677">
                        <w:rPr>
                          <w:rFonts w:ascii="Calibri" w:eastAsia="Calibri" w:hAnsi="Calibri" w:cs="Calibri"/>
                          <w:i/>
                          <w:iCs/>
                          <w:sz w:val="22"/>
                          <w:szCs w:val="22"/>
                        </w:rPr>
                        <w:t>„</w:t>
                      </w:r>
                      <w:bookmarkEnd w:id="13"/>
                      <w:bookmarkEnd w:id="14"/>
                      <w:r w:rsidR="005417AF">
                        <w:rPr>
                          <w:rFonts w:ascii="Calibri" w:eastAsia="Calibri" w:hAnsi="Calibri" w:cs="Calibri"/>
                          <w:i/>
                          <w:iCs/>
                          <w:sz w:val="22"/>
                          <w:szCs w:val="22"/>
                        </w:rPr>
                        <w:t xml:space="preserve">Vývoj tržních sazeb delších splatností v posledních týdnech opět otevírá prostor pro snižování hypotečních sazeb, které se v posledních </w:t>
                      </w:r>
                      <w:r w:rsidR="004852E3">
                        <w:rPr>
                          <w:rFonts w:ascii="Calibri" w:eastAsia="Calibri" w:hAnsi="Calibri" w:cs="Calibri"/>
                          <w:i/>
                          <w:iCs/>
                          <w:sz w:val="22"/>
                          <w:szCs w:val="22"/>
                        </w:rPr>
                        <w:t>měsících</w:t>
                      </w:r>
                      <w:r w:rsidR="005417AF">
                        <w:rPr>
                          <w:rFonts w:ascii="Calibri" w:eastAsia="Calibri" w:hAnsi="Calibri" w:cs="Calibri"/>
                          <w:i/>
                          <w:iCs/>
                          <w:sz w:val="22"/>
                          <w:szCs w:val="22"/>
                        </w:rPr>
                        <w:t xml:space="preserve"> zastavilo. Sázky trhu na rychlejší pokles sazeb </w:t>
                      </w:r>
                      <w:proofErr w:type="spellStart"/>
                      <w:r w:rsidR="005417AF">
                        <w:rPr>
                          <w:rFonts w:ascii="Calibri" w:eastAsia="Calibri" w:hAnsi="Calibri" w:cs="Calibri"/>
                          <w:i/>
                          <w:iCs/>
                          <w:sz w:val="22"/>
                          <w:szCs w:val="22"/>
                        </w:rPr>
                        <w:t>Fedu</w:t>
                      </w:r>
                      <w:proofErr w:type="spellEnd"/>
                      <w:r w:rsidR="005417AF">
                        <w:rPr>
                          <w:rFonts w:ascii="Calibri" w:eastAsia="Calibri" w:hAnsi="Calibri" w:cs="Calibri"/>
                          <w:i/>
                          <w:iCs/>
                          <w:sz w:val="22"/>
                          <w:szCs w:val="22"/>
                        </w:rPr>
                        <w:t xml:space="preserve"> vedl i</w:t>
                      </w:r>
                      <w:r w:rsidR="00250C73">
                        <w:rPr>
                          <w:rFonts w:ascii="Calibri" w:eastAsia="Calibri" w:hAnsi="Calibri" w:cs="Calibri"/>
                          <w:i/>
                          <w:iCs/>
                          <w:sz w:val="22"/>
                          <w:szCs w:val="22"/>
                        </w:rPr>
                        <w:t xml:space="preserve"> k</w:t>
                      </w:r>
                      <w:r w:rsidR="005417AF">
                        <w:rPr>
                          <w:rFonts w:ascii="Calibri" w:eastAsia="Calibri" w:hAnsi="Calibri" w:cs="Calibri"/>
                          <w:i/>
                          <w:iCs/>
                          <w:sz w:val="22"/>
                          <w:szCs w:val="22"/>
                        </w:rPr>
                        <w:t xml:space="preserve"> výraznějšímu snížení </w:t>
                      </w:r>
                      <w:r w:rsidR="004852E3">
                        <w:rPr>
                          <w:rFonts w:ascii="Calibri" w:eastAsia="Calibri" w:hAnsi="Calibri" w:cs="Calibri"/>
                          <w:i/>
                          <w:iCs/>
                          <w:sz w:val="22"/>
                          <w:szCs w:val="22"/>
                        </w:rPr>
                        <w:t>tuzemských</w:t>
                      </w:r>
                      <w:r w:rsidR="005417AF">
                        <w:rPr>
                          <w:rFonts w:ascii="Calibri" w:eastAsia="Calibri" w:hAnsi="Calibri" w:cs="Calibri"/>
                          <w:i/>
                          <w:iCs/>
                          <w:sz w:val="22"/>
                          <w:szCs w:val="22"/>
                        </w:rPr>
                        <w:t xml:space="preserve"> tržních sazeb, kter</w:t>
                      </w:r>
                      <w:r w:rsidR="004852E3">
                        <w:rPr>
                          <w:rFonts w:ascii="Calibri" w:eastAsia="Calibri" w:hAnsi="Calibri" w:cs="Calibri"/>
                          <w:i/>
                          <w:iCs/>
                          <w:sz w:val="22"/>
                          <w:szCs w:val="22"/>
                        </w:rPr>
                        <w:t>é</w:t>
                      </w:r>
                      <w:r w:rsidR="005417AF">
                        <w:rPr>
                          <w:rFonts w:ascii="Calibri" w:eastAsia="Calibri" w:hAnsi="Calibri" w:cs="Calibri"/>
                          <w:i/>
                          <w:iCs/>
                          <w:sz w:val="22"/>
                          <w:szCs w:val="22"/>
                        </w:rPr>
                        <w:t xml:space="preserve"> tak nyní </w:t>
                      </w:r>
                      <w:r w:rsidR="004852E3">
                        <w:rPr>
                          <w:rFonts w:ascii="Calibri" w:eastAsia="Calibri" w:hAnsi="Calibri" w:cs="Calibri"/>
                          <w:i/>
                          <w:iCs/>
                          <w:sz w:val="22"/>
                          <w:szCs w:val="22"/>
                        </w:rPr>
                        <w:t>patří</w:t>
                      </w:r>
                      <w:r w:rsidR="005417AF">
                        <w:rPr>
                          <w:rFonts w:ascii="Calibri" w:eastAsia="Calibri" w:hAnsi="Calibri" w:cs="Calibri"/>
                          <w:i/>
                          <w:iCs/>
                          <w:sz w:val="22"/>
                          <w:szCs w:val="22"/>
                        </w:rPr>
                        <w:t xml:space="preserve"> mezi </w:t>
                      </w:r>
                      <w:r w:rsidR="004852E3">
                        <w:rPr>
                          <w:rFonts w:ascii="Calibri" w:eastAsia="Calibri" w:hAnsi="Calibri" w:cs="Calibri"/>
                          <w:i/>
                          <w:iCs/>
                          <w:sz w:val="22"/>
                          <w:szCs w:val="22"/>
                        </w:rPr>
                        <w:t>nejnižší</w:t>
                      </w:r>
                      <w:r w:rsidR="005417AF">
                        <w:rPr>
                          <w:rFonts w:ascii="Calibri" w:eastAsia="Calibri" w:hAnsi="Calibri" w:cs="Calibri"/>
                          <w:i/>
                          <w:iCs/>
                          <w:sz w:val="22"/>
                          <w:szCs w:val="22"/>
                        </w:rPr>
                        <w:t xml:space="preserve"> </w:t>
                      </w:r>
                      <w:r w:rsidR="00250C73">
                        <w:rPr>
                          <w:rFonts w:ascii="Calibri" w:eastAsia="Calibri" w:hAnsi="Calibri" w:cs="Calibri"/>
                          <w:i/>
                          <w:iCs/>
                          <w:sz w:val="22"/>
                          <w:szCs w:val="22"/>
                        </w:rPr>
                        <w:t xml:space="preserve">v </w:t>
                      </w:r>
                      <w:r w:rsidR="005417AF">
                        <w:rPr>
                          <w:rFonts w:ascii="Calibri" w:eastAsia="Calibri" w:hAnsi="Calibri" w:cs="Calibri"/>
                          <w:i/>
                          <w:iCs/>
                          <w:sz w:val="22"/>
                          <w:szCs w:val="22"/>
                        </w:rPr>
                        <w:t>letošním roce a</w:t>
                      </w:r>
                      <w:r w:rsidR="00B233EC">
                        <w:rPr>
                          <w:rFonts w:ascii="Calibri" w:eastAsia="Calibri" w:hAnsi="Calibri" w:cs="Calibri"/>
                          <w:i/>
                          <w:iCs/>
                          <w:sz w:val="22"/>
                          <w:szCs w:val="22"/>
                        </w:rPr>
                        <w:t xml:space="preserve"> zároveň </w:t>
                      </w:r>
                      <w:r w:rsidR="005417AF">
                        <w:rPr>
                          <w:rFonts w:ascii="Calibri" w:eastAsia="Calibri" w:hAnsi="Calibri" w:cs="Calibri"/>
                          <w:i/>
                          <w:iCs/>
                          <w:sz w:val="22"/>
                          <w:szCs w:val="22"/>
                        </w:rPr>
                        <w:t>na nejnižších úrovních od přelomu roku 2021 a 2022</w:t>
                      </w:r>
                      <w:r w:rsidRPr="005F105B">
                        <w:rPr>
                          <w:rFonts w:ascii="Calibri" w:eastAsia="Calibri" w:hAnsi="Calibri" w:cs="Calibri"/>
                          <w:i/>
                          <w:iCs/>
                          <w:sz w:val="22"/>
                          <w:szCs w:val="22"/>
                        </w:rPr>
                        <w:t xml:space="preserve">,“ </w:t>
                      </w:r>
                      <w:r w:rsidRPr="00100394">
                        <w:rPr>
                          <w:rFonts w:ascii="Calibri" w:eastAsia="Calibri" w:hAnsi="Calibri" w:cs="Calibri"/>
                          <w:b/>
                          <w:bCs/>
                          <w:sz w:val="22"/>
                          <w:szCs w:val="22"/>
                        </w:rPr>
                        <w:t>říká Jakub Seidler, hlavní ekonom České bankovní asociace.</w:t>
                      </w:r>
                    </w:p>
                    <w:p w14:paraId="52041135" w14:textId="28AC70FF" w:rsidR="00942AD5" w:rsidRPr="00616069" w:rsidRDefault="00942AD5" w:rsidP="00942AD5"/>
                  </w:txbxContent>
                </v:textbox>
                <w10:wrap type="topAndBottom" anchorx="margin"/>
              </v:rect>
            </w:pict>
          </mc:Fallback>
        </mc:AlternateContent>
      </w:r>
      <w:bookmarkEnd w:id="9"/>
    </w:p>
    <w:p w14:paraId="72E83631" w14:textId="3D42CFD3" w:rsidR="00B04FE2" w:rsidRPr="00616069" w:rsidRDefault="00E4296A" w:rsidP="00B04FE2">
      <w:pPr>
        <w:rPr>
          <w:rFonts w:ascii="Calibri" w:hAnsi="Calibri" w:cs="Calibri"/>
          <w:b/>
          <w:color w:val="13576B"/>
          <w:sz w:val="24"/>
          <w:szCs w:val="24"/>
        </w:rPr>
      </w:pPr>
      <w:bookmarkStart w:id="15" w:name="_Hlk100672905"/>
      <w:r w:rsidRPr="00616069">
        <w:rPr>
          <w:rFonts w:ascii="Calibri" w:hAnsi="Calibri" w:cs="Calibri"/>
          <w:b/>
          <w:color w:val="13576B"/>
          <w:sz w:val="24"/>
          <w:szCs w:val="24"/>
        </w:rPr>
        <w:t xml:space="preserve">Průměrná velikost </w:t>
      </w:r>
      <w:r w:rsidR="00D73AAF" w:rsidRPr="00616069">
        <w:rPr>
          <w:rFonts w:ascii="Calibri" w:hAnsi="Calibri" w:cs="Calibri"/>
          <w:b/>
          <w:color w:val="13576B"/>
          <w:sz w:val="24"/>
          <w:szCs w:val="24"/>
        </w:rPr>
        <w:t xml:space="preserve">hypotéky </w:t>
      </w:r>
      <w:r w:rsidR="00942AD5">
        <w:rPr>
          <w:rFonts w:ascii="Calibri" w:hAnsi="Calibri" w:cs="Calibri"/>
          <w:b/>
          <w:color w:val="13576B"/>
          <w:sz w:val="24"/>
          <w:szCs w:val="24"/>
        </w:rPr>
        <w:t>postupně roste</w:t>
      </w:r>
    </w:p>
    <w:p w14:paraId="3A9CA915" w14:textId="1C63E2DB" w:rsidR="00280AB4" w:rsidRPr="00EA73BA" w:rsidRDefault="00B04FE2" w:rsidP="00280AB4">
      <w:pPr>
        <w:overflowPunct/>
        <w:autoSpaceDE/>
        <w:autoSpaceDN/>
        <w:adjustRightInd/>
        <w:spacing w:after="160" w:line="259" w:lineRule="auto"/>
        <w:textAlignment w:val="auto"/>
        <w:rPr>
          <w:rFonts w:ascii="Calibri" w:hAnsi="Calibri" w:cs="Calibri"/>
          <w:b/>
          <w:bCs/>
          <w:sz w:val="22"/>
          <w:szCs w:val="22"/>
        </w:rPr>
      </w:pPr>
      <w:r w:rsidRPr="00EA73BA">
        <w:rPr>
          <w:rFonts w:ascii="Calibri" w:hAnsi="Calibri" w:cs="Calibri"/>
          <w:b/>
          <w:bCs/>
          <w:sz w:val="22"/>
          <w:szCs w:val="22"/>
        </w:rPr>
        <w:t xml:space="preserve">Průměrná výše hypotéky </w:t>
      </w:r>
      <w:r w:rsidR="00BC1D46" w:rsidRPr="00EA73BA">
        <w:rPr>
          <w:rFonts w:ascii="Calibri" w:hAnsi="Calibri" w:cs="Calibri"/>
          <w:b/>
          <w:bCs/>
          <w:sz w:val="22"/>
          <w:szCs w:val="22"/>
        </w:rPr>
        <w:t>v</w:t>
      </w:r>
      <w:r w:rsidR="007877DC">
        <w:rPr>
          <w:rFonts w:ascii="Calibri" w:hAnsi="Calibri" w:cs="Calibri"/>
          <w:b/>
          <w:bCs/>
          <w:sz w:val="22"/>
          <w:szCs w:val="22"/>
        </w:rPr>
        <w:t> </w:t>
      </w:r>
      <w:r w:rsidR="00100394">
        <w:rPr>
          <w:rFonts w:ascii="Calibri" w:hAnsi="Calibri" w:cs="Calibri"/>
          <w:b/>
          <w:bCs/>
          <w:sz w:val="22"/>
          <w:szCs w:val="22"/>
        </w:rPr>
        <w:t>červ</w:t>
      </w:r>
      <w:r w:rsidR="001F64C3">
        <w:rPr>
          <w:rFonts w:ascii="Calibri" w:hAnsi="Calibri" w:cs="Calibri"/>
          <w:b/>
          <w:bCs/>
          <w:sz w:val="22"/>
          <w:szCs w:val="22"/>
        </w:rPr>
        <w:t>enci</w:t>
      </w:r>
      <w:r w:rsidR="007877DC">
        <w:rPr>
          <w:rFonts w:ascii="Calibri" w:hAnsi="Calibri" w:cs="Calibri"/>
          <w:b/>
          <w:bCs/>
          <w:sz w:val="22"/>
          <w:szCs w:val="22"/>
        </w:rPr>
        <w:t xml:space="preserve"> </w:t>
      </w:r>
      <w:r w:rsidR="00505434" w:rsidRPr="00EA73BA">
        <w:rPr>
          <w:rFonts w:ascii="Calibri" w:hAnsi="Calibri" w:cs="Calibri"/>
          <w:b/>
          <w:bCs/>
          <w:sz w:val="22"/>
          <w:szCs w:val="22"/>
        </w:rPr>
        <w:t xml:space="preserve">pokračovala v růstu, </w:t>
      </w:r>
      <w:r w:rsidR="00EF1944" w:rsidRPr="00EA73BA">
        <w:rPr>
          <w:rFonts w:ascii="Calibri" w:hAnsi="Calibri" w:cs="Calibri"/>
          <w:b/>
          <w:bCs/>
          <w:sz w:val="22"/>
          <w:szCs w:val="22"/>
        </w:rPr>
        <w:t>a to z</w:t>
      </w:r>
      <w:r w:rsidR="007877DC">
        <w:rPr>
          <w:rFonts w:ascii="Calibri" w:hAnsi="Calibri" w:cs="Calibri"/>
          <w:b/>
          <w:bCs/>
          <w:sz w:val="22"/>
          <w:szCs w:val="22"/>
        </w:rPr>
        <w:t> 3,</w:t>
      </w:r>
      <w:r w:rsidR="001F64C3">
        <w:rPr>
          <w:rFonts w:ascii="Calibri" w:hAnsi="Calibri" w:cs="Calibri"/>
          <w:b/>
          <w:bCs/>
          <w:sz w:val="22"/>
          <w:szCs w:val="22"/>
        </w:rPr>
        <w:t>72</w:t>
      </w:r>
      <w:r w:rsidR="007877DC">
        <w:rPr>
          <w:rFonts w:ascii="Calibri" w:hAnsi="Calibri" w:cs="Calibri"/>
          <w:b/>
          <w:bCs/>
          <w:sz w:val="22"/>
          <w:szCs w:val="22"/>
        </w:rPr>
        <w:t xml:space="preserve"> na 3,</w:t>
      </w:r>
      <w:r w:rsidR="00F343CC">
        <w:rPr>
          <w:rFonts w:ascii="Calibri" w:hAnsi="Calibri" w:cs="Calibri"/>
          <w:b/>
          <w:bCs/>
          <w:sz w:val="22"/>
          <w:szCs w:val="22"/>
        </w:rPr>
        <w:t>7</w:t>
      </w:r>
      <w:r w:rsidR="001F64C3">
        <w:rPr>
          <w:rFonts w:ascii="Calibri" w:hAnsi="Calibri" w:cs="Calibri"/>
          <w:b/>
          <w:bCs/>
          <w:sz w:val="22"/>
          <w:szCs w:val="22"/>
        </w:rPr>
        <w:t>7</w:t>
      </w:r>
      <w:r w:rsidR="007877DC">
        <w:rPr>
          <w:rFonts w:ascii="Calibri" w:hAnsi="Calibri" w:cs="Calibri"/>
          <w:b/>
          <w:bCs/>
          <w:sz w:val="22"/>
          <w:szCs w:val="22"/>
        </w:rPr>
        <w:t xml:space="preserve"> mil</w:t>
      </w:r>
      <w:r w:rsidR="00E76B64">
        <w:rPr>
          <w:rFonts w:ascii="Calibri" w:hAnsi="Calibri" w:cs="Calibri"/>
          <w:b/>
          <w:bCs/>
          <w:sz w:val="22"/>
          <w:szCs w:val="22"/>
        </w:rPr>
        <w:t>.</w:t>
      </w:r>
      <w:r w:rsidR="007877DC">
        <w:rPr>
          <w:rFonts w:ascii="Calibri" w:hAnsi="Calibri" w:cs="Calibri"/>
          <w:b/>
          <w:bCs/>
          <w:sz w:val="22"/>
          <w:szCs w:val="22"/>
        </w:rPr>
        <w:t xml:space="preserve"> Kč. </w:t>
      </w:r>
      <w:r w:rsidR="00F343CC">
        <w:rPr>
          <w:rFonts w:ascii="Calibri" w:hAnsi="Calibri" w:cs="Calibri"/>
          <w:b/>
          <w:bCs/>
          <w:sz w:val="22"/>
          <w:szCs w:val="22"/>
        </w:rPr>
        <w:t xml:space="preserve">Od </w:t>
      </w:r>
      <w:r w:rsidR="007877DC">
        <w:rPr>
          <w:rFonts w:ascii="Calibri" w:hAnsi="Calibri" w:cs="Calibri"/>
          <w:b/>
          <w:bCs/>
          <w:sz w:val="22"/>
          <w:szCs w:val="22"/>
        </w:rPr>
        <w:t>dubn</w:t>
      </w:r>
      <w:r w:rsidR="00F343CC">
        <w:rPr>
          <w:rFonts w:ascii="Calibri" w:hAnsi="Calibri" w:cs="Calibri"/>
          <w:b/>
          <w:bCs/>
          <w:sz w:val="22"/>
          <w:szCs w:val="22"/>
        </w:rPr>
        <w:t xml:space="preserve">a tak průměrná výše hypotéky převyšuje </w:t>
      </w:r>
      <w:r w:rsidR="007877DC">
        <w:rPr>
          <w:rFonts w:ascii="Calibri" w:hAnsi="Calibri" w:cs="Calibri"/>
          <w:b/>
          <w:bCs/>
          <w:sz w:val="22"/>
          <w:szCs w:val="22"/>
        </w:rPr>
        <w:t>dosavadní rekordní úroveň z listopadu 2021 ve výši 3,46 mil</w:t>
      </w:r>
      <w:r w:rsidR="00E76B64">
        <w:rPr>
          <w:rFonts w:ascii="Calibri" w:hAnsi="Calibri" w:cs="Calibri"/>
          <w:b/>
          <w:bCs/>
          <w:sz w:val="22"/>
          <w:szCs w:val="22"/>
        </w:rPr>
        <w:t>.</w:t>
      </w:r>
      <w:r w:rsidR="007877DC">
        <w:rPr>
          <w:rFonts w:ascii="Calibri" w:hAnsi="Calibri" w:cs="Calibri"/>
          <w:b/>
          <w:bCs/>
          <w:sz w:val="22"/>
          <w:szCs w:val="22"/>
        </w:rPr>
        <w:t xml:space="preserve"> Kč.</w:t>
      </w:r>
      <w:r w:rsidR="00783BA7">
        <w:rPr>
          <w:rFonts w:ascii="Calibri" w:hAnsi="Calibri" w:cs="Calibri"/>
          <w:b/>
          <w:bCs/>
          <w:sz w:val="22"/>
          <w:szCs w:val="22"/>
        </w:rPr>
        <w:t xml:space="preserve"> </w:t>
      </w:r>
      <w:r w:rsidR="00BD4931" w:rsidRPr="00EA73BA">
        <w:rPr>
          <w:rFonts w:ascii="Calibri" w:hAnsi="Calibri" w:cs="Calibri"/>
          <w:sz w:val="22"/>
          <w:szCs w:val="22"/>
        </w:rPr>
        <w:t xml:space="preserve"> </w:t>
      </w:r>
      <w:r w:rsidR="00783BA7">
        <w:rPr>
          <w:rFonts w:ascii="Calibri" w:hAnsi="Calibri" w:cs="Calibri"/>
          <w:sz w:val="22"/>
          <w:szCs w:val="22"/>
        </w:rPr>
        <w:t xml:space="preserve">Dosáhnout na vyšší hypotéku umožňuje postupný pokles hypotečních sazeb či uvolnění </w:t>
      </w:r>
      <w:proofErr w:type="spellStart"/>
      <w:r w:rsidR="00783BA7">
        <w:rPr>
          <w:rFonts w:ascii="Calibri" w:hAnsi="Calibri" w:cs="Calibri"/>
          <w:sz w:val="22"/>
          <w:szCs w:val="22"/>
        </w:rPr>
        <w:t>makroobezřetnostních</w:t>
      </w:r>
      <w:proofErr w:type="spellEnd"/>
      <w:r w:rsidR="00783BA7">
        <w:rPr>
          <w:rFonts w:ascii="Calibri" w:hAnsi="Calibri" w:cs="Calibri"/>
          <w:sz w:val="22"/>
          <w:szCs w:val="22"/>
        </w:rPr>
        <w:t xml:space="preserve"> příjmových limitů ze strany ČNB společně s postupným růstem reálných příjmů domácností. Výše hypotéky pak souvisí také s vývojem cen nemovitostí, které byly</w:t>
      </w:r>
      <w:r w:rsidR="00F343CC">
        <w:rPr>
          <w:rFonts w:ascii="Calibri" w:hAnsi="Calibri" w:cs="Calibri"/>
          <w:sz w:val="22"/>
          <w:szCs w:val="22"/>
        </w:rPr>
        <w:t xml:space="preserve"> v 1. čtvrtletí letošního roku</w:t>
      </w:r>
      <w:r w:rsidR="00EA73BA">
        <w:rPr>
          <w:rFonts w:ascii="Calibri" w:hAnsi="Calibri" w:cs="Calibri"/>
          <w:sz w:val="22"/>
          <w:szCs w:val="22"/>
        </w:rPr>
        <w:t xml:space="preserve"> o</w:t>
      </w:r>
      <w:r w:rsidR="00100394">
        <w:rPr>
          <w:rFonts w:ascii="Calibri" w:hAnsi="Calibri" w:cs="Calibri"/>
          <w:sz w:val="22"/>
          <w:szCs w:val="22"/>
        </w:rPr>
        <w:t xml:space="preserve"> necelých</w:t>
      </w:r>
      <w:r w:rsidR="00F343CC">
        <w:rPr>
          <w:rFonts w:ascii="Calibri" w:hAnsi="Calibri" w:cs="Calibri"/>
          <w:sz w:val="22"/>
          <w:szCs w:val="22"/>
        </w:rPr>
        <w:t xml:space="preserve"> </w:t>
      </w:r>
      <w:r w:rsidR="00100394">
        <w:rPr>
          <w:rFonts w:ascii="Calibri" w:hAnsi="Calibri" w:cs="Calibri"/>
          <w:sz w:val="22"/>
          <w:szCs w:val="22"/>
        </w:rPr>
        <w:t>10</w:t>
      </w:r>
      <w:r w:rsidR="00EA73BA">
        <w:rPr>
          <w:rFonts w:ascii="Calibri" w:hAnsi="Calibri" w:cs="Calibri"/>
          <w:sz w:val="22"/>
          <w:szCs w:val="22"/>
        </w:rPr>
        <w:t xml:space="preserve"> </w:t>
      </w:r>
      <w:r w:rsidR="00100394">
        <w:rPr>
          <w:rFonts w:ascii="Calibri" w:hAnsi="Calibri" w:cs="Calibri"/>
          <w:sz w:val="22"/>
          <w:szCs w:val="22"/>
        </w:rPr>
        <w:t xml:space="preserve">% </w:t>
      </w:r>
      <w:r w:rsidR="00EA73BA">
        <w:rPr>
          <w:rFonts w:ascii="Calibri" w:hAnsi="Calibri" w:cs="Calibri"/>
          <w:sz w:val="22"/>
          <w:szCs w:val="22"/>
        </w:rPr>
        <w:t xml:space="preserve">vyšší, než v posledním čtvrtletí roku 2021. </w:t>
      </w:r>
    </w:p>
    <w:p w14:paraId="5173F03C" w14:textId="10950DAC" w:rsidR="00B04FE2" w:rsidRPr="00616069" w:rsidRDefault="00280AB4" w:rsidP="00B04FE2">
      <w:pPr>
        <w:overflowPunct/>
        <w:autoSpaceDE/>
        <w:autoSpaceDN/>
        <w:adjustRightInd/>
        <w:spacing w:after="160" w:line="259" w:lineRule="auto"/>
        <w:textAlignment w:val="auto"/>
        <w:rPr>
          <w:rFonts w:ascii="Calibri" w:hAnsi="Calibri" w:cs="Calibri"/>
          <w:sz w:val="22"/>
          <w:szCs w:val="22"/>
        </w:rPr>
      </w:pPr>
      <w:r w:rsidRPr="00EA73BA">
        <w:rPr>
          <w:rFonts w:ascii="Calibri" w:hAnsi="Calibri" w:cs="Calibri"/>
          <w:sz w:val="22"/>
          <w:szCs w:val="22"/>
        </w:rPr>
        <w:t>S</w:t>
      </w:r>
      <w:r w:rsidR="00B04FE2" w:rsidRPr="00EA73BA">
        <w:rPr>
          <w:rFonts w:ascii="Calibri" w:hAnsi="Calibri" w:cs="Calibri"/>
          <w:sz w:val="22"/>
          <w:szCs w:val="22"/>
        </w:rPr>
        <w:t>cénáře vývoje měsíční splátky pro různé délky splatnosti hypotéky udává tabulka č. 2. Z ní je patrné, že růst hypotečních sazeb o jeden procentní bod znamená pro průměrnou velikost hypotéky zvýšení měsíční splátky o</w:t>
      </w:r>
      <w:r w:rsidR="00AF1CFD" w:rsidRPr="00EA73BA">
        <w:rPr>
          <w:rFonts w:ascii="Calibri" w:hAnsi="Calibri" w:cs="Calibri"/>
          <w:sz w:val="22"/>
          <w:szCs w:val="22"/>
        </w:rPr>
        <w:t xml:space="preserve"> zhruba</w:t>
      </w:r>
      <w:r w:rsidR="00B04FE2" w:rsidRPr="00EA73BA">
        <w:rPr>
          <w:rFonts w:ascii="Calibri" w:hAnsi="Calibri" w:cs="Calibri"/>
          <w:sz w:val="22"/>
          <w:szCs w:val="22"/>
        </w:rPr>
        <w:t xml:space="preserve"> 1,</w:t>
      </w:r>
      <w:r w:rsidR="001C698F" w:rsidRPr="00EA73BA">
        <w:rPr>
          <w:rFonts w:ascii="Calibri" w:hAnsi="Calibri" w:cs="Calibri"/>
          <w:sz w:val="22"/>
          <w:szCs w:val="22"/>
        </w:rPr>
        <w:t>5</w:t>
      </w:r>
      <w:r w:rsidR="00B04FE2" w:rsidRPr="00EA73BA">
        <w:rPr>
          <w:rFonts w:ascii="Calibri" w:hAnsi="Calibri" w:cs="Calibri"/>
          <w:sz w:val="22"/>
          <w:szCs w:val="22"/>
        </w:rPr>
        <w:t xml:space="preserve"> </w:t>
      </w:r>
      <w:r w:rsidR="001B39D3" w:rsidRPr="00EA73BA">
        <w:rPr>
          <w:rFonts w:ascii="Calibri" w:hAnsi="Calibri" w:cs="Calibri"/>
          <w:sz w:val="22"/>
          <w:szCs w:val="22"/>
        </w:rPr>
        <w:t xml:space="preserve">až 2 </w:t>
      </w:r>
      <w:r w:rsidR="00B04FE2" w:rsidRPr="00EA73BA">
        <w:rPr>
          <w:rFonts w:ascii="Calibri" w:hAnsi="Calibri" w:cs="Calibri"/>
          <w:sz w:val="22"/>
          <w:szCs w:val="22"/>
        </w:rPr>
        <w:t>tisíce Kč. Ve srovnání s </w:t>
      </w:r>
      <w:proofErr w:type="gramStart"/>
      <w:r w:rsidR="00B04FE2" w:rsidRPr="00EA73BA">
        <w:rPr>
          <w:rFonts w:ascii="Calibri" w:hAnsi="Calibri" w:cs="Calibri"/>
          <w:sz w:val="22"/>
          <w:szCs w:val="22"/>
        </w:rPr>
        <w:t>2%</w:t>
      </w:r>
      <w:proofErr w:type="gramEnd"/>
      <w:r w:rsidR="00B04FE2" w:rsidRPr="00EA73BA">
        <w:rPr>
          <w:rFonts w:ascii="Calibri" w:hAnsi="Calibri" w:cs="Calibri"/>
          <w:sz w:val="22"/>
          <w:szCs w:val="22"/>
        </w:rPr>
        <w:t xml:space="preserve"> úrokovou sazbou, která byla na trhu běžná v dřívějších letech, </w:t>
      </w:r>
      <w:r w:rsidR="001C698F" w:rsidRPr="00EA73BA">
        <w:rPr>
          <w:rFonts w:ascii="Calibri" w:hAnsi="Calibri" w:cs="Calibri"/>
          <w:sz w:val="22"/>
          <w:szCs w:val="22"/>
        </w:rPr>
        <w:t xml:space="preserve">tak </w:t>
      </w:r>
      <w:r w:rsidR="00B04FE2" w:rsidRPr="00EA73BA">
        <w:rPr>
          <w:rFonts w:ascii="Calibri" w:hAnsi="Calibri" w:cs="Calibri"/>
          <w:sz w:val="22"/>
          <w:szCs w:val="22"/>
        </w:rPr>
        <w:t>znamená</w:t>
      </w:r>
      <w:r w:rsidR="00B10C3C" w:rsidRPr="00EA73BA">
        <w:rPr>
          <w:rFonts w:ascii="Calibri" w:hAnsi="Calibri" w:cs="Calibri"/>
          <w:sz w:val="22"/>
          <w:szCs w:val="22"/>
        </w:rPr>
        <w:t xml:space="preserve"> současná </w:t>
      </w:r>
      <w:r w:rsidR="00B04FE2" w:rsidRPr="00EA73BA">
        <w:rPr>
          <w:rFonts w:ascii="Calibri" w:hAnsi="Calibri" w:cs="Calibri"/>
          <w:sz w:val="22"/>
          <w:szCs w:val="22"/>
        </w:rPr>
        <w:t xml:space="preserve">hypoteční sazba nárůst měsíční splátky u průměrné hypotéky </w:t>
      </w:r>
      <w:r w:rsidR="00914CD2" w:rsidRPr="00EA73BA">
        <w:rPr>
          <w:rFonts w:ascii="Calibri" w:hAnsi="Calibri" w:cs="Calibri"/>
          <w:sz w:val="22"/>
          <w:szCs w:val="22"/>
        </w:rPr>
        <w:t xml:space="preserve">zhruba </w:t>
      </w:r>
      <w:r w:rsidR="00C87645" w:rsidRPr="00EA73BA">
        <w:rPr>
          <w:rFonts w:ascii="Calibri" w:hAnsi="Calibri" w:cs="Calibri"/>
          <w:sz w:val="22"/>
          <w:szCs w:val="22"/>
        </w:rPr>
        <w:t xml:space="preserve">o </w:t>
      </w:r>
      <w:r w:rsidR="003373BE" w:rsidRPr="00EA73BA">
        <w:rPr>
          <w:rFonts w:ascii="Calibri" w:hAnsi="Calibri" w:cs="Calibri"/>
          <w:sz w:val="22"/>
          <w:szCs w:val="22"/>
        </w:rPr>
        <w:t xml:space="preserve">6 </w:t>
      </w:r>
      <w:r w:rsidR="00914CD2" w:rsidRPr="00EA73BA">
        <w:rPr>
          <w:rFonts w:ascii="Calibri" w:hAnsi="Calibri" w:cs="Calibri"/>
          <w:sz w:val="22"/>
          <w:szCs w:val="22"/>
        </w:rPr>
        <w:t>ti</w:t>
      </w:r>
      <w:r w:rsidR="00B04FE2" w:rsidRPr="00EA73BA">
        <w:rPr>
          <w:rFonts w:ascii="Calibri" w:hAnsi="Calibri" w:cs="Calibri"/>
          <w:sz w:val="22"/>
          <w:szCs w:val="22"/>
        </w:rPr>
        <w:t>síc Kč.</w:t>
      </w:r>
      <w:r w:rsidR="00B04FE2" w:rsidRPr="00EA73BA">
        <w:rPr>
          <w:rStyle w:val="Znakapoznpodarou"/>
          <w:rFonts w:ascii="Calibri" w:hAnsi="Calibri" w:cs="Calibri"/>
          <w:sz w:val="22"/>
          <w:szCs w:val="22"/>
        </w:rPr>
        <w:footnoteReference w:id="3"/>
      </w:r>
      <w:r w:rsidR="00B04FE2" w:rsidRPr="00EA73BA">
        <w:rPr>
          <w:rFonts w:ascii="Calibri" w:hAnsi="Calibri" w:cs="Calibri"/>
          <w:sz w:val="22"/>
          <w:szCs w:val="22"/>
        </w:rPr>
        <w:t xml:space="preserve"> </w:t>
      </w:r>
      <w:r w:rsidR="00615685" w:rsidRPr="00EA73BA">
        <w:rPr>
          <w:rFonts w:ascii="Calibri" w:hAnsi="Calibri" w:cs="Calibri"/>
          <w:b/>
          <w:bCs/>
          <w:sz w:val="22"/>
          <w:szCs w:val="22"/>
        </w:rPr>
        <w:t xml:space="preserve">Splátka hypotéky ve výši jednoho milionu </w:t>
      </w:r>
      <w:r w:rsidR="00AB2567" w:rsidRPr="00EA73BA">
        <w:rPr>
          <w:rFonts w:ascii="Calibri" w:hAnsi="Calibri" w:cs="Calibri"/>
          <w:b/>
          <w:bCs/>
          <w:sz w:val="22"/>
          <w:szCs w:val="22"/>
        </w:rPr>
        <w:t>korun</w:t>
      </w:r>
      <w:r w:rsidR="00615685" w:rsidRPr="00EA73BA">
        <w:rPr>
          <w:rFonts w:ascii="Calibri" w:hAnsi="Calibri" w:cs="Calibri"/>
          <w:b/>
          <w:bCs/>
          <w:sz w:val="22"/>
          <w:szCs w:val="22"/>
        </w:rPr>
        <w:t xml:space="preserve"> s</w:t>
      </w:r>
      <w:r w:rsidR="00C87645" w:rsidRPr="00EA73BA">
        <w:rPr>
          <w:rFonts w:ascii="Calibri" w:hAnsi="Calibri" w:cs="Calibri"/>
          <w:b/>
          <w:bCs/>
          <w:sz w:val="22"/>
          <w:szCs w:val="22"/>
        </w:rPr>
        <w:t> </w:t>
      </w:r>
      <w:r w:rsidR="00615685" w:rsidRPr="00EA73BA">
        <w:rPr>
          <w:rFonts w:ascii="Calibri" w:hAnsi="Calibri" w:cs="Calibri"/>
          <w:b/>
          <w:bCs/>
          <w:sz w:val="22"/>
          <w:szCs w:val="22"/>
        </w:rPr>
        <w:t xml:space="preserve">30letou splatností se současnými úrokovými sazbami </w:t>
      </w:r>
      <w:r w:rsidR="00AB2567" w:rsidRPr="00EA73BA">
        <w:rPr>
          <w:rFonts w:ascii="Calibri" w:hAnsi="Calibri" w:cs="Calibri"/>
          <w:b/>
          <w:bCs/>
          <w:sz w:val="22"/>
          <w:szCs w:val="22"/>
        </w:rPr>
        <w:t xml:space="preserve">se </w:t>
      </w:r>
      <w:r w:rsidR="00615685" w:rsidRPr="00EA73BA">
        <w:rPr>
          <w:rFonts w:ascii="Calibri" w:hAnsi="Calibri" w:cs="Calibri"/>
          <w:b/>
          <w:bCs/>
          <w:sz w:val="22"/>
          <w:szCs w:val="22"/>
        </w:rPr>
        <w:t xml:space="preserve">pohybuje kolem </w:t>
      </w:r>
      <w:r w:rsidR="008B7162" w:rsidRPr="00EA73BA">
        <w:rPr>
          <w:rFonts w:ascii="Calibri" w:hAnsi="Calibri" w:cs="Calibri"/>
          <w:b/>
          <w:bCs/>
          <w:sz w:val="22"/>
          <w:szCs w:val="22"/>
        </w:rPr>
        <w:t>5,</w:t>
      </w:r>
      <w:r w:rsidR="00BD4931" w:rsidRPr="00EA73BA">
        <w:rPr>
          <w:rFonts w:ascii="Calibri" w:hAnsi="Calibri" w:cs="Calibri"/>
          <w:b/>
          <w:bCs/>
          <w:sz w:val="22"/>
          <w:szCs w:val="22"/>
        </w:rPr>
        <w:t>5</w:t>
      </w:r>
      <w:r w:rsidR="00615685" w:rsidRPr="00EA73BA">
        <w:rPr>
          <w:rFonts w:ascii="Calibri" w:hAnsi="Calibri" w:cs="Calibri"/>
          <w:b/>
          <w:bCs/>
          <w:sz w:val="22"/>
          <w:szCs w:val="22"/>
        </w:rPr>
        <w:t xml:space="preserve"> tisíc</w:t>
      </w:r>
      <w:r w:rsidR="00F25CBC" w:rsidRPr="00EA73BA">
        <w:rPr>
          <w:rFonts w:ascii="Calibri" w:hAnsi="Calibri" w:cs="Calibri"/>
          <w:b/>
          <w:bCs/>
          <w:sz w:val="22"/>
          <w:szCs w:val="22"/>
        </w:rPr>
        <w:t>e</w:t>
      </w:r>
      <w:r w:rsidR="00615685" w:rsidRPr="00EA73BA">
        <w:rPr>
          <w:rFonts w:ascii="Calibri" w:hAnsi="Calibri" w:cs="Calibri"/>
          <w:b/>
          <w:bCs/>
          <w:sz w:val="22"/>
          <w:szCs w:val="22"/>
        </w:rPr>
        <w:t xml:space="preserve"> Kč.</w:t>
      </w:r>
    </w:p>
    <w:bookmarkEnd w:id="15"/>
    <w:p w14:paraId="1A267256" w14:textId="45AF01D0" w:rsidR="009D3067" w:rsidRPr="00616069" w:rsidRDefault="009D3067" w:rsidP="007F41A0">
      <w:pPr>
        <w:overflowPunct/>
        <w:autoSpaceDE/>
        <w:autoSpaceDN/>
        <w:adjustRightInd/>
        <w:spacing w:after="160" w:line="259" w:lineRule="auto"/>
        <w:textAlignment w:val="auto"/>
        <w:rPr>
          <w:rFonts w:ascii="Calibri" w:hAnsi="Calibri" w:cs="Calibri"/>
          <w:b/>
          <w:color w:val="13576B"/>
          <w:sz w:val="23"/>
          <w:szCs w:val="23"/>
        </w:rPr>
      </w:pPr>
      <w:r w:rsidRPr="00616069">
        <w:rPr>
          <w:rFonts w:ascii="Calibri" w:hAnsi="Calibri" w:cs="Calibri"/>
          <w:b/>
          <w:color w:val="13576B"/>
          <w:sz w:val="23"/>
          <w:szCs w:val="23"/>
        </w:rPr>
        <w:t>Tabulka č. 2: Měsíční splátka průměrné hypotéky v závislosti na délce splatnosti a úrokové sazbě</w:t>
      </w:r>
    </w:p>
    <w:tbl>
      <w:tblPr>
        <w:tblW w:w="10160" w:type="dxa"/>
        <w:tblCellMar>
          <w:left w:w="70" w:type="dxa"/>
          <w:right w:w="70" w:type="dxa"/>
        </w:tblCellMar>
        <w:tblLook w:val="04A0" w:firstRow="1" w:lastRow="0" w:firstColumn="1" w:lastColumn="0" w:noHBand="0" w:noVBand="1"/>
      </w:tblPr>
      <w:tblGrid>
        <w:gridCol w:w="3969"/>
        <w:gridCol w:w="431"/>
        <w:gridCol w:w="960"/>
        <w:gridCol w:w="960"/>
        <w:gridCol w:w="960"/>
        <w:gridCol w:w="960"/>
        <w:gridCol w:w="960"/>
        <w:gridCol w:w="960"/>
      </w:tblGrid>
      <w:tr w:rsidR="00D5517C" w:rsidRPr="00616069" w14:paraId="2E0F9EE8" w14:textId="77777777" w:rsidTr="008B2AC1">
        <w:trPr>
          <w:trHeight w:val="555"/>
        </w:trPr>
        <w:tc>
          <w:tcPr>
            <w:tcW w:w="4400" w:type="dxa"/>
            <w:gridSpan w:val="2"/>
            <w:tcBorders>
              <w:top w:val="nil"/>
              <w:left w:val="nil"/>
              <w:bottom w:val="single" w:sz="4" w:space="0" w:color="auto"/>
              <w:right w:val="nil"/>
            </w:tcBorders>
            <w:shd w:val="clear" w:color="auto" w:fill="auto"/>
            <w:noWrap/>
            <w:vAlign w:val="center"/>
            <w:hideMark/>
          </w:tcPr>
          <w:p w14:paraId="0EFE9691" w14:textId="77777777" w:rsidR="00D5517C" w:rsidRPr="00616069" w:rsidRDefault="00D5517C" w:rsidP="00D5517C">
            <w:pPr>
              <w:overflowPunct/>
              <w:autoSpaceDE/>
              <w:autoSpaceDN/>
              <w:adjustRightInd/>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Průměrná velikost nové hypotéky v Kč:</w:t>
            </w:r>
          </w:p>
        </w:tc>
        <w:tc>
          <w:tcPr>
            <w:tcW w:w="960" w:type="dxa"/>
            <w:tcBorders>
              <w:top w:val="nil"/>
              <w:left w:val="nil"/>
              <w:bottom w:val="single" w:sz="4" w:space="0" w:color="auto"/>
              <w:right w:val="nil"/>
            </w:tcBorders>
            <w:shd w:val="clear" w:color="auto" w:fill="auto"/>
            <w:noWrap/>
            <w:vAlign w:val="center"/>
            <w:hideMark/>
          </w:tcPr>
          <w:p w14:paraId="57E2DFCA"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center"/>
            <w:hideMark/>
          </w:tcPr>
          <w:p w14:paraId="35B01B2E"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3840" w:type="dxa"/>
            <w:gridSpan w:val="4"/>
            <w:tcBorders>
              <w:top w:val="nil"/>
              <w:left w:val="nil"/>
              <w:bottom w:val="single" w:sz="4" w:space="0" w:color="auto"/>
              <w:right w:val="nil"/>
            </w:tcBorders>
            <w:shd w:val="clear" w:color="auto" w:fill="auto"/>
            <w:noWrap/>
            <w:vAlign w:val="center"/>
            <w:hideMark/>
          </w:tcPr>
          <w:p w14:paraId="5A6AC5C8" w14:textId="77777777" w:rsidR="00231F3A" w:rsidRDefault="005861DC" w:rsidP="005861DC">
            <w:pPr>
              <w:overflowPunct/>
              <w:autoSpaceDE/>
              <w:autoSpaceDN/>
              <w:adjustRightInd/>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 xml:space="preserve">                </w:t>
            </w:r>
          </w:p>
          <w:p w14:paraId="67600645" w14:textId="77777777" w:rsidR="000F0342" w:rsidRDefault="00231F3A" w:rsidP="005861DC">
            <w:pPr>
              <w:overflowPunct/>
              <w:autoSpaceDE/>
              <w:autoSpaceDN/>
              <w:adjustRightInd/>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 xml:space="preserve">                 </w:t>
            </w:r>
          </w:p>
          <w:p w14:paraId="400F8289" w14:textId="334E779F" w:rsidR="00490505" w:rsidRPr="00616069" w:rsidRDefault="00490505" w:rsidP="005861DC">
            <w:pPr>
              <w:overflowPunct/>
              <w:autoSpaceDE/>
              <w:autoSpaceDN/>
              <w:adjustRightInd/>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 xml:space="preserve">                 3 772 189</w:t>
            </w:r>
          </w:p>
        </w:tc>
      </w:tr>
      <w:tr w:rsidR="00D375AE" w:rsidRPr="00616069" w14:paraId="3A9D14C4" w14:textId="77777777" w:rsidTr="005861DC">
        <w:trPr>
          <w:trHeight w:val="300"/>
        </w:trPr>
        <w:tc>
          <w:tcPr>
            <w:tcW w:w="3969" w:type="dxa"/>
            <w:tcBorders>
              <w:top w:val="nil"/>
              <w:left w:val="nil"/>
              <w:bottom w:val="single" w:sz="4" w:space="0" w:color="auto"/>
              <w:right w:val="nil"/>
            </w:tcBorders>
            <w:shd w:val="clear" w:color="auto" w:fill="auto"/>
            <w:noWrap/>
            <w:vAlign w:val="bottom"/>
            <w:hideMark/>
          </w:tcPr>
          <w:p w14:paraId="284FFBA8" w14:textId="77777777" w:rsidR="00D375AE" w:rsidRPr="00616069" w:rsidRDefault="00D375AE" w:rsidP="00D375AE">
            <w:pPr>
              <w:overflowPunct/>
              <w:autoSpaceDE/>
              <w:autoSpaceDN/>
              <w:adjustRightInd/>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Průměrná úroková sazba v %:</w:t>
            </w:r>
          </w:p>
        </w:tc>
        <w:tc>
          <w:tcPr>
            <w:tcW w:w="431" w:type="dxa"/>
            <w:tcBorders>
              <w:top w:val="nil"/>
              <w:left w:val="nil"/>
              <w:bottom w:val="single" w:sz="4" w:space="0" w:color="auto"/>
              <w:right w:val="nil"/>
            </w:tcBorders>
            <w:shd w:val="clear" w:color="auto" w:fill="auto"/>
            <w:noWrap/>
            <w:vAlign w:val="bottom"/>
            <w:hideMark/>
          </w:tcPr>
          <w:p w14:paraId="1F76198D" w14:textId="77777777" w:rsidR="00D375AE" w:rsidRPr="00616069" w:rsidRDefault="00D375AE" w:rsidP="00D375AE">
            <w:pPr>
              <w:overflowPunct/>
              <w:autoSpaceDE/>
              <w:autoSpaceDN/>
              <w:adjustRightInd/>
              <w:jc w:val="left"/>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 </w:t>
            </w:r>
          </w:p>
        </w:tc>
        <w:tc>
          <w:tcPr>
            <w:tcW w:w="960" w:type="dxa"/>
            <w:tcBorders>
              <w:top w:val="nil"/>
              <w:left w:val="nil"/>
              <w:bottom w:val="single" w:sz="4" w:space="0" w:color="auto"/>
              <w:right w:val="nil"/>
            </w:tcBorders>
            <w:shd w:val="clear" w:color="auto" w:fill="auto"/>
            <w:noWrap/>
            <w:vAlign w:val="center"/>
            <w:hideMark/>
          </w:tcPr>
          <w:p w14:paraId="10BEEE92" w14:textId="537FE1A1"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2,0</w:t>
            </w:r>
          </w:p>
        </w:tc>
        <w:tc>
          <w:tcPr>
            <w:tcW w:w="960" w:type="dxa"/>
            <w:tcBorders>
              <w:top w:val="nil"/>
              <w:left w:val="nil"/>
              <w:bottom w:val="single" w:sz="4" w:space="0" w:color="auto"/>
              <w:right w:val="nil"/>
            </w:tcBorders>
            <w:shd w:val="clear" w:color="auto" w:fill="auto"/>
            <w:noWrap/>
            <w:vAlign w:val="center"/>
            <w:hideMark/>
          </w:tcPr>
          <w:p w14:paraId="07D3214C" w14:textId="4FAC9AB5"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3,0</w:t>
            </w:r>
          </w:p>
        </w:tc>
        <w:tc>
          <w:tcPr>
            <w:tcW w:w="960" w:type="dxa"/>
            <w:tcBorders>
              <w:top w:val="nil"/>
              <w:left w:val="nil"/>
              <w:bottom w:val="single" w:sz="4" w:space="0" w:color="auto"/>
              <w:right w:val="nil"/>
            </w:tcBorders>
            <w:shd w:val="clear" w:color="auto" w:fill="auto"/>
            <w:noWrap/>
            <w:vAlign w:val="center"/>
            <w:hideMark/>
          </w:tcPr>
          <w:p w14:paraId="49B1144F" w14:textId="4BF25F94"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4,0</w:t>
            </w:r>
          </w:p>
        </w:tc>
        <w:tc>
          <w:tcPr>
            <w:tcW w:w="960" w:type="dxa"/>
            <w:tcBorders>
              <w:top w:val="nil"/>
              <w:left w:val="nil"/>
              <w:bottom w:val="single" w:sz="4" w:space="0" w:color="auto"/>
              <w:right w:val="nil"/>
            </w:tcBorders>
            <w:shd w:val="clear" w:color="000000" w:fill="DAF3EA"/>
            <w:noWrap/>
            <w:vAlign w:val="center"/>
            <w:hideMark/>
          </w:tcPr>
          <w:p w14:paraId="29650147" w14:textId="776222C8"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5,</w:t>
            </w:r>
            <w:r w:rsidR="00231F3A">
              <w:rPr>
                <w:rFonts w:ascii="Calibri Light" w:hAnsi="Calibri Light" w:cs="Calibri Light"/>
                <w:b/>
                <w:bCs/>
                <w:color w:val="000000"/>
                <w:sz w:val="22"/>
                <w:szCs w:val="22"/>
              </w:rPr>
              <w:t>0</w:t>
            </w:r>
            <w:r w:rsidR="00490505">
              <w:rPr>
                <w:rFonts w:ascii="Calibri Light" w:hAnsi="Calibri Light" w:cs="Calibri Light"/>
                <w:b/>
                <w:bCs/>
                <w:color w:val="000000"/>
                <w:sz w:val="22"/>
                <w:szCs w:val="22"/>
              </w:rPr>
              <w:t>7</w:t>
            </w:r>
          </w:p>
        </w:tc>
        <w:tc>
          <w:tcPr>
            <w:tcW w:w="960" w:type="dxa"/>
            <w:tcBorders>
              <w:top w:val="nil"/>
              <w:left w:val="nil"/>
              <w:bottom w:val="single" w:sz="4" w:space="0" w:color="auto"/>
              <w:right w:val="nil"/>
            </w:tcBorders>
            <w:shd w:val="clear" w:color="000000" w:fill="FFFFFF" w:themeFill="background1"/>
            <w:noWrap/>
            <w:vAlign w:val="center"/>
            <w:hideMark/>
          </w:tcPr>
          <w:p w14:paraId="22EECDD2" w14:textId="017900A1" w:rsidR="00D375AE" w:rsidRPr="00616069" w:rsidRDefault="005861DC" w:rsidP="00D375AE">
            <w:pPr>
              <w:overflowPunct/>
              <w:autoSpaceDE/>
              <w:autoSpaceDN/>
              <w:adjustRightInd/>
              <w:jc w:val="center"/>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6,0</w:t>
            </w:r>
          </w:p>
        </w:tc>
        <w:tc>
          <w:tcPr>
            <w:tcW w:w="960" w:type="dxa"/>
            <w:tcBorders>
              <w:top w:val="nil"/>
              <w:left w:val="nil"/>
              <w:bottom w:val="single" w:sz="4" w:space="0" w:color="auto"/>
              <w:right w:val="nil"/>
            </w:tcBorders>
            <w:shd w:val="clear" w:color="auto" w:fill="auto"/>
            <w:noWrap/>
            <w:vAlign w:val="center"/>
            <w:hideMark/>
          </w:tcPr>
          <w:p w14:paraId="3E5AC0A3" w14:textId="753D666A" w:rsidR="00D375AE" w:rsidRPr="00616069" w:rsidRDefault="00D375AE" w:rsidP="00D375AE">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7,0</w:t>
            </w:r>
          </w:p>
        </w:tc>
      </w:tr>
      <w:tr w:rsidR="00D5517C" w:rsidRPr="00616069" w14:paraId="4905349F" w14:textId="77777777" w:rsidTr="00F45EB3">
        <w:trPr>
          <w:trHeight w:val="300"/>
        </w:trPr>
        <w:tc>
          <w:tcPr>
            <w:tcW w:w="3969" w:type="dxa"/>
            <w:tcBorders>
              <w:top w:val="nil"/>
              <w:left w:val="nil"/>
              <w:bottom w:val="nil"/>
              <w:right w:val="nil"/>
            </w:tcBorders>
            <w:shd w:val="clear" w:color="auto" w:fill="auto"/>
            <w:noWrap/>
            <w:vAlign w:val="bottom"/>
            <w:hideMark/>
          </w:tcPr>
          <w:p w14:paraId="37327E18"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431" w:type="dxa"/>
            <w:tcBorders>
              <w:top w:val="nil"/>
              <w:left w:val="nil"/>
              <w:bottom w:val="nil"/>
              <w:right w:val="nil"/>
            </w:tcBorders>
            <w:shd w:val="clear" w:color="auto" w:fill="auto"/>
            <w:noWrap/>
            <w:vAlign w:val="bottom"/>
            <w:hideMark/>
          </w:tcPr>
          <w:p w14:paraId="271C1EDC"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7CD8A3FA"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14:paraId="1E17A7A8" w14:textId="77777777" w:rsidR="00D5517C" w:rsidRPr="00616069" w:rsidRDefault="00D5517C" w:rsidP="00D5517C">
            <w:pPr>
              <w:overflowPunct/>
              <w:autoSpaceDE/>
              <w:autoSpaceDN/>
              <w:adjustRightInd/>
              <w:jc w:val="left"/>
              <w:textAlignment w:val="auto"/>
              <w:rPr>
                <w:rFonts w:ascii="Calibri" w:hAnsi="Calibri" w:cs="Calibri"/>
                <w:color w:val="000000"/>
                <w:sz w:val="22"/>
                <w:szCs w:val="22"/>
              </w:rPr>
            </w:pPr>
            <w:r w:rsidRPr="00616069">
              <w:rPr>
                <w:rFonts w:ascii="Calibri" w:hAnsi="Calibri" w:cs="Calibri"/>
                <w:color w:val="000000"/>
                <w:sz w:val="22"/>
                <w:szCs w:val="22"/>
              </w:rPr>
              <w:t> </w:t>
            </w:r>
          </w:p>
        </w:tc>
        <w:tc>
          <w:tcPr>
            <w:tcW w:w="3840" w:type="dxa"/>
            <w:gridSpan w:val="4"/>
            <w:tcBorders>
              <w:top w:val="single" w:sz="4" w:space="0" w:color="auto"/>
              <w:left w:val="nil"/>
              <w:bottom w:val="single" w:sz="4" w:space="0" w:color="auto"/>
              <w:right w:val="nil"/>
            </w:tcBorders>
            <w:shd w:val="clear" w:color="auto" w:fill="auto"/>
            <w:noWrap/>
            <w:vAlign w:val="bottom"/>
            <w:hideMark/>
          </w:tcPr>
          <w:p w14:paraId="0C8798FF" w14:textId="77777777" w:rsidR="00D5517C" w:rsidRPr="00616069" w:rsidRDefault="00D5517C" w:rsidP="00D5517C">
            <w:pPr>
              <w:overflowPunct/>
              <w:autoSpaceDE/>
              <w:autoSpaceDN/>
              <w:adjustRightInd/>
              <w:jc w:val="center"/>
              <w:textAlignment w:val="auto"/>
              <w:rPr>
                <w:rFonts w:ascii="Calibri Light" w:hAnsi="Calibri Light" w:cs="Calibri Light"/>
                <w:b/>
                <w:bCs/>
                <w:color w:val="000000"/>
                <w:sz w:val="22"/>
                <w:szCs w:val="22"/>
              </w:rPr>
            </w:pPr>
            <w:r w:rsidRPr="00616069">
              <w:rPr>
                <w:rFonts w:ascii="Calibri Light" w:hAnsi="Calibri Light" w:cs="Calibri Light"/>
                <w:b/>
                <w:bCs/>
                <w:color w:val="000000"/>
                <w:sz w:val="22"/>
                <w:szCs w:val="22"/>
              </w:rPr>
              <w:t>Měsíční splátka:</w:t>
            </w:r>
          </w:p>
        </w:tc>
      </w:tr>
      <w:tr w:rsidR="00490505" w:rsidRPr="00616069" w14:paraId="0A342D01" w14:textId="77777777" w:rsidTr="005861DC">
        <w:trPr>
          <w:trHeight w:val="300"/>
        </w:trPr>
        <w:tc>
          <w:tcPr>
            <w:tcW w:w="3969" w:type="dxa"/>
            <w:tcBorders>
              <w:top w:val="nil"/>
              <w:left w:val="nil"/>
              <w:bottom w:val="nil"/>
              <w:right w:val="nil"/>
            </w:tcBorders>
            <w:shd w:val="clear" w:color="auto" w:fill="auto"/>
            <w:noWrap/>
            <w:vAlign w:val="bottom"/>
            <w:hideMark/>
          </w:tcPr>
          <w:p w14:paraId="67C08443" w14:textId="77777777" w:rsidR="00490505" w:rsidRPr="00616069" w:rsidRDefault="00490505" w:rsidP="00490505">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Splatnost hypotéky v letech:</w:t>
            </w:r>
          </w:p>
        </w:tc>
        <w:tc>
          <w:tcPr>
            <w:tcW w:w="431" w:type="dxa"/>
            <w:tcBorders>
              <w:top w:val="nil"/>
              <w:left w:val="nil"/>
              <w:bottom w:val="nil"/>
              <w:right w:val="nil"/>
            </w:tcBorders>
            <w:shd w:val="clear" w:color="auto" w:fill="auto"/>
            <w:noWrap/>
            <w:vAlign w:val="bottom"/>
            <w:hideMark/>
          </w:tcPr>
          <w:p w14:paraId="5F9EE9A3" w14:textId="77777777" w:rsidR="00490505" w:rsidRPr="00616069" w:rsidRDefault="00490505" w:rsidP="00490505">
            <w:pPr>
              <w:overflowPunct/>
              <w:autoSpaceDE/>
              <w:autoSpaceDN/>
              <w:adjustRightInd/>
              <w:jc w:val="center"/>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15</w:t>
            </w:r>
          </w:p>
        </w:tc>
        <w:tc>
          <w:tcPr>
            <w:tcW w:w="960" w:type="dxa"/>
            <w:tcBorders>
              <w:top w:val="nil"/>
              <w:left w:val="nil"/>
              <w:bottom w:val="nil"/>
              <w:right w:val="nil"/>
            </w:tcBorders>
            <w:shd w:val="clear" w:color="auto" w:fill="auto"/>
            <w:noWrap/>
            <w:vAlign w:val="center"/>
            <w:hideMark/>
          </w:tcPr>
          <w:p w14:paraId="6E75F03F" w14:textId="53BD6FC9"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24 068</w:t>
            </w:r>
          </w:p>
        </w:tc>
        <w:tc>
          <w:tcPr>
            <w:tcW w:w="960" w:type="dxa"/>
            <w:tcBorders>
              <w:top w:val="nil"/>
              <w:left w:val="nil"/>
              <w:bottom w:val="nil"/>
              <w:right w:val="nil"/>
            </w:tcBorders>
            <w:shd w:val="clear" w:color="auto" w:fill="auto"/>
            <w:noWrap/>
            <w:vAlign w:val="center"/>
            <w:hideMark/>
          </w:tcPr>
          <w:p w14:paraId="3D8E9F84" w14:textId="45FB6C16"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25 828</w:t>
            </w:r>
          </w:p>
        </w:tc>
        <w:tc>
          <w:tcPr>
            <w:tcW w:w="960" w:type="dxa"/>
            <w:tcBorders>
              <w:top w:val="nil"/>
              <w:left w:val="nil"/>
              <w:bottom w:val="nil"/>
              <w:right w:val="nil"/>
            </w:tcBorders>
            <w:shd w:val="clear" w:color="auto" w:fill="auto"/>
            <w:noWrap/>
            <w:vAlign w:val="center"/>
            <w:hideMark/>
          </w:tcPr>
          <w:p w14:paraId="238A63E5" w14:textId="7A08216B"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27 665</w:t>
            </w:r>
          </w:p>
        </w:tc>
        <w:tc>
          <w:tcPr>
            <w:tcW w:w="960" w:type="dxa"/>
            <w:tcBorders>
              <w:top w:val="nil"/>
              <w:left w:val="nil"/>
              <w:bottom w:val="nil"/>
              <w:right w:val="nil"/>
            </w:tcBorders>
            <w:shd w:val="clear" w:color="auto" w:fill="DAF3EA"/>
            <w:noWrap/>
            <w:vAlign w:val="center"/>
            <w:hideMark/>
          </w:tcPr>
          <w:p w14:paraId="0F2712F9" w14:textId="63F1E03C" w:rsidR="00490505" w:rsidRPr="00483136" w:rsidRDefault="00490505" w:rsidP="00490505">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29 962</w:t>
            </w:r>
          </w:p>
        </w:tc>
        <w:tc>
          <w:tcPr>
            <w:tcW w:w="960" w:type="dxa"/>
            <w:tcBorders>
              <w:top w:val="nil"/>
              <w:left w:val="nil"/>
              <w:bottom w:val="nil"/>
              <w:right w:val="nil"/>
            </w:tcBorders>
            <w:shd w:val="clear" w:color="000000" w:fill="FFFFFF" w:themeFill="background1"/>
            <w:noWrap/>
            <w:vAlign w:val="center"/>
            <w:hideMark/>
          </w:tcPr>
          <w:p w14:paraId="690F9892" w14:textId="2D660D88"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31 561</w:t>
            </w:r>
          </w:p>
        </w:tc>
        <w:tc>
          <w:tcPr>
            <w:tcW w:w="960" w:type="dxa"/>
            <w:tcBorders>
              <w:top w:val="nil"/>
              <w:left w:val="nil"/>
              <w:bottom w:val="nil"/>
              <w:right w:val="nil"/>
            </w:tcBorders>
            <w:shd w:val="clear" w:color="auto" w:fill="auto"/>
            <w:noWrap/>
            <w:vAlign w:val="center"/>
            <w:hideMark/>
          </w:tcPr>
          <w:p w14:paraId="165D0922" w14:textId="11316E44"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33 617</w:t>
            </w:r>
          </w:p>
        </w:tc>
      </w:tr>
      <w:tr w:rsidR="00490505" w:rsidRPr="00616069" w14:paraId="4A78BEF2" w14:textId="77777777" w:rsidTr="005861DC">
        <w:trPr>
          <w:trHeight w:val="300"/>
        </w:trPr>
        <w:tc>
          <w:tcPr>
            <w:tcW w:w="3969" w:type="dxa"/>
            <w:tcBorders>
              <w:top w:val="nil"/>
              <w:left w:val="nil"/>
              <w:bottom w:val="nil"/>
              <w:right w:val="nil"/>
            </w:tcBorders>
            <w:shd w:val="clear" w:color="auto" w:fill="auto"/>
            <w:noWrap/>
            <w:vAlign w:val="bottom"/>
            <w:hideMark/>
          </w:tcPr>
          <w:p w14:paraId="0EAF3610" w14:textId="77777777" w:rsidR="00490505" w:rsidRPr="00616069" w:rsidRDefault="00490505" w:rsidP="00490505">
            <w:pPr>
              <w:overflowPunct/>
              <w:autoSpaceDE/>
              <w:autoSpaceDN/>
              <w:adjustRightInd/>
              <w:jc w:val="center"/>
              <w:textAlignment w:val="auto"/>
              <w:rPr>
                <w:rFonts w:ascii="Calibri Light" w:hAnsi="Calibri Light" w:cs="Calibri Light"/>
                <w:color w:val="000000"/>
                <w:sz w:val="22"/>
                <w:szCs w:val="22"/>
              </w:rPr>
            </w:pPr>
          </w:p>
        </w:tc>
        <w:tc>
          <w:tcPr>
            <w:tcW w:w="431" w:type="dxa"/>
            <w:tcBorders>
              <w:top w:val="nil"/>
              <w:left w:val="nil"/>
              <w:bottom w:val="nil"/>
              <w:right w:val="nil"/>
            </w:tcBorders>
            <w:shd w:val="clear" w:color="auto" w:fill="auto"/>
            <w:noWrap/>
            <w:vAlign w:val="bottom"/>
            <w:hideMark/>
          </w:tcPr>
          <w:p w14:paraId="72B9CE37" w14:textId="77777777" w:rsidR="00490505" w:rsidRPr="00616069" w:rsidRDefault="00490505" w:rsidP="00490505">
            <w:pPr>
              <w:overflowPunct/>
              <w:autoSpaceDE/>
              <w:autoSpaceDN/>
              <w:adjustRightInd/>
              <w:jc w:val="center"/>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20</w:t>
            </w:r>
          </w:p>
        </w:tc>
        <w:tc>
          <w:tcPr>
            <w:tcW w:w="960" w:type="dxa"/>
            <w:tcBorders>
              <w:top w:val="nil"/>
              <w:left w:val="nil"/>
              <w:bottom w:val="nil"/>
              <w:right w:val="nil"/>
            </w:tcBorders>
            <w:shd w:val="clear" w:color="auto" w:fill="auto"/>
            <w:noWrap/>
            <w:vAlign w:val="center"/>
            <w:hideMark/>
          </w:tcPr>
          <w:p w14:paraId="5D28FBFB" w14:textId="68110A94"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18 920</w:t>
            </w:r>
          </w:p>
        </w:tc>
        <w:tc>
          <w:tcPr>
            <w:tcW w:w="960" w:type="dxa"/>
            <w:tcBorders>
              <w:top w:val="nil"/>
              <w:left w:val="nil"/>
              <w:bottom w:val="nil"/>
              <w:right w:val="nil"/>
            </w:tcBorders>
            <w:shd w:val="clear" w:color="auto" w:fill="auto"/>
            <w:noWrap/>
            <w:vAlign w:val="center"/>
            <w:hideMark/>
          </w:tcPr>
          <w:p w14:paraId="0857AA86" w14:textId="6E591B0D"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20 742</w:t>
            </w:r>
          </w:p>
        </w:tc>
        <w:tc>
          <w:tcPr>
            <w:tcW w:w="960" w:type="dxa"/>
            <w:tcBorders>
              <w:top w:val="nil"/>
              <w:left w:val="nil"/>
              <w:bottom w:val="nil"/>
              <w:right w:val="nil"/>
            </w:tcBorders>
            <w:shd w:val="clear" w:color="auto" w:fill="auto"/>
            <w:noWrap/>
            <w:vAlign w:val="center"/>
            <w:hideMark/>
          </w:tcPr>
          <w:p w14:paraId="26357E18" w14:textId="34CF2821"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22 664</w:t>
            </w:r>
          </w:p>
        </w:tc>
        <w:tc>
          <w:tcPr>
            <w:tcW w:w="960" w:type="dxa"/>
            <w:tcBorders>
              <w:top w:val="nil"/>
              <w:left w:val="nil"/>
              <w:bottom w:val="nil"/>
              <w:right w:val="nil"/>
            </w:tcBorders>
            <w:shd w:val="clear" w:color="auto" w:fill="DAF3EA"/>
            <w:noWrap/>
            <w:vAlign w:val="center"/>
            <w:hideMark/>
          </w:tcPr>
          <w:p w14:paraId="6D332706" w14:textId="5F382C7E" w:rsidR="00490505" w:rsidRPr="00483136" w:rsidRDefault="00490505" w:rsidP="00490505">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25 035</w:t>
            </w:r>
          </w:p>
        </w:tc>
        <w:tc>
          <w:tcPr>
            <w:tcW w:w="960" w:type="dxa"/>
            <w:tcBorders>
              <w:top w:val="nil"/>
              <w:left w:val="nil"/>
              <w:bottom w:val="nil"/>
              <w:right w:val="nil"/>
            </w:tcBorders>
            <w:shd w:val="clear" w:color="000000" w:fill="FFFFFF" w:themeFill="background1"/>
            <w:noWrap/>
            <w:vAlign w:val="center"/>
            <w:hideMark/>
          </w:tcPr>
          <w:p w14:paraId="5E6CF5E2" w14:textId="67AC0388"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26 795</w:t>
            </w:r>
          </w:p>
        </w:tc>
        <w:tc>
          <w:tcPr>
            <w:tcW w:w="960" w:type="dxa"/>
            <w:tcBorders>
              <w:top w:val="nil"/>
              <w:left w:val="nil"/>
              <w:bottom w:val="nil"/>
              <w:right w:val="nil"/>
            </w:tcBorders>
            <w:shd w:val="clear" w:color="auto" w:fill="auto"/>
            <w:noWrap/>
            <w:vAlign w:val="center"/>
            <w:hideMark/>
          </w:tcPr>
          <w:p w14:paraId="1521BDBD" w14:textId="08B3FB0F"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28 997</w:t>
            </w:r>
          </w:p>
        </w:tc>
      </w:tr>
      <w:tr w:rsidR="00490505" w:rsidRPr="00616069" w14:paraId="6CF32913" w14:textId="77777777" w:rsidTr="005861DC">
        <w:trPr>
          <w:trHeight w:val="300"/>
        </w:trPr>
        <w:tc>
          <w:tcPr>
            <w:tcW w:w="3969" w:type="dxa"/>
            <w:tcBorders>
              <w:top w:val="nil"/>
              <w:left w:val="nil"/>
              <w:bottom w:val="nil"/>
              <w:right w:val="nil"/>
            </w:tcBorders>
            <w:shd w:val="clear" w:color="auto" w:fill="auto"/>
            <w:noWrap/>
            <w:vAlign w:val="bottom"/>
            <w:hideMark/>
          </w:tcPr>
          <w:p w14:paraId="1542281A" w14:textId="77777777" w:rsidR="00490505" w:rsidRPr="00616069" w:rsidRDefault="00490505" w:rsidP="00490505">
            <w:pPr>
              <w:overflowPunct/>
              <w:autoSpaceDE/>
              <w:autoSpaceDN/>
              <w:adjustRightInd/>
              <w:jc w:val="center"/>
              <w:textAlignment w:val="auto"/>
              <w:rPr>
                <w:rFonts w:ascii="Calibri Light" w:hAnsi="Calibri Light" w:cs="Calibri Light"/>
                <w:color w:val="000000"/>
                <w:sz w:val="22"/>
                <w:szCs w:val="22"/>
              </w:rPr>
            </w:pPr>
          </w:p>
        </w:tc>
        <w:tc>
          <w:tcPr>
            <w:tcW w:w="431" w:type="dxa"/>
            <w:tcBorders>
              <w:top w:val="nil"/>
              <w:left w:val="nil"/>
              <w:bottom w:val="nil"/>
              <w:right w:val="nil"/>
            </w:tcBorders>
            <w:shd w:val="clear" w:color="auto" w:fill="auto"/>
            <w:noWrap/>
            <w:vAlign w:val="bottom"/>
            <w:hideMark/>
          </w:tcPr>
          <w:p w14:paraId="26092D49" w14:textId="77777777" w:rsidR="00490505" w:rsidRPr="00616069" w:rsidRDefault="00490505" w:rsidP="00490505">
            <w:pPr>
              <w:overflowPunct/>
              <w:autoSpaceDE/>
              <w:autoSpaceDN/>
              <w:adjustRightInd/>
              <w:jc w:val="center"/>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25</w:t>
            </w:r>
          </w:p>
        </w:tc>
        <w:tc>
          <w:tcPr>
            <w:tcW w:w="960" w:type="dxa"/>
            <w:tcBorders>
              <w:top w:val="nil"/>
              <w:left w:val="nil"/>
              <w:bottom w:val="nil"/>
              <w:right w:val="nil"/>
            </w:tcBorders>
            <w:shd w:val="clear" w:color="auto" w:fill="auto"/>
            <w:noWrap/>
            <w:vAlign w:val="center"/>
            <w:hideMark/>
          </w:tcPr>
          <w:p w14:paraId="491B1A11" w14:textId="20888586"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15 852</w:t>
            </w:r>
          </w:p>
        </w:tc>
        <w:tc>
          <w:tcPr>
            <w:tcW w:w="960" w:type="dxa"/>
            <w:tcBorders>
              <w:top w:val="nil"/>
              <w:left w:val="nil"/>
              <w:bottom w:val="nil"/>
              <w:right w:val="nil"/>
            </w:tcBorders>
            <w:shd w:val="clear" w:color="auto" w:fill="auto"/>
            <w:noWrap/>
            <w:vAlign w:val="center"/>
            <w:hideMark/>
          </w:tcPr>
          <w:p w14:paraId="2FC3E222" w14:textId="674E7FB2"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17 736</w:t>
            </w:r>
          </w:p>
        </w:tc>
        <w:tc>
          <w:tcPr>
            <w:tcW w:w="960" w:type="dxa"/>
            <w:tcBorders>
              <w:top w:val="nil"/>
              <w:left w:val="nil"/>
              <w:bottom w:val="nil"/>
              <w:right w:val="nil"/>
            </w:tcBorders>
            <w:shd w:val="clear" w:color="auto" w:fill="auto"/>
            <w:noWrap/>
            <w:vAlign w:val="center"/>
            <w:hideMark/>
          </w:tcPr>
          <w:p w14:paraId="08C6F1AB" w14:textId="2C92D42F"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19 741</w:t>
            </w:r>
          </w:p>
        </w:tc>
        <w:tc>
          <w:tcPr>
            <w:tcW w:w="960" w:type="dxa"/>
            <w:tcBorders>
              <w:top w:val="nil"/>
              <w:left w:val="nil"/>
              <w:bottom w:val="nil"/>
              <w:right w:val="nil"/>
            </w:tcBorders>
            <w:shd w:val="clear" w:color="auto" w:fill="DAF3EA"/>
            <w:noWrap/>
            <w:vAlign w:val="center"/>
            <w:hideMark/>
          </w:tcPr>
          <w:p w14:paraId="5331F341" w14:textId="3CA4A0F5" w:rsidR="00490505" w:rsidRPr="00483136" w:rsidRDefault="00490505" w:rsidP="00490505">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22 200</w:t>
            </w:r>
          </w:p>
        </w:tc>
        <w:tc>
          <w:tcPr>
            <w:tcW w:w="960" w:type="dxa"/>
            <w:tcBorders>
              <w:top w:val="nil"/>
              <w:left w:val="nil"/>
              <w:bottom w:val="nil"/>
              <w:right w:val="nil"/>
            </w:tcBorders>
            <w:shd w:val="clear" w:color="000000" w:fill="FFFFFF" w:themeFill="background1"/>
            <w:noWrap/>
            <w:vAlign w:val="center"/>
            <w:hideMark/>
          </w:tcPr>
          <w:p w14:paraId="3E4DDF0D" w14:textId="183A7977"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24 097</w:t>
            </w:r>
          </w:p>
        </w:tc>
        <w:tc>
          <w:tcPr>
            <w:tcW w:w="960" w:type="dxa"/>
            <w:tcBorders>
              <w:top w:val="nil"/>
              <w:left w:val="nil"/>
              <w:bottom w:val="nil"/>
              <w:right w:val="nil"/>
            </w:tcBorders>
            <w:shd w:val="clear" w:color="auto" w:fill="auto"/>
            <w:noWrap/>
            <w:vAlign w:val="center"/>
            <w:hideMark/>
          </w:tcPr>
          <w:p w14:paraId="4C72D8C7" w14:textId="773168F7"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26 434</w:t>
            </w:r>
          </w:p>
        </w:tc>
      </w:tr>
      <w:tr w:rsidR="00490505" w:rsidRPr="00616069" w14:paraId="46B86678" w14:textId="77777777" w:rsidTr="005861DC">
        <w:trPr>
          <w:trHeight w:val="300"/>
        </w:trPr>
        <w:tc>
          <w:tcPr>
            <w:tcW w:w="3969" w:type="dxa"/>
            <w:tcBorders>
              <w:top w:val="nil"/>
              <w:left w:val="nil"/>
              <w:bottom w:val="single" w:sz="4" w:space="0" w:color="auto"/>
              <w:right w:val="nil"/>
            </w:tcBorders>
            <w:shd w:val="clear" w:color="auto" w:fill="auto"/>
            <w:noWrap/>
            <w:vAlign w:val="bottom"/>
            <w:hideMark/>
          </w:tcPr>
          <w:p w14:paraId="477BB57D" w14:textId="77777777" w:rsidR="00490505" w:rsidRPr="00616069" w:rsidRDefault="00490505" w:rsidP="00490505">
            <w:pPr>
              <w:overflowPunct/>
              <w:autoSpaceDE/>
              <w:autoSpaceDN/>
              <w:adjustRightInd/>
              <w:jc w:val="left"/>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 </w:t>
            </w:r>
          </w:p>
        </w:tc>
        <w:tc>
          <w:tcPr>
            <w:tcW w:w="431" w:type="dxa"/>
            <w:tcBorders>
              <w:top w:val="nil"/>
              <w:left w:val="nil"/>
              <w:bottom w:val="single" w:sz="4" w:space="0" w:color="auto"/>
              <w:right w:val="nil"/>
            </w:tcBorders>
            <w:shd w:val="clear" w:color="auto" w:fill="auto"/>
            <w:noWrap/>
            <w:vAlign w:val="bottom"/>
            <w:hideMark/>
          </w:tcPr>
          <w:p w14:paraId="6FEE525A" w14:textId="77777777" w:rsidR="00490505" w:rsidRPr="00616069" w:rsidRDefault="00490505" w:rsidP="00490505">
            <w:pPr>
              <w:overflowPunct/>
              <w:autoSpaceDE/>
              <w:autoSpaceDN/>
              <w:adjustRightInd/>
              <w:jc w:val="center"/>
              <w:textAlignment w:val="auto"/>
              <w:rPr>
                <w:rFonts w:ascii="Calibri Light" w:hAnsi="Calibri Light" w:cs="Calibri Light"/>
                <w:color w:val="000000"/>
                <w:sz w:val="22"/>
                <w:szCs w:val="22"/>
              </w:rPr>
            </w:pPr>
            <w:r w:rsidRPr="00616069">
              <w:rPr>
                <w:rFonts w:ascii="Calibri Light" w:hAnsi="Calibri Light" w:cs="Calibri Light"/>
                <w:color w:val="000000"/>
                <w:sz w:val="22"/>
                <w:szCs w:val="22"/>
              </w:rPr>
              <w:t>30</w:t>
            </w:r>
          </w:p>
        </w:tc>
        <w:tc>
          <w:tcPr>
            <w:tcW w:w="960" w:type="dxa"/>
            <w:tcBorders>
              <w:top w:val="nil"/>
              <w:left w:val="nil"/>
              <w:bottom w:val="single" w:sz="4" w:space="0" w:color="auto"/>
              <w:right w:val="nil"/>
            </w:tcBorders>
            <w:shd w:val="clear" w:color="auto" w:fill="auto"/>
            <w:noWrap/>
            <w:vAlign w:val="center"/>
            <w:hideMark/>
          </w:tcPr>
          <w:p w14:paraId="24DA2DA6" w14:textId="0D6C6383"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13 824</w:t>
            </w:r>
          </w:p>
        </w:tc>
        <w:tc>
          <w:tcPr>
            <w:tcW w:w="960" w:type="dxa"/>
            <w:tcBorders>
              <w:top w:val="nil"/>
              <w:left w:val="nil"/>
              <w:bottom w:val="single" w:sz="4" w:space="0" w:color="auto"/>
              <w:right w:val="nil"/>
            </w:tcBorders>
            <w:shd w:val="clear" w:color="auto" w:fill="auto"/>
            <w:noWrap/>
            <w:vAlign w:val="center"/>
            <w:hideMark/>
          </w:tcPr>
          <w:p w14:paraId="611602F5" w14:textId="2FFE89F1"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15 768</w:t>
            </w:r>
          </w:p>
        </w:tc>
        <w:tc>
          <w:tcPr>
            <w:tcW w:w="960" w:type="dxa"/>
            <w:tcBorders>
              <w:top w:val="nil"/>
              <w:left w:val="nil"/>
              <w:bottom w:val="single" w:sz="4" w:space="0" w:color="auto"/>
              <w:right w:val="nil"/>
            </w:tcBorders>
            <w:shd w:val="clear" w:color="auto" w:fill="auto"/>
            <w:noWrap/>
            <w:vAlign w:val="center"/>
            <w:hideMark/>
          </w:tcPr>
          <w:p w14:paraId="247C600D" w14:textId="104388E0"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17 856</w:t>
            </w:r>
          </w:p>
        </w:tc>
        <w:tc>
          <w:tcPr>
            <w:tcW w:w="960" w:type="dxa"/>
            <w:tcBorders>
              <w:top w:val="nil"/>
              <w:left w:val="nil"/>
              <w:bottom w:val="single" w:sz="4" w:space="0" w:color="auto"/>
              <w:right w:val="nil"/>
            </w:tcBorders>
            <w:shd w:val="clear" w:color="auto" w:fill="DAF3EA"/>
            <w:noWrap/>
            <w:vAlign w:val="center"/>
            <w:hideMark/>
          </w:tcPr>
          <w:p w14:paraId="527D8D8A" w14:textId="5B8EE711" w:rsidR="00490505" w:rsidRPr="00483136" w:rsidRDefault="00490505" w:rsidP="00490505">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20 405</w:t>
            </w:r>
          </w:p>
        </w:tc>
        <w:tc>
          <w:tcPr>
            <w:tcW w:w="960" w:type="dxa"/>
            <w:tcBorders>
              <w:top w:val="nil"/>
              <w:left w:val="nil"/>
              <w:bottom w:val="single" w:sz="4" w:space="0" w:color="auto"/>
              <w:right w:val="nil"/>
            </w:tcBorders>
            <w:shd w:val="clear" w:color="000000" w:fill="FFFFFF" w:themeFill="background1"/>
            <w:noWrap/>
            <w:vAlign w:val="center"/>
            <w:hideMark/>
          </w:tcPr>
          <w:p w14:paraId="35ABD787" w14:textId="2F91BF58"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22 424</w:t>
            </w:r>
          </w:p>
        </w:tc>
        <w:tc>
          <w:tcPr>
            <w:tcW w:w="960" w:type="dxa"/>
            <w:tcBorders>
              <w:top w:val="nil"/>
              <w:left w:val="nil"/>
              <w:bottom w:val="single" w:sz="4" w:space="0" w:color="auto"/>
              <w:right w:val="nil"/>
            </w:tcBorders>
            <w:shd w:val="clear" w:color="auto" w:fill="auto"/>
            <w:noWrap/>
            <w:vAlign w:val="center"/>
            <w:hideMark/>
          </w:tcPr>
          <w:p w14:paraId="1C781B34" w14:textId="42EDCF74" w:rsidR="00490505" w:rsidRPr="00616069" w:rsidRDefault="00490505" w:rsidP="00490505">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24 883</w:t>
            </w:r>
          </w:p>
        </w:tc>
      </w:tr>
      <w:tr w:rsidR="00D5517C" w:rsidRPr="00616069" w14:paraId="58395EC8" w14:textId="77777777" w:rsidTr="00F45EB3">
        <w:trPr>
          <w:trHeight w:val="300"/>
        </w:trPr>
        <w:tc>
          <w:tcPr>
            <w:tcW w:w="3969" w:type="dxa"/>
            <w:tcBorders>
              <w:top w:val="nil"/>
              <w:left w:val="nil"/>
              <w:bottom w:val="nil"/>
              <w:right w:val="nil"/>
            </w:tcBorders>
            <w:shd w:val="clear" w:color="auto" w:fill="auto"/>
            <w:noWrap/>
            <w:vAlign w:val="bottom"/>
            <w:hideMark/>
          </w:tcPr>
          <w:p w14:paraId="2B3FD57F" w14:textId="77777777" w:rsidR="00D5517C" w:rsidRPr="00616069" w:rsidRDefault="00D5517C" w:rsidP="00D5517C">
            <w:pPr>
              <w:overflowPunct/>
              <w:autoSpaceDE/>
              <w:autoSpaceDN/>
              <w:adjustRightInd/>
              <w:jc w:val="left"/>
              <w:textAlignment w:val="auto"/>
              <w:rPr>
                <w:rFonts w:ascii="Calibri" w:hAnsi="Calibri" w:cs="Calibri"/>
                <w:color w:val="13576B"/>
                <w:sz w:val="22"/>
                <w:szCs w:val="22"/>
              </w:rPr>
            </w:pPr>
            <w:r w:rsidRPr="00616069">
              <w:rPr>
                <w:rFonts w:ascii="Calibri" w:hAnsi="Calibri" w:cs="Calibri"/>
                <w:color w:val="13576B"/>
                <w:sz w:val="22"/>
                <w:szCs w:val="22"/>
              </w:rPr>
              <w:t>Pramen: ČBA</w:t>
            </w:r>
          </w:p>
        </w:tc>
        <w:tc>
          <w:tcPr>
            <w:tcW w:w="431" w:type="dxa"/>
            <w:tcBorders>
              <w:top w:val="nil"/>
              <w:left w:val="nil"/>
              <w:bottom w:val="nil"/>
              <w:right w:val="nil"/>
            </w:tcBorders>
            <w:shd w:val="clear" w:color="auto" w:fill="auto"/>
            <w:noWrap/>
            <w:vAlign w:val="bottom"/>
            <w:hideMark/>
          </w:tcPr>
          <w:p w14:paraId="4AEE430D" w14:textId="77777777" w:rsidR="00D5517C" w:rsidRPr="00616069" w:rsidRDefault="00D5517C" w:rsidP="00D5517C">
            <w:pPr>
              <w:overflowPunct/>
              <w:autoSpaceDE/>
              <w:autoSpaceDN/>
              <w:adjustRightInd/>
              <w:jc w:val="left"/>
              <w:textAlignment w:val="auto"/>
              <w:rPr>
                <w:rFonts w:ascii="Calibri" w:hAnsi="Calibri" w:cs="Calibri"/>
                <w:color w:val="13576B"/>
                <w:sz w:val="22"/>
                <w:szCs w:val="22"/>
              </w:rPr>
            </w:pPr>
          </w:p>
        </w:tc>
        <w:tc>
          <w:tcPr>
            <w:tcW w:w="960" w:type="dxa"/>
            <w:tcBorders>
              <w:top w:val="nil"/>
              <w:left w:val="nil"/>
              <w:bottom w:val="nil"/>
              <w:right w:val="nil"/>
            </w:tcBorders>
            <w:shd w:val="clear" w:color="auto" w:fill="auto"/>
            <w:noWrap/>
            <w:vAlign w:val="bottom"/>
            <w:hideMark/>
          </w:tcPr>
          <w:p w14:paraId="318F225D" w14:textId="77777777" w:rsidR="00D5517C" w:rsidRPr="00616069"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5B261F0D" w14:textId="77777777" w:rsidR="00D5517C" w:rsidRPr="00616069"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60822AAF" w14:textId="77777777" w:rsidR="00D5517C" w:rsidRPr="00616069"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7CAC6A2A" w14:textId="77777777" w:rsidR="00D5517C" w:rsidRPr="00483136" w:rsidRDefault="00D5517C" w:rsidP="00483136">
            <w:pPr>
              <w:overflowPunct/>
              <w:autoSpaceDE/>
              <w:autoSpaceDN/>
              <w:adjustRightInd/>
              <w:jc w:val="center"/>
              <w:textAlignment w:val="auto"/>
              <w:rPr>
                <w:rFonts w:ascii="Calibri Light" w:hAnsi="Calibri Light" w:cs="Calibri Light"/>
                <w:color w:val="000000"/>
                <w:sz w:val="22"/>
                <w:szCs w:val="22"/>
              </w:rPr>
            </w:pPr>
          </w:p>
        </w:tc>
        <w:tc>
          <w:tcPr>
            <w:tcW w:w="960" w:type="dxa"/>
            <w:tcBorders>
              <w:top w:val="nil"/>
              <w:left w:val="nil"/>
              <w:bottom w:val="nil"/>
              <w:right w:val="nil"/>
            </w:tcBorders>
            <w:shd w:val="clear" w:color="auto" w:fill="auto"/>
            <w:noWrap/>
            <w:vAlign w:val="bottom"/>
            <w:hideMark/>
          </w:tcPr>
          <w:p w14:paraId="7D71D15A" w14:textId="77777777" w:rsidR="00D5517C" w:rsidRPr="00616069" w:rsidRDefault="00D5517C" w:rsidP="00D5517C">
            <w:pPr>
              <w:overflowPunct/>
              <w:autoSpaceDE/>
              <w:autoSpaceDN/>
              <w:adjustRightInd/>
              <w:jc w:val="left"/>
              <w:textAlignment w:val="auto"/>
              <w:rPr>
                <w:rFonts w:ascii="Times New Roman" w:hAnsi="Times New Roman"/>
                <w:sz w:val="20"/>
              </w:rPr>
            </w:pPr>
          </w:p>
        </w:tc>
        <w:tc>
          <w:tcPr>
            <w:tcW w:w="960" w:type="dxa"/>
            <w:tcBorders>
              <w:top w:val="nil"/>
              <w:left w:val="nil"/>
              <w:bottom w:val="nil"/>
              <w:right w:val="nil"/>
            </w:tcBorders>
            <w:shd w:val="clear" w:color="auto" w:fill="auto"/>
            <w:noWrap/>
            <w:vAlign w:val="bottom"/>
            <w:hideMark/>
          </w:tcPr>
          <w:p w14:paraId="127972E4" w14:textId="77777777" w:rsidR="00D5517C" w:rsidRPr="00616069" w:rsidRDefault="00D5517C" w:rsidP="00D5517C">
            <w:pPr>
              <w:overflowPunct/>
              <w:autoSpaceDE/>
              <w:autoSpaceDN/>
              <w:adjustRightInd/>
              <w:jc w:val="left"/>
              <w:textAlignment w:val="auto"/>
              <w:rPr>
                <w:rFonts w:ascii="Times New Roman" w:hAnsi="Times New Roman"/>
                <w:sz w:val="20"/>
              </w:rPr>
            </w:pPr>
          </w:p>
        </w:tc>
      </w:tr>
      <w:tr w:rsidR="00D5517C" w:rsidRPr="00616069" w14:paraId="17E5FF51" w14:textId="77777777" w:rsidTr="008B2AC1">
        <w:trPr>
          <w:trHeight w:val="300"/>
        </w:trPr>
        <w:tc>
          <w:tcPr>
            <w:tcW w:w="10160" w:type="dxa"/>
            <w:gridSpan w:val="8"/>
            <w:tcBorders>
              <w:top w:val="nil"/>
              <w:left w:val="nil"/>
              <w:bottom w:val="nil"/>
              <w:right w:val="nil"/>
            </w:tcBorders>
            <w:shd w:val="clear" w:color="auto" w:fill="auto"/>
            <w:noWrap/>
            <w:vAlign w:val="bottom"/>
            <w:hideMark/>
          </w:tcPr>
          <w:p w14:paraId="2BF60336" w14:textId="77777777" w:rsidR="00D5517C" w:rsidRPr="00616069" w:rsidRDefault="00D5517C" w:rsidP="00D5517C">
            <w:pPr>
              <w:overflowPunct/>
              <w:autoSpaceDE/>
              <w:autoSpaceDN/>
              <w:adjustRightInd/>
              <w:jc w:val="left"/>
              <w:textAlignment w:val="auto"/>
              <w:rPr>
                <w:rFonts w:ascii="Calibri" w:hAnsi="Calibri" w:cs="Calibri"/>
                <w:color w:val="13576B"/>
                <w:sz w:val="22"/>
                <w:szCs w:val="22"/>
              </w:rPr>
            </w:pPr>
            <w:r w:rsidRPr="00616069">
              <w:rPr>
                <w:rFonts w:ascii="Calibri" w:hAnsi="Calibri" w:cs="Calibri"/>
                <w:color w:val="13576B"/>
                <w:sz w:val="22"/>
                <w:szCs w:val="22"/>
              </w:rPr>
              <w:t xml:space="preserve">Pozn.: barevný sloupec odpovídá úrokové sazbě posledního ČBA </w:t>
            </w:r>
            <w:proofErr w:type="spellStart"/>
            <w:r w:rsidRPr="00616069">
              <w:rPr>
                <w:rFonts w:ascii="Calibri" w:hAnsi="Calibri" w:cs="Calibri"/>
                <w:color w:val="13576B"/>
                <w:sz w:val="22"/>
                <w:szCs w:val="22"/>
              </w:rPr>
              <w:t>Hypomonitoru</w:t>
            </w:r>
            <w:proofErr w:type="spellEnd"/>
            <w:r w:rsidRPr="00616069">
              <w:rPr>
                <w:rFonts w:ascii="Calibri" w:hAnsi="Calibri" w:cs="Calibri"/>
                <w:color w:val="13576B"/>
                <w:sz w:val="22"/>
                <w:szCs w:val="22"/>
              </w:rPr>
              <w:t>, ostatní sazby jsou ilustrační</w:t>
            </w:r>
          </w:p>
        </w:tc>
      </w:tr>
    </w:tbl>
    <w:p w14:paraId="058F8495" w14:textId="77777777" w:rsidR="0000226C" w:rsidRPr="00616069" w:rsidRDefault="0000226C" w:rsidP="003417B4">
      <w:pPr>
        <w:rPr>
          <w:rFonts w:ascii="Calibri" w:hAnsi="Calibri" w:cs="Calibri"/>
          <w:b/>
          <w:color w:val="13576B"/>
          <w:sz w:val="24"/>
          <w:szCs w:val="24"/>
        </w:rPr>
      </w:pPr>
    </w:p>
    <w:p w14:paraId="3EFBFC3B" w14:textId="77777777" w:rsidR="00B233EC" w:rsidRDefault="00B233EC" w:rsidP="003E393C">
      <w:pPr>
        <w:rPr>
          <w:rFonts w:ascii="Calibri" w:hAnsi="Calibri" w:cs="Calibri"/>
          <w:b/>
          <w:color w:val="13576B"/>
          <w:sz w:val="24"/>
          <w:szCs w:val="24"/>
        </w:rPr>
      </w:pPr>
    </w:p>
    <w:p w14:paraId="333B7C8E" w14:textId="43C02FF1" w:rsidR="003E393C" w:rsidRPr="00616069" w:rsidRDefault="003E393C" w:rsidP="003E393C">
      <w:pPr>
        <w:rPr>
          <w:rFonts w:ascii="Calibri" w:hAnsi="Calibri" w:cs="Calibri"/>
          <w:b/>
          <w:color w:val="13576B"/>
          <w:sz w:val="24"/>
          <w:szCs w:val="24"/>
        </w:rPr>
      </w:pPr>
      <w:r w:rsidRPr="00616069">
        <w:rPr>
          <w:rFonts w:ascii="Calibri" w:hAnsi="Calibri" w:cs="Calibri"/>
          <w:b/>
          <w:color w:val="13576B"/>
          <w:sz w:val="24"/>
          <w:szCs w:val="24"/>
        </w:rPr>
        <w:t>Za celý rok 2023 se propadla aktivita na hypotečním trhu o čtvrtinu</w:t>
      </w:r>
    </w:p>
    <w:p w14:paraId="0C26148D" w14:textId="77777777" w:rsidR="003E393C" w:rsidRPr="00616069" w:rsidRDefault="003E393C" w:rsidP="003E393C">
      <w:pPr>
        <w:rPr>
          <w:rFonts w:ascii="Calibri" w:hAnsi="Calibri" w:cs="Calibri"/>
          <w:sz w:val="22"/>
          <w:szCs w:val="22"/>
        </w:rPr>
      </w:pPr>
      <w:r w:rsidRPr="00616069">
        <w:rPr>
          <w:rFonts w:ascii="Calibri" w:hAnsi="Calibri" w:cs="Calibri"/>
          <w:b/>
          <w:bCs/>
          <w:sz w:val="22"/>
          <w:szCs w:val="22"/>
        </w:rPr>
        <w:t>Za celý rok 2023 poskytly banky a stavební spořitelny hypoteční úvěry v objemu 150 mld. Kč,</w:t>
      </w:r>
      <w:r w:rsidRPr="00616069">
        <w:rPr>
          <w:rFonts w:ascii="Calibri" w:hAnsi="Calibri" w:cs="Calibri"/>
          <w:sz w:val="22"/>
          <w:szCs w:val="22"/>
        </w:rPr>
        <w:t xml:space="preserve"> z toho čistě nové </w:t>
      </w:r>
      <w:r w:rsidRPr="00616069">
        <w:rPr>
          <w:rFonts w:ascii="Calibri" w:hAnsi="Calibri" w:cs="Calibri"/>
          <w:b/>
          <w:bCs/>
          <w:sz w:val="22"/>
          <w:szCs w:val="22"/>
        </w:rPr>
        <w:t>úvěry bez refinancování činily 124 mld. Kč</w:t>
      </w:r>
      <w:r w:rsidRPr="00616069">
        <w:rPr>
          <w:rFonts w:ascii="Calibri" w:hAnsi="Calibri" w:cs="Calibri"/>
          <w:sz w:val="22"/>
          <w:szCs w:val="22"/>
        </w:rPr>
        <w:t xml:space="preserve">. Meziročně se jednalo o propad ve výši 24 %. To je dáno zejména skutečností, že první polovina roku 2022 byla stále z pohledu poskytnutých hypoték silná a na meziroční srovnání tak působí vyšší srovnávací základna z tohoto období. Za první polovinu roku 2023 se tak poskytlo meziročně o 50 % méně hypoték, za druhou polovinu roku 2023 naopak přes 50 % více. Ve srovnání s předpandemickými roky 2017-2019 byl objem poskytnutých hypoték v roce 2023 zhruba o třetinu nižší. </w:t>
      </w:r>
    </w:p>
    <w:p w14:paraId="2BEF2B35" w14:textId="77777777" w:rsidR="003E393C" w:rsidRPr="00616069" w:rsidRDefault="003E393C" w:rsidP="003E393C">
      <w:pPr>
        <w:rPr>
          <w:rFonts w:ascii="Calibri" w:hAnsi="Calibri" w:cs="Calibri"/>
          <w:b/>
          <w:color w:val="13576B"/>
          <w:sz w:val="23"/>
          <w:szCs w:val="23"/>
        </w:rPr>
      </w:pPr>
    </w:p>
    <w:p w14:paraId="5FD17B82" w14:textId="77777777" w:rsidR="005F105B" w:rsidRPr="00616069" w:rsidRDefault="005F105B" w:rsidP="003E393C">
      <w:pPr>
        <w:rPr>
          <w:rFonts w:ascii="Calibri" w:hAnsi="Calibri" w:cs="Calibri"/>
          <w:b/>
          <w:color w:val="13576B"/>
          <w:sz w:val="23"/>
          <w:szCs w:val="23"/>
        </w:rPr>
      </w:pPr>
    </w:p>
    <w:p w14:paraId="11595CC2" w14:textId="336517A3" w:rsidR="003E393C" w:rsidRPr="00616069" w:rsidRDefault="003E393C" w:rsidP="003E393C">
      <w:pPr>
        <w:rPr>
          <w:rFonts w:ascii="Calibri" w:hAnsi="Calibri" w:cs="Calibri"/>
          <w:sz w:val="22"/>
          <w:szCs w:val="22"/>
        </w:rPr>
      </w:pPr>
      <w:r w:rsidRPr="00616069">
        <w:rPr>
          <w:rFonts w:ascii="Calibri" w:hAnsi="Calibri" w:cs="Calibri"/>
          <w:b/>
          <w:color w:val="13576B"/>
          <w:sz w:val="23"/>
          <w:szCs w:val="23"/>
        </w:rPr>
        <w:t xml:space="preserve">Graf č. </w:t>
      </w:r>
      <w:r w:rsidR="0010371D" w:rsidRPr="00616069">
        <w:rPr>
          <w:rFonts w:ascii="Calibri" w:hAnsi="Calibri" w:cs="Calibri"/>
          <w:b/>
          <w:color w:val="13576B"/>
          <w:sz w:val="23"/>
          <w:szCs w:val="23"/>
        </w:rPr>
        <w:t>2</w:t>
      </w:r>
      <w:r w:rsidRPr="00616069">
        <w:rPr>
          <w:rFonts w:ascii="Calibri" w:hAnsi="Calibri" w:cs="Calibri"/>
          <w:b/>
          <w:color w:val="13576B"/>
          <w:sz w:val="23"/>
          <w:szCs w:val="23"/>
        </w:rPr>
        <w:t>: Celoroční objem a počet poskytnutých hypoték v letech 2021 až 2023</w:t>
      </w:r>
    </w:p>
    <w:p w14:paraId="2C48436A" w14:textId="77777777" w:rsidR="003E393C" w:rsidRPr="00616069" w:rsidRDefault="003E393C" w:rsidP="003E393C">
      <w:pPr>
        <w:rPr>
          <w:rFonts w:ascii="Calibri" w:hAnsi="Calibri" w:cs="Calibri"/>
          <w:sz w:val="22"/>
          <w:szCs w:val="22"/>
        </w:rPr>
      </w:pPr>
    </w:p>
    <w:p w14:paraId="6B4EF12D" w14:textId="48C50589" w:rsidR="003E393C" w:rsidRPr="00616069" w:rsidRDefault="003E393C" w:rsidP="003E393C">
      <w:pPr>
        <w:rPr>
          <w:rFonts w:ascii="Calibri" w:hAnsi="Calibri" w:cs="Calibri"/>
          <w:sz w:val="22"/>
          <w:szCs w:val="22"/>
        </w:rPr>
      </w:pPr>
      <w:r w:rsidRPr="00616069">
        <w:rPr>
          <w:rFonts w:ascii="Calibri" w:hAnsi="Calibri" w:cs="Calibri"/>
          <w:noProof/>
          <w:sz w:val="22"/>
          <w:szCs w:val="22"/>
        </w:rPr>
        <w:drawing>
          <wp:inline distT="0" distB="0" distL="0" distR="0" wp14:anchorId="1D67D3F7" wp14:editId="714D97CA">
            <wp:extent cx="6477000" cy="2346960"/>
            <wp:effectExtent l="0" t="0" r="0" b="0"/>
            <wp:docPr id="591764809"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graph&#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2346960"/>
                    </a:xfrm>
                    <a:prstGeom prst="rect">
                      <a:avLst/>
                    </a:prstGeom>
                    <a:noFill/>
                    <a:ln>
                      <a:noFill/>
                    </a:ln>
                  </pic:spPr>
                </pic:pic>
              </a:graphicData>
            </a:graphic>
          </wp:inline>
        </w:drawing>
      </w:r>
    </w:p>
    <w:p w14:paraId="4E8749FA" w14:textId="77777777" w:rsidR="003E393C" w:rsidRPr="00616069" w:rsidRDefault="003E393C" w:rsidP="003E393C">
      <w:pPr>
        <w:overflowPunct/>
        <w:autoSpaceDE/>
        <w:adjustRightInd/>
        <w:rPr>
          <w:rFonts w:ascii="Calibri Light" w:hAnsi="Calibri Light" w:cs="Calibri Light"/>
          <w:color w:val="13576B"/>
          <w:sz w:val="20"/>
        </w:rPr>
      </w:pPr>
      <w:r w:rsidRPr="00616069">
        <w:rPr>
          <w:rFonts w:ascii="Calibri Light" w:hAnsi="Calibri Light" w:cs="Calibri Light"/>
          <w:color w:val="13576B"/>
          <w:sz w:val="20"/>
        </w:rPr>
        <w:t xml:space="preserve">Pramen: ČBA </w:t>
      </w:r>
      <w:proofErr w:type="spellStart"/>
      <w:r w:rsidRPr="00616069">
        <w:rPr>
          <w:rFonts w:ascii="Calibri Light" w:hAnsi="Calibri Light" w:cs="Calibri Light"/>
          <w:color w:val="13576B"/>
          <w:sz w:val="20"/>
        </w:rPr>
        <w:t>Hypomonitor</w:t>
      </w:r>
      <w:proofErr w:type="spellEnd"/>
    </w:p>
    <w:p w14:paraId="372DD4C3" w14:textId="77777777" w:rsidR="003E393C" w:rsidRPr="00616069" w:rsidRDefault="003E393C" w:rsidP="003E393C">
      <w:pPr>
        <w:rPr>
          <w:rFonts w:ascii="Calibri" w:hAnsi="Calibri" w:cs="Calibri"/>
          <w:b/>
          <w:color w:val="13576B"/>
          <w:sz w:val="23"/>
          <w:szCs w:val="23"/>
        </w:rPr>
      </w:pPr>
    </w:p>
    <w:p w14:paraId="7448079E" w14:textId="77777777" w:rsidR="003E393C" w:rsidRPr="00616069" w:rsidRDefault="003E393C" w:rsidP="003E393C">
      <w:pPr>
        <w:rPr>
          <w:rFonts w:ascii="Calibri" w:hAnsi="Calibri" w:cs="Calibri"/>
          <w:b/>
          <w:color w:val="13576B"/>
          <w:sz w:val="23"/>
          <w:szCs w:val="23"/>
        </w:rPr>
      </w:pPr>
    </w:p>
    <w:p w14:paraId="22ED378A" w14:textId="017879D6" w:rsidR="006C53A0" w:rsidRPr="00616069" w:rsidRDefault="006C53A0" w:rsidP="007F41A0">
      <w:pPr>
        <w:rPr>
          <w:rFonts w:ascii="Calibri" w:hAnsi="Calibri" w:cs="Calibri"/>
          <w:b/>
          <w:color w:val="13576B"/>
          <w:sz w:val="23"/>
          <w:szCs w:val="23"/>
        </w:rPr>
      </w:pPr>
    </w:p>
    <w:p w14:paraId="1117B780" w14:textId="3B9498AC" w:rsidR="007F41A0" w:rsidRPr="00616069" w:rsidRDefault="007F41A0" w:rsidP="007F41A0">
      <w:pPr>
        <w:rPr>
          <w:rFonts w:ascii="Calibri" w:hAnsi="Calibri" w:cs="Calibri"/>
          <w:b/>
          <w:color w:val="13576B"/>
          <w:sz w:val="23"/>
          <w:szCs w:val="23"/>
        </w:rPr>
      </w:pPr>
      <w:r w:rsidRPr="00616069">
        <w:rPr>
          <w:rFonts w:ascii="Calibri" w:hAnsi="Calibri" w:cs="Calibri"/>
          <w:b/>
          <w:color w:val="13576B"/>
          <w:sz w:val="23"/>
          <w:szCs w:val="23"/>
        </w:rPr>
        <w:t>ČBA zveřejňuje souhrnné statistiky za celý bankovní trh</w:t>
      </w:r>
    </w:p>
    <w:p w14:paraId="55E76E82" w14:textId="1687FA19" w:rsidR="007F41A0" w:rsidRPr="00616069" w:rsidRDefault="007F41A0" w:rsidP="007F41A0">
      <w:pPr>
        <w:rPr>
          <w:rFonts w:ascii="Calibri" w:hAnsi="Calibri" w:cs="Calibri"/>
          <w:b/>
          <w:bCs/>
          <w:sz w:val="22"/>
          <w:szCs w:val="22"/>
        </w:rPr>
      </w:pPr>
      <w:r w:rsidRPr="00616069">
        <w:rPr>
          <w:rFonts w:ascii="Calibri" w:hAnsi="Calibri" w:cs="Calibri"/>
          <w:sz w:val="22"/>
          <w:szCs w:val="22"/>
        </w:rPr>
        <w:t xml:space="preserve">Česká bankovní asociace zveřejňuje ve spolupráci s členskými bankami nové souhrnné statistiky z trhu bydlení. Jde především o objemy a počty nově poskytnutých a refinancovaných hypoték a příslušnou úrokovou sazbu. Tyto statistiky publikuje ČBA v agregované podobě za celý bankovní sektor na pravidelné bázi vždy zhruba v polovině měsíce. Šetření se účastní všechny tuzemské banky a stavební spořitelny poskytující v ČR hypotéky. Data jsou dostupná od ledna roku 2020 v přiloženém souboru na stránkách </w:t>
      </w:r>
      <w:hyperlink r:id="rId10" w:history="1">
        <w:r w:rsidR="004674AA" w:rsidRPr="00616069">
          <w:rPr>
            <w:rStyle w:val="Hypertextovodkaz"/>
            <w:rFonts w:ascii="Calibri" w:hAnsi="Calibri" w:cs="Calibri"/>
            <w:b/>
            <w:bCs/>
            <w:sz w:val="22"/>
            <w:szCs w:val="22"/>
          </w:rPr>
          <w:t>www.cbaonline.cz</w:t>
        </w:r>
      </w:hyperlink>
      <w:r w:rsidR="004674AA" w:rsidRPr="00616069">
        <w:rPr>
          <w:rFonts w:ascii="Calibri" w:hAnsi="Calibri" w:cs="Calibri"/>
          <w:b/>
          <w:bCs/>
          <w:sz w:val="22"/>
          <w:szCs w:val="22"/>
        </w:rPr>
        <w:t xml:space="preserve">, </w:t>
      </w:r>
      <w:r w:rsidRPr="00616069">
        <w:rPr>
          <w:rFonts w:ascii="Calibri" w:hAnsi="Calibri" w:cs="Calibri"/>
          <w:sz w:val="22"/>
          <w:szCs w:val="22"/>
        </w:rPr>
        <w:t>kde lze také příslušné statistiky najít zvlášť pro banky a stavební spořitelny. Výše uvedené hodnoty jsou pro sektor jako celek</w:t>
      </w:r>
      <w:r w:rsidR="004674AA" w:rsidRPr="00616069">
        <w:rPr>
          <w:rFonts w:ascii="Calibri" w:hAnsi="Calibri" w:cs="Calibri"/>
          <w:sz w:val="22"/>
          <w:szCs w:val="22"/>
        </w:rPr>
        <w:t>, které lze v jednoduch</w:t>
      </w:r>
      <w:r w:rsidR="004C593C">
        <w:rPr>
          <w:rFonts w:ascii="Calibri" w:hAnsi="Calibri" w:cs="Calibri"/>
          <w:sz w:val="22"/>
          <w:szCs w:val="22"/>
        </w:rPr>
        <w:t>é</w:t>
      </w:r>
      <w:r w:rsidR="004674AA" w:rsidRPr="00616069">
        <w:rPr>
          <w:rFonts w:ascii="Calibri" w:hAnsi="Calibri" w:cs="Calibri"/>
          <w:sz w:val="22"/>
          <w:szCs w:val="22"/>
        </w:rPr>
        <w:t xml:space="preserve"> grafické podobě sledovat také na stránkách </w:t>
      </w:r>
      <w:hyperlink r:id="rId11" w:history="1">
        <w:r w:rsidR="004674AA" w:rsidRPr="00616069">
          <w:rPr>
            <w:rStyle w:val="Hypertextovodkaz"/>
            <w:rFonts w:ascii="Calibri" w:hAnsi="Calibri" w:cs="Calibri"/>
            <w:b/>
            <w:bCs/>
            <w:sz w:val="22"/>
            <w:szCs w:val="22"/>
          </w:rPr>
          <w:t>cbamonitor.cz</w:t>
        </w:r>
      </w:hyperlink>
      <w:r w:rsidRPr="00616069">
        <w:rPr>
          <w:rFonts w:ascii="Calibri" w:hAnsi="Calibri" w:cs="Calibri"/>
          <w:sz w:val="22"/>
          <w:szCs w:val="22"/>
        </w:rPr>
        <w:t>.</w:t>
      </w:r>
      <w:r w:rsidRPr="00616069">
        <w:rPr>
          <w:rFonts w:ascii="Calibri" w:hAnsi="Calibri" w:cs="Calibri"/>
          <w:i/>
          <w:iCs/>
          <w:sz w:val="20"/>
        </w:rPr>
        <w:t xml:space="preserve"> </w:t>
      </w:r>
    </w:p>
    <w:p w14:paraId="3F99F9FA" w14:textId="6DA0884C" w:rsidR="007F41A0" w:rsidRPr="00616069" w:rsidRDefault="007F41A0" w:rsidP="003417B4">
      <w:pPr>
        <w:rPr>
          <w:rFonts w:ascii="Calibri" w:hAnsi="Calibri" w:cs="Calibri"/>
          <w:sz w:val="22"/>
          <w:szCs w:val="22"/>
        </w:rPr>
      </w:pPr>
    </w:p>
    <w:p w14:paraId="4299C957" w14:textId="36BC1F78" w:rsidR="00B50D1B" w:rsidRPr="00616069" w:rsidRDefault="00B50D1B" w:rsidP="003417B4">
      <w:pPr>
        <w:rPr>
          <w:rFonts w:ascii="Calibri" w:hAnsi="Calibri" w:cs="Calibri"/>
          <w:sz w:val="22"/>
          <w:szCs w:val="22"/>
        </w:rPr>
      </w:pPr>
    </w:p>
    <w:p w14:paraId="6A100EFD" w14:textId="3381F438" w:rsidR="00100269" w:rsidRPr="00616069" w:rsidRDefault="00100269" w:rsidP="003417B4">
      <w:pPr>
        <w:rPr>
          <w:rFonts w:ascii="Calibri" w:hAnsi="Calibri" w:cs="Calibri"/>
          <w:sz w:val="22"/>
          <w:szCs w:val="22"/>
        </w:rPr>
      </w:pPr>
    </w:p>
    <w:p w14:paraId="5F378DF9" w14:textId="77777777" w:rsidR="00137560" w:rsidRPr="00616069" w:rsidRDefault="00137560" w:rsidP="00CA3B41">
      <w:pPr>
        <w:rPr>
          <w:rFonts w:ascii="Calibri" w:hAnsi="Calibri" w:cs="Calibri"/>
          <w:sz w:val="22"/>
          <w:szCs w:val="22"/>
        </w:rPr>
      </w:pPr>
    </w:p>
    <w:p w14:paraId="01290756" w14:textId="77777777" w:rsidR="00137560" w:rsidRPr="00616069" w:rsidRDefault="00137560" w:rsidP="00CA3B41">
      <w:pPr>
        <w:rPr>
          <w:rFonts w:ascii="Calibri" w:hAnsi="Calibri" w:cs="Calibri"/>
          <w:sz w:val="22"/>
          <w:szCs w:val="22"/>
        </w:rPr>
      </w:pPr>
    </w:p>
    <w:p w14:paraId="74E9F93F" w14:textId="77777777" w:rsidR="00137560" w:rsidRPr="00616069" w:rsidRDefault="00137560" w:rsidP="00CA3B41">
      <w:pPr>
        <w:rPr>
          <w:rFonts w:ascii="Calibri" w:hAnsi="Calibri" w:cs="Calibri"/>
          <w:sz w:val="22"/>
          <w:szCs w:val="22"/>
        </w:rPr>
      </w:pPr>
    </w:p>
    <w:p w14:paraId="75EDC910" w14:textId="77777777" w:rsidR="00137560" w:rsidRPr="00616069" w:rsidRDefault="00137560" w:rsidP="00CA3B41">
      <w:pPr>
        <w:rPr>
          <w:rFonts w:ascii="Calibri" w:hAnsi="Calibri" w:cs="Calibri"/>
          <w:sz w:val="22"/>
          <w:szCs w:val="22"/>
        </w:rPr>
      </w:pPr>
    </w:p>
    <w:p w14:paraId="4AE26056" w14:textId="77777777" w:rsidR="00137560" w:rsidRPr="00616069" w:rsidRDefault="00137560" w:rsidP="00CA3B41">
      <w:pPr>
        <w:rPr>
          <w:rFonts w:ascii="Calibri" w:hAnsi="Calibri" w:cs="Calibri"/>
          <w:sz w:val="22"/>
          <w:szCs w:val="22"/>
        </w:rPr>
      </w:pPr>
    </w:p>
    <w:p w14:paraId="79952D08" w14:textId="4596F283" w:rsidR="00C42F00" w:rsidRPr="00B04FE2" w:rsidRDefault="004975FD" w:rsidP="00CA3B41">
      <w:pPr>
        <w:rPr>
          <w:rFonts w:ascii="Calibri" w:hAnsi="Calibri" w:cs="Calibri"/>
          <w:sz w:val="22"/>
          <w:szCs w:val="22"/>
        </w:rPr>
      </w:pPr>
      <w:r w:rsidRPr="00616069">
        <w:rPr>
          <w:rFonts w:ascii="Calibri" w:hAnsi="Calibri" w:cs="Calibri"/>
          <w:i/>
          <w:iCs/>
          <w:noProof/>
          <w:sz w:val="20"/>
        </w:rPr>
        <w:lastRenderedPageBreak/>
        <mc:AlternateContent>
          <mc:Choice Requires="wps">
            <w:drawing>
              <wp:anchor distT="45720" distB="45720" distL="114300" distR="114300" simplePos="0" relativeHeight="251668480" behindDoc="0" locked="0" layoutInCell="1" allowOverlap="1" wp14:anchorId="025DA650" wp14:editId="15515F89">
                <wp:simplePos x="0" y="0"/>
                <wp:positionH relativeFrom="margin">
                  <wp:align>center</wp:align>
                </wp:positionH>
                <wp:positionV relativeFrom="paragraph">
                  <wp:posOffset>282527</wp:posOffset>
                </wp:positionV>
                <wp:extent cx="6574790" cy="467550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4675505"/>
                        </a:xfrm>
                        <a:prstGeom prst="rect">
                          <a:avLst/>
                        </a:prstGeom>
                        <a:solidFill>
                          <a:srgbClr val="13576B">
                            <a:alpha val="83922"/>
                          </a:srgbClr>
                        </a:solidFill>
                        <a:ln w="9525">
                          <a:noFill/>
                          <a:miter lim="800000"/>
                          <a:headEnd/>
                          <a:tailEnd/>
                        </a:ln>
                      </wps:spPr>
                      <wps:txbx>
                        <w:txbxContent>
                          <w:p w14:paraId="523681E4" w14:textId="20B4FCBA" w:rsidR="0001227F" w:rsidRPr="00616069" w:rsidRDefault="0001227F" w:rsidP="0001227F">
                            <w:pPr>
                              <w:spacing w:line="276" w:lineRule="auto"/>
                              <w:rPr>
                                <w:rFonts w:ascii="Calibri" w:hAnsi="Calibri" w:cs="Calibri"/>
                                <w:b/>
                                <w:bCs/>
                                <w:color w:val="FFFFFF" w:themeColor="background1"/>
                                <w:sz w:val="22"/>
                                <w:szCs w:val="22"/>
                              </w:rPr>
                            </w:pPr>
                            <w:r w:rsidRPr="00616069">
                              <w:rPr>
                                <w:rFonts w:ascii="Calibri" w:hAnsi="Calibri" w:cs="Calibri"/>
                                <w:b/>
                                <w:bCs/>
                                <w:color w:val="FFFFFF" w:themeColor="background1"/>
                                <w:sz w:val="22"/>
                                <w:szCs w:val="22"/>
                              </w:rPr>
                              <w:t xml:space="preserve">Metodika ČBA </w:t>
                            </w:r>
                            <w:proofErr w:type="spellStart"/>
                            <w:r w:rsidRPr="00616069">
                              <w:rPr>
                                <w:rFonts w:ascii="Calibri" w:hAnsi="Calibri" w:cs="Calibri"/>
                                <w:b/>
                                <w:bCs/>
                                <w:color w:val="FFFFFF" w:themeColor="background1"/>
                                <w:sz w:val="22"/>
                                <w:szCs w:val="22"/>
                              </w:rPr>
                              <w:t>Hypomonitoru</w:t>
                            </w:r>
                            <w:proofErr w:type="spellEnd"/>
                          </w:p>
                          <w:p w14:paraId="7401467C" w14:textId="77777777" w:rsidR="00414AD4" w:rsidRPr="00616069" w:rsidRDefault="00414AD4" w:rsidP="0001227F">
                            <w:pPr>
                              <w:spacing w:line="276" w:lineRule="auto"/>
                              <w:rPr>
                                <w:rFonts w:ascii="Calibri" w:hAnsi="Calibri" w:cs="Calibri"/>
                                <w:color w:val="FFFFFF" w:themeColor="background1"/>
                                <w:szCs w:val="18"/>
                              </w:rPr>
                            </w:pPr>
                          </w:p>
                          <w:p w14:paraId="1021EABD" w14:textId="16015784" w:rsidR="0001227F" w:rsidRPr="00616069" w:rsidRDefault="00414AD4" w:rsidP="0001227F">
                            <w:pPr>
                              <w:spacing w:line="276" w:lineRule="auto"/>
                              <w:rPr>
                                <w:rFonts w:ascii="Calibri" w:hAnsi="Calibri" w:cs="Calibri"/>
                                <w:color w:val="FFFFFF" w:themeColor="background1"/>
                                <w:szCs w:val="18"/>
                              </w:rPr>
                            </w:pPr>
                            <w:r w:rsidRPr="00616069">
                              <w:rPr>
                                <w:rFonts w:ascii="Calibri" w:hAnsi="Calibri" w:cs="Calibri"/>
                                <w:color w:val="FFFFFF" w:themeColor="background1"/>
                                <w:szCs w:val="18"/>
                              </w:rPr>
                              <w:t xml:space="preserve">ČBA </w:t>
                            </w:r>
                            <w:proofErr w:type="spellStart"/>
                            <w:r w:rsidRPr="00616069">
                              <w:rPr>
                                <w:rFonts w:ascii="Calibri" w:hAnsi="Calibri" w:cs="Calibri"/>
                                <w:color w:val="FFFFFF" w:themeColor="background1"/>
                                <w:szCs w:val="18"/>
                              </w:rPr>
                              <w:t>Hypomonitor</w:t>
                            </w:r>
                            <w:proofErr w:type="spellEnd"/>
                            <w:r w:rsidRPr="00616069">
                              <w:rPr>
                                <w:rFonts w:ascii="Calibri" w:hAnsi="Calibri" w:cs="Calibri"/>
                                <w:color w:val="FFFFFF" w:themeColor="background1"/>
                                <w:szCs w:val="18"/>
                              </w:rPr>
                              <w:t xml:space="preserve"> </w:t>
                            </w:r>
                            <w:r w:rsidR="00FB47DE" w:rsidRPr="00616069">
                              <w:rPr>
                                <w:rFonts w:ascii="Calibri" w:hAnsi="Calibri" w:cs="Calibri"/>
                                <w:color w:val="FFFFFF" w:themeColor="background1"/>
                                <w:szCs w:val="18"/>
                              </w:rPr>
                              <w:t xml:space="preserve">rozděluje poskytnuté hypoteční úvěry </w:t>
                            </w:r>
                            <w:r w:rsidR="00810DCF" w:rsidRPr="00616069">
                              <w:rPr>
                                <w:rFonts w:ascii="Calibri" w:hAnsi="Calibri" w:cs="Calibri"/>
                                <w:color w:val="FFFFFF" w:themeColor="background1"/>
                                <w:szCs w:val="18"/>
                              </w:rPr>
                              <w:t>bank a stavebních spořitelen</w:t>
                            </w:r>
                            <w:r w:rsidR="00B426A2" w:rsidRPr="00616069">
                              <w:rPr>
                                <w:rFonts w:ascii="Calibri" w:hAnsi="Calibri" w:cs="Calibri"/>
                                <w:color w:val="FFFFFF" w:themeColor="background1"/>
                                <w:szCs w:val="18"/>
                              </w:rPr>
                              <w:t xml:space="preserve"> domácnostem</w:t>
                            </w:r>
                            <w:r w:rsidR="00810DCF" w:rsidRPr="00616069">
                              <w:rPr>
                                <w:rFonts w:ascii="Calibri" w:hAnsi="Calibri" w:cs="Calibri"/>
                                <w:color w:val="FFFFFF" w:themeColor="background1"/>
                                <w:szCs w:val="18"/>
                              </w:rPr>
                              <w:t xml:space="preserve"> </w:t>
                            </w:r>
                            <w:r w:rsidRPr="00616069">
                              <w:rPr>
                                <w:rFonts w:ascii="Calibri" w:hAnsi="Calibri" w:cs="Calibri"/>
                                <w:color w:val="FFFFFF" w:themeColor="background1"/>
                                <w:szCs w:val="18"/>
                              </w:rPr>
                              <w:t>do několika kategorií tak, aby byly rozlišeny nové úvěry od refinancovaných či interních refixací</w:t>
                            </w:r>
                            <w:r w:rsidR="000B70C8" w:rsidRPr="00616069">
                              <w:rPr>
                                <w:rFonts w:ascii="Calibri" w:hAnsi="Calibri" w:cs="Calibri"/>
                                <w:color w:val="FFFFFF" w:themeColor="background1"/>
                                <w:szCs w:val="18"/>
                              </w:rPr>
                              <w:t>.</w:t>
                            </w:r>
                            <w:r w:rsidRPr="00616069">
                              <w:rPr>
                                <w:rFonts w:ascii="Calibri" w:hAnsi="Calibri" w:cs="Calibri"/>
                                <w:color w:val="FFFFFF" w:themeColor="background1"/>
                                <w:szCs w:val="18"/>
                              </w:rPr>
                              <w:t xml:space="preserve"> Nové úvěry jsou </w:t>
                            </w:r>
                            <w:r w:rsidR="00581CC1" w:rsidRPr="00616069">
                              <w:rPr>
                                <w:rFonts w:ascii="Calibri" w:hAnsi="Calibri" w:cs="Calibri"/>
                                <w:color w:val="FFFFFF" w:themeColor="background1"/>
                                <w:szCs w:val="18"/>
                              </w:rPr>
                              <w:t>pak</w:t>
                            </w:r>
                            <w:r w:rsidRPr="00616069">
                              <w:rPr>
                                <w:rFonts w:ascii="Calibri" w:hAnsi="Calibri" w:cs="Calibri"/>
                                <w:color w:val="FFFFFF" w:themeColor="background1"/>
                                <w:szCs w:val="18"/>
                              </w:rPr>
                              <w:t xml:space="preserve"> vykazovány v</w:t>
                            </w:r>
                            <w:r w:rsidR="00581CC1" w:rsidRPr="00616069">
                              <w:rPr>
                                <w:rFonts w:ascii="Calibri" w:hAnsi="Calibri" w:cs="Calibri"/>
                                <w:color w:val="FFFFFF" w:themeColor="background1"/>
                                <w:szCs w:val="18"/>
                              </w:rPr>
                              <w:t> </w:t>
                            </w:r>
                            <w:r w:rsidRPr="00616069">
                              <w:rPr>
                                <w:rFonts w:ascii="Calibri" w:hAnsi="Calibri" w:cs="Calibri"/>
                                <w:color w:val="FFFFFF" w:themeColor="background1"/>
                                <w:szCs w:val="18"/>
                              </w:rPr>
                              <w:t>kategoriích</w:t>
                            </w:r>
                            <w:r w:rsidR="00581CC1" w:rsidRPr="00616069">
                              <w:rPr>
                                <w:rFonts w:ascii="Calibri" w:hAnsi="Calibri" w:cs="Calibri"/>
                                <w:color w:val="FFFFFF" w:themeColor="background1"/>
                                <w:szCs w:val="18"/>
                              </w:rPr>
                              <w:t xml:space="preserve"> dle účelu úvěru</w:t>
                            </w:r>
                            <w:r w:rsidRPr="00616069">
                              <w:rPr>
                                <w:rFonts w:ascii="Calibri" w:hAnsi="Calibri" w:cs="Calibri"/>
                                <w:color w:val="FFFFFF" w:themeColor="background1"/>
                                <w:szCs w:val="18"/>
                              </w:rPr>
                              <w:t>:</w:t>
                            </w:r>
                          </w:p>
                          <w:p w14:paraId="58E707E8" w14:textId="77777777" w:rsidR="0001227F" w:rsidRPr="00616069" w:rsidRDefault="0001227F" w:rsidP="0001227F">
                            <w:pPr>
                              <w:spacing w:line="276" w:lineRule="auto"/>
                              <w:rPr>
                                <w:rFonts w:ascii="Calibri" w:hAnsi="Calibri" w:cs="Calibri"/>
                                <w:color w:val="FFFFFF" w:themeColor="background1"/>
                              </w:rPr>
                            </w:pPr>
                          </w:p>
                          <w:p w14:paraId="3227247A" w14:textId="11714118" w:rsidR="0001227F" w:rsidRPr="00616069" w:rsidRDefault="00E818C3" w:rsidP="00E818C3">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1. </w:t>
                            </w:r>
                            <w:r w:rsidR="0001227F" w:rsidRPr="00616069">
                              <w:rPr>
                                <w:rFonts w:ascii="Calibri" w:hAnsi="Calibri" w:cs="Calibri"/>
                                <w:b/>
                                <w:color w:val="FFFFFF" w:themeColor="background1"/>
                              </w:rPr>
                              <w:t>Nové úvěry</w:t>
                            </w:r>
                          </w:p>
                          <w:p w14:paraId="22AF3257" w14:textId="77777777"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jejichž celý objem poprvé vstupuje do ekonomiky. Do této kategorie </w:t>
                            </w:r>
                            <w:proofErr w:type="gramStart"/>
                            <w:r w:rsidRPr="00616069">
                              <w:rPr>
                                <w:rFonts w:ascii="Calibri" w:hAnsi="Calibri" w:cs="Calibri"/>
                                <w:color w:val="FFFFFF" w:themeColor="background1"/>
                              </w:rPr>
                              <w:t>nepatří</w:t>
                            </w:r>
                            <w:proofErr w:type="gramEnd"/>
                            <w:r w:rsidRPr="00616069">
                              <w:rPr>
                                <w:rFonts w:ascii="Calibri" w:hAnsi="Calibri" w:cs="Calibri"/>
                                <w:color w:val="FFFFFF" w:themeColor="background1"/>
                              </w:rPr>
                              <w:t xml:space="preserve"> konsolidace úvěrů anebo refinancování úvěrů. Dělí se do tří kategorií:</w:t>
                            </w:r>
                          </w:p>
                          <w:p w14:paraId="362AFB2A" w14:textId="77777777"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Nákup nemovitosti</w:t>
                            </w:r>
                            <w:r w:rsidRPr="00616069">
                              <w:rPr>
                                <w:rFonts w:ascii="Calibri" w:hAnsi="Calibri" w:cs="Calibri"/>
                                <w:color w:val="FFFFFF" w:themeColor="background1"/>
                              </w:rPr>
                              <w:t xml:space="preserve"> </w:t>
                            </w:r>
                          </w:p>
                          <w:p w14:paraId="29F23FA5" w14:textId="6EE96893"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Výstavba nemovitosti</w:t>
                            </w:r>
                            <w:r w:rsidRPr="00616069">
                              <w:rPr>
                                <w:rFonts w:ascii="Calibri" w:hAnsi="Calibri" w:cs="Calibri"/>
                                <w:color w:val="FFFFFF" w:themeColor="background1"/>
                              </w:rPr>
                              <w:t xml:space="preserve"> – včetně rekonstrukce nemovitosti </w:t>
                            </w:r>
                          </w:p>
                          <w:p w14:paraId="4D80580F" w14:textId="11E0715F"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Ostatní nová ujednání</w:t>
                            </w:r>
                            <w:r w:rsidRPr="00616069">
                              <w:rPr>
                                <w:rFonts w:ascii="Calibri" w:hAnsi="Calibri" w:cs="Calibri"/>
                                <w:color w:val="FFFFFF" w:themeColor="background1"/>
                              </w:rPr>
                              <w:t xml:space="preserve"> – pouze nové úvěry, které nijak nesouvisí s koupí nebo výstavbou nemovitosti, např. tzv. americké hypotéky, vypořádání SJM, zpětná úhrada kupní ceny, vypořádání dědického podílu, vypořádání družstevního </w:t>
                            </w:r>
                            <w:proofErr w:type="gramStart"/>
                            <w:r w:rsidRPr="00616069">
                              <w:rPr>
                                <w:rFonts w:ascii="Calibri" w:hAnsi="Calibri" w:cs="Calibri"/>
                                <w:color w:val="FFFFFF" w:themeColor="background1"/>
                              </w:rPr>
                              <w:t>podílu,</w:t>
                            </w:r>
                            <w:proofErr w:type="gramEnd"/>
                            <w:r w:rsidRPr="00616069">
                              <w:rPr>
                                <w:rFonts w:ascii="Calibri" w:hAnsi="Calibri" w:cs="Calibri"/>
                                <w:color w:val="FFFFFF" w:themeColor="background1"/>
                              </w:rPr>
                              <w:t xml:space="preserve"> atp.</w:t>
                            </w:r>
                          </w:p>
                          <w:p w14:paraId="4FBF1D5A" w14:textId="77777777" w:rsidR="0001227F" w:rsidRPr="00616069" w:rsidRDefault="0001227F" w:rsidP="0001227F">
                            <w:pPr>
                              <w:spacing w:line="276" w:lineRule="auto"/>
                              <w:ind w:left="708"/>
                              <w:rPr>
                                <w:rFonts w:ascii="Calibri" w:hAnsi="Calibri" w:cs="Calibri"/>
                                <w:color w:val="FFFFFF" w:themeColor="background1"/>
                              </w:rPr>
                            </w:pPr>
                          </w:p>
                          <w:p w14:paraId="71D5E0BB" w14:textId="7D112C27"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2. </w:t>
                            </w:r>
                            <w:r w:rsidR="0001227F" w:rsidRPr="00616069">
                              <w:rPr>
                                <w:rFonts w:ascii="Calibri" w:hAnsi="Calibri" w:cs="Calibri"/>
                                <w:b/>
                                <w:color w:val="FFFFFF" w:themeColor="background1"/>
                              </w:rPr>
                              <w:t>Refinancované úvěry z jiné finanční instituce</w:t>
                            </w:r>
                          </w:p>
                          <w:p w14:paraId="351B5A60" w14:textId="0B5DCBB6"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vznikly refinancováním jednoho nebo více úvěrů z jiné finanční instituce než </w:t>
                            </w:r>
                            <w:r w:rsidR="00973197" w:rsidRPr="00616069">
                              <w:rPr>
                                <w:rFonts w:ascii="Calibri" w:hAnsi="Calibri" w:cs="Calibri"/>
                                <w:color w:val="FFFFFF" w:themeColor="background1"/>
                              </w:rPr>
                              <w:t>té</w:t>
                            </w:r>
                            <w:r w:rsidRPr="00616069">
                              <w:rPr>
                                <w:rFonts w:ascii="Calibri" w:hAnsi="Calibri" w:cs="Calibri"/>
                                <w:color w:val="FFFFFF" w:themeColor="background1"/>
                              </w:rPr>
                              <w:t xml:space="preserve"> vykazující. Bez ohledu na výši refinancované částky a bez ohledu na výši případného navýšení se celková výše nově vzniklého úvěru vykazuje do této kategorie. </w:t>
                            </w:r>
                          </w:p>
                          <w:p w14:paraId="7566D2D6" w14:textId="77777777" w:rsidR="0001227F" w:rsidRPr="00616069" w:rsidRDefault="0001227F" w:rsidP="0001227F">
                            <w:pPr>
                              <w:spacing w:line="276" w:lineRule="auto"/>
                              <w:rPr>
                                <w:rFonts w:ascii="Calibri" w:hAnsi="Calibri" w:cs="Calibri"/>
                                <w:color w:val="FFFFFF" w:themeColor="background1"/>
                              </w:rPr>
                            </w:pPr>
                          </w:p>
                          <w:p w14:paraId="04B36444" w14:textId="4F20B25F"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3. </w:t>
                            </w:r>
                            <w:r w:rsidR="0001227F" w:rsidRPr="00616069">
                              <w:rPr>
                                <w:rFonts w:ascii="Calibri" w:hAnsi="Calibri" w:cs="Calibri"/>
                                <w:b/>
                                <w:color w:val="FFFFFF" w:themeColor="background1"/>
                              </w:rPr>
                              <w:t>Navýšené anebo interně refinancované úvěry</w:t>
                            </w:r>
                          </w:p>
                          <w:p w14:paraId="711A3661" w14:textId="2A271010"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již byly </w:t>
                            </w:r>
                            <w:r w:rsidR="00647A7A" w:rsidRPr="00616069">
                              <w:rPr>
                                <w:rFonts w:ascii="Calibri" w:hAnsi="Calibri" w:cs="Calibri"/>
                                <w:color w:val="FFFFFF" w:themeColor="background1"/>
                              </w:rPr>
                              <w:t xml:space="preserve">v </w:t>
                            </w:r>
                            <w:r w:rsidRPr="00616069">
                              <w:rPr>
                                <w:rFonts w:ascii="Calibri" w:hAnsi="Calibri" w:cs="Calibri"/>
                                <w:color w:val="FFFFFF" w:themeColor="background1"/>
                              </w:rPr>
                              <w:t>předchozí</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vykazované</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období součástí portfolia vykazujícího subjektu, a ve vykazovaném období u nich došlo k některé z následujících změn:</w:t>
                            </w:r>
                          </w:p>
                          <w:p w14:paraId="4A6B00C0" w14:textId="77777777" w:rsidR="00E818C3"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navýšení sjednané částky </w:t>
                            </w:r>
                          </w:p>
                          <w:p w14:paraId="44682079" w14:textId="72C23671" w:rsidR="0001227F"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došlo k takovým změnám, že původní úvěr byl v rámci vykazujícího subjektu refinancován/převeden na nový úvěr. </w:t>
                            </w:r>
                            <w:r w:rsidR="00E74228" w:rsidRPr="00616069">
                              <w:rPr>
                                <w:rFonts w:ascii="Calibri" w:hAnsi="Calibri" w:cs="Calibri"/>
                                <w:color w:val="FFFFFF" w:themeColor="background1"/>
                              </w:rPr>
                              <w:t>J</w:t>
                            </w:r>
                            <w:r w:rsidRPr="00616069">
                              <w:rPr>
                                <w:rFonts w:ascii="Calibri" w:hAnsi="Calibri" w:cs="Calibri"/>
                                <w:color w:val="FFFFFF" w:themeColor="background1"/>
                              </w:rPr>
                              <w:t>de</w:t>
                            </w:r>
                            <w:r w:rsidR="00CD28EC" w:rsidRPr="00616069">
                              <w:rPr>
                                <w:rFonts w:ascii="Calibri" w:hAnsi="Calibri" w:cs="Calibri"/>
                                <w:color w:val="FFFFFF" w:themeColor="background1"/>
                              </w:rPr>
                              <w:t xml:space="preserve"> tak o</w:t>
                            </w:r>
                            <w:r w:rsidRPr="00616069">
                              <w:rPr>
                                <w:rFonts w:ascii="Calibri" w:hAnsi="Calibri" w:cs="Calibri"/>
                                <w:color w:val="FFFFFF" w:themeColor="background1"/>
                              </w:rPr>
                              <w:t xml:space="preserve"> skutečně </w:t>
                            </w:r>
                            <w:r w:rsidR="00E74228" w:rsidRPr="00616069">
                              <w:rPr>
                                <w:rFonts w:ascii="Calibri" w:hAnsi="Calibri" w:cs="Calibri"/>
                                <w:color w:val="FFFFFF" w:themeColor="background1"/>
                              </w:rPr>
                              <w:t>novou smlouvu</w:t>
                            </w:r>
                            <w:r w:rsidR="00132EE9" w:rsidRPr="00616069">
                              <w:rPr>
                                <w:rFonts w:ascii="Calibri" w:hAnsi="Calibri" w:cs="Calibri"/>
                                <w:color w:val="FFFFFF" w:themeColor="background1"/>
                              </w:rPr>
                              <w:t xml:space="preserve">, nikoli např. jen </w:t>
                            </w:r>
                            <w:r w:rsidR="007B79F6" w:rsidRPr="00616069">
                              <w:rPr>
                                <w:rFonts w:ascii="Calibri" w:hAnsi="Calibri" w:cs="Calibri"/>
                                <w:color w:val="FFFFFF" w:themeColor="background1"/>
                              </w:rPr>
                              <w:t>nové ujednání v rámci refi</w:t>
                            </w:r>
                            <w:r w:rsidR="000F02C1" w:rsidRPr="00616069">
                              <w:rPr>
                                <w:rFonts w:ascii="Calibri" w:hAnsi="Calibri" w:cs="Calibri"/>
                                <w:color w:val="FFFFFF" w:themeColor="background1"/>
                              </w:rPr>
                              <w:t xml:space="preserve">xace </w:t>
                            </w:r>
                            <w:r w:rsidR="00132EE9" w:rsidRPr="00616069">
                              <w:rPr>
                                <w:rFonts w:ascii="Calibri" w:hAnsi="Calibri" w:cs="Calibri"/>
                                <w:color w:val="FFFFFF" w:themeColor="background1"/>
                              </w:rPr>
                              <w:t xml:space="preserve">stávající smlouvy. Proto je objem takových úvěru ve statistice ČBA nižší oproti „ostatním novým ujednáním“ ve statistice České </w:t>
                            </w:r>
                            <w:r w:rsidR="002D3F94" w:rsidRPr="00616069">
                              <w:rPr>
                                <w:rFonts w:ascii="Calibri" w:hAnsi="Calibri" w:cs="Calibri"/>
                                <w:color w:val="FFFFFF" w:themeColor="background1"/>
                              </w:rPr>
                              <w:t>n</w:t>
                            </w:r>
                            <w:r w:rsidR="00132EE9" w:rsidRPr="00616069">
                              <w:rPr>
                                <w:rFonts w:ascii="Calibri" w:hAnsi="Calibri" w:cs="Calibri"/>
                                <w:color w:val="FFFFFF" w:themeColor="background1"/>
                              </w:rPr>
                              <w:t xml:space="preserve">árodní </w:t>
                            </w:r>
                            <w:r w:rsidR="002D3F94" w:rsidRPr="00616069">
                              <w:rPr>
                                <w:rFonts w:ascii="Calibri" w:hAnsi="Calibri" w:cs="Calibri"/>
                                <w:color w:val="FFFFFF" w:themeColor="background1"/>
                              </w:rPr>
                              <w:t>b</w:t>
                            </w:r>
                            <w:r w:rsidR="00132EE9" w:rsidRPr="00616069">
                              <w:rPr>
                                <w:rFonts w:ascii="Calibri" w:hAnsi="Calibri" w:cs="Calibri"/>
                                <w:color w:val="FFFFFF" w:themeColor="background1"/>
                              </w:rPr>
                              <w:t>anky.</w:t>
                            </w:r>
                          </w:p>
                          <w:p w14:paraId="1FAF8B9B" w14:textId="4C474A58" w:rsidR="006F08E1" w:rsidRPr="00616069" w:rsidRDefault="006F08E1" w:rsidP="006F08E1">
                            <w:pPr>
                              <w:overflowPunct/>
                              <w:autoSpaceDE/>
                              <w:autoSpaceDN/>
                              <w:adjustRightInd/>
                              <w:spacing w:line="276" w:lineRule="auto"/>
                              <w:jc w:val="left"/>
                              <w:textAlignment w:val="auto"/>
                              <w:rPr>
                                <w:rFonts w:ascii="Calibri" w:hAnsi="Calibri" w:cs="Calibri"/>
                                <w:color w:val="FFFFFF" w:themeColor="background1"/>
                              </w:rPr>
                            </w:pPr>
                          </w:p>
                          <w:p w14:paraId="65FC0189" w14:textId="08A7140E" w:rsidR="006F08E1" w:rsidRPr="00616069" w:rsidRDefault="001F49EA" w:rsidP="006F08E1">
                            <w:p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Data pro ČBA </w:t>
                            </w:r>
                            <w:proofErr w:type="spellStart"/>
                            <w:r w:rsidRPr="00616069">
                              <w:rPr>
                                <w:rFonts w:ascii="Calibri" w:hAnsi="Calibri" w:cs="Calibri"/>
                                <w:color w:val="FFFFFF" w:themeColor="background1"/>
                              </w:rPr>
                              <w:t>Hypomonitor</w:t>
                            </w:r>
                            <w:proofErr w:type="spellEnd"/>
                            <w:r w:rsidRPr="00616069">
                              <w:rPr>
                                <w:rFonts w:ascii="Calibri" w:hAnsi="Calibri" w:cs="Calibri"/>
                                <w:color w:val="FFFFFF" w:themeColor="background1"/>
                              </w:rPr>
                              <w:t xml:space="preserve"> poskytují následující banky a stavební spořitelny: Air Bank, Česká spořitelna, ČSOB, ČSOB Stavební spořitelna, Fio banka, Hypoteční banka, Komerční banka, mBank, Modrá pyramida, MONETA Money Bank, MONETA Stavební spořitelna, </w:t>
                            </w:r>
                            <w:proofErr w:type="spellStart"/>
                            <w:r w:rsidRPr="00616069">
                              <w:rPr>
                                <w:rFonts w:ascii="Calibri" w:hAnsi="Calibri" w:cs="Calibri"/>
                                <w:color w:val="FFFFFF" w:themeColor="background1"/>
                              </w:rPr>
                              <w:t>Oberbank</w:t>
                            </w:r>
                            <w:proofErr w:type="spellEnd"/>
                            <w:r w:rsidRPr="00616069">
                              <w:rPr>
                                <w:rFonts w:ascii="Calibri" w:hAnsi="Calibri" w:cs="Calibri"/>
                                <w:color w:val="FFFFFF" w:themeColor="background1"/>
                              </w:rPr>
                              <w:t xml:space="preserve">, </w:t>
                            </w:r>
                            <w:proofErr w:type="spellStart"/>
                            <w:r w:rsidRPr="00616069">
                              <w:rPr>
                                <w:rFonts w:ascii="Calibri" w:hAnsi="Calibri" w:cs="Calibri"/>
                                <w:color w:val="FFFFFF" w:themeColor="background1"/>
                              </w:rPr>
                              <w:t>Raiffeisen</w:t>
                            </w:r>
                            <w:proofErr w:type="spellEnd"/>
                            <w:r w:rsidRPr="00616069">
                              <w:rPr>
                                <w:rFonts w:ascii="Calibri" w:hAnsi="Calibri" w:cs="Calibri"/>
                                <w:color w:val="FFFFFF" w:themeColor="background1"/>
                              </w:rPr>
                              <w:t xml:space="preserve"> stavební spořitelna, Raiffeisenbank, Stavební spořitelna České spořitelny, UniCredit Bank.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DA650" id="_x0000_t202" coordsize="21600,21600" o:spt="202" path="m,l,21600r21600,l21600,xe">
                <v:stroke joinstyle="miter"/>
                <v:path gradientshapeok="t" o:connecttype="rect"/>
              </v:shapetype>
              <v:shape id="Textové pole 2" o:spid="_x0000_s1029" type="#_x0000_t202" style="position:absolute;left:0;text-align:left;margin-left:0;margin-top:22.25pt;width:517.7pt;height:368.1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0RJQIAAB8EAAAOAAAAZHJzL2Uyb0RvYy54bWysU9uO2yAQfa/Uf0C8N3YuzsWKs9rNdqtK&#10;24u07QdgjGNUzFAgsdOv3wF7s2n7VpUHxDDMmZkzh+1N3ypyEtZJ0AWdTlJKhOZQSX0o6PdvD+/W&#10;lDjPdMUUaFHQs3D0Zvf2zbYzuZhBA6oSliCIdnlnCtp4b/IkcbwRLXMTMEKjswbbMo+mPSSVZR2i&#10;tyqZpeky6cBWxgIXzuHt/eCku4hf14L7L3XthCeqoFibj7uNexn2ZLdl+cEy00g+lsH+oYqWSY1J&#10;L1D3zDNytPIvqFZyCw5qP+HQJlDXkovYA3YzTf/o5qlhRsRekBxnLjS5/wfLP5+ezFdLfH8HPQ4w&#10;NuHMI/AfjmjYN0wfxK210DWCVZh4GihLOuPyMTRQ7XIXQMruE1Q4ZHb0EIH62raBFeyTIDoO4Hwh&#10;XfSecLxcZqvFaoMujr7FcpVlaRZzsPwl3FjnPwhoSTgU1OJUIzw7PTofymH5y5OQzYGS1YNUKhr2&#10;UO6VJSeGCpjOs9XybohVpmHD7Xq+mc3GlG54HjF/w1GadAXdZLMshmsICaJ6WulRwkq2BV2nYQ2i&#10;Cny911V84plUwxlLVXokMHA2sOf7sieyKug8xAY+S6jOyKiFQbH4w/DQgP1FSYdqLaj7eWRWUKI+&#10;apzKZrpYBHlHY5GtZmjYa0957WGaI1RBPSXDce/jlwh8abjF6dUy8vpayVgyqjBSM/6YIPNrO756&#10;/de7ZwAAAP//AwBQSwMEFAAGAAgAAAAhAIMre+vgAAAACAEAAA8AAABkcnMvZG93bnJldi54bWxM&#10;j81OwzAQhO9IvIO1SNyoXZpSE7KpEBKHCg6l/Ei9ubGJI+x1FLtt+va4JziOZjTzTbUcvWMHM8Qu&#10;EMJ0IoAZaoLuqEX4eH++kcBiUqSVC2QQTibCsr68qFSpw5HezGGTWpZLKJYKwabUl5zHxhqv4iT0&#10;hrL3HQavUpZDy/WgjrncO34rxB33qqO8YFVvnqxpfjZ7j7BdnQr5umqlm36tX+zs836x9Qnx+mp8&#10;fACWzJj+wnDGz+hQZ6Zd2JOOzCHkIwmhKObAzq6YzQtgO4SFFBJ4XfH/B+pfAAAA//8DAFBLAQIt&#10;ABQABgAIAAAAIQC2gziS/gAAAOEBAAATAAAAAAAAAAAAAAAAAAAAAABbQ29udGVudF9UeXBlc10u&#10;eG1sUEsBAi0AFAAGAAgAAAAhADj9If/WAAAAlAEAAAsAAAAAAAAAAAAAAAAALwEAAF9yZWxzLy5y&#10;ZWxzUEsBAi0AFAAGAAgAAAAhALTMrRElAgAAHwQAAA4AAAAAAAAAAAAAAAAALgIAAGRycy9lMm9E&#10;b2MueG1sUEsBAi0AFAAGAAgAAAAhAIMre+vgAAAACAEAAA8AAAAAAAAAAAAAAAAAfwQAAGRycy9k&#10;b3ducmV2LnhtbFBLBQYAAAAABAAEAPMAAACMBQAAAAA=&#10;" fillcolor="#13576b" stroked="f">
                <v:fill opacity="54998f"/>
                <v:textbox>
                  <w:txbxContent>
                    <w:p w14:paraId="523681E4" w14:textId="20B4FCBA" w:rsidR="0001227F" w:rsidRPr="00616069" w:rsidRDefault="0001227F" w:rsidP="0001227F">
                      <w:pPr>
                        <w:spacing w:line="276" w:lineRule="auto"/>
                        <w:rPr>
                          <w:rFonts w:ascii="Calibri" w:hAnsi="Calibri" w:cs="Calibri"/>
                          <w:b/>
                          <w:bCs/>
                          <w:color w:val="FFFFFF" w:themeColor="background1"/>
                          <w:sz w:val="22"/>
                          <w:szCs w:val="22"/>
                        </w:rPr>
                      </w:pPr>
                      <w:r w:rsidRPr="00616069">
                        <w:rPr>
                          <w:rFonts w:ascii="Calibri" w:hAnsi="Calibri" w:cs="Calibri"/>
                          <w:b/>
                          <w:bCs/>
                          <w:color w:val="FFFFFF" w:themeColor="background1"/>
                          <w:sz w:val="22"/>
                          <w:szCs w:val="22"/>
                        </w:rPr>
                        <w:t xml:space="preserve">Metodika ČBA </w:t>
                      </w:r>
                      <w:proofErr w:type="spellStart"/>
                      <w:r w:rsidRPr="00616069">
                        <w:rPr>
                          <w:rFonts w:ascii="Calibri" w:hAnsi="Calibri" w:cs="Calibri"/>
                          <w:b/>
                          <w:bCs/>
                          <w:color w:val="FFFFFF" w:themeColor="background1"/>
                          <w:sz w:val="22"/>
                          <w:szCs w:val="22"/>
                        </w:rPr>
                        <w:t>Hypomonitoru</w:t>
                      </w:r>
                      <w:proofErr w:type="spellEnd"/>
                    </w:p>
                    <w:p w14:paraId="7401467C" w14:textId="77777777" w:rsidR="00414AD4" w:rsidRPr="00616069" w:rsidRDefault="00414AD4" w:rsidP="0001227F">
                      <w:pPr>
                        <w:spacing w:line="276" w:lineRule="auto"/>
                        <w:rPr>
                          <w:rFonts w:ascii="Calibri" w:hAnsi="Calibri" w:cs="Calibri"/>
                          <w:color w:val="FFFFFF" w:themeColor="background1"/>
                          <w:szCs w:val="18"/>
                        </w:rPr>
                      </w:pPr>
                    </w:p>
                    <w:p w14:paraId="1021EABD" w14:textId="16015784" w:rsidR="0001227F" w:rsidRPr="00616069" w:rsidRDefault="00414AD4" w:rsidP="0001227F">
                      <w:pPr>
                        <w:spacing w:line="276" w:lineRule="auto"/>
                        <w:rPr>
                          <w:rFonts w:ascii="Calibri" w:hAnsi="Calibri" w:cs="Calibri"/>
                          <w:color w:val="FFFFFF" w:themeColor="background1"/>
                          <w:szCs w:val="18"/>
                        </w:rPr>
                      </w:pPr>
                      <w:r w:rsidRPr="00616069">
                        <w:rPr>
                          <w:rFonts w:ascii="Calibri" w:hAnsi="Calibri" w:cs="Calibri"/>
                          <w:color w:val="FFFFFF" w:themeColor="background1"/>
                          <w:szCs w:val="18"/>
                        </w:rPr>
                        <w:t xml:space="preserve">ČBA </w:t>
                      </w:r>
                      <w:proofErr w:type="spellStart"/>
                      <w:r w:rsidRPr="00616069">
                        <w:rPr>
                          <w:rFonts w:ascii="Calibri" w:hAnsi="Calibri" w:cs="Calibri"/>
                          <w:color w:val="FFFFFF" w:themeColor="background1"/>
                          <w:szCs w:val="18"/>
                        </w:rPr>
                        <w:t>Hypomonitor</w:t>
                      </w:r>
                      <w:proofErr w:type="spellEnd"/>
                      <w:r w:rsidRPr="00616069">
                        <w:rPr>
                          <w:rFonts w:ascii="Calibri" w:hAnsi="Calibri" w:cs="Calibri"/>
                          <w:color w:val="FFFFFF" w:themeColor="background1"/>
                          <w:szCs w:val="18"/>
                        </w:rPr>
                        <w:t xml:space="preserve"> </w:t>
                      </w:r>
                      <w:r w:rsidR="00FB47DE" w:rsidRPr="00616069">
                        <w:rPr>
                          <w:rFonts w:ascii="Calibri" w:hAnsi="Calibri" w:cs="Calibri"/>
                          <w:color w:val="FFFFFF" w:themeColor="background1"/>
                          <w:szCs w:val="18"/>
                        </w:rPr>
                        <w:t xml:space="preserve">rozděluje poskytnuté hypoteční úvěry </w:t>
                      </w:r>
                      <w:r w:rsidR="00810DCF" w:rsidRPr="00616069">
                        <w:rPr>
                          <w:rFonts w:ascii="Calibri" w:hAnsi="Calibri" w:cs="Calibri"/>
                          <w:color w:val="FFFFFF" w:themeColor="background1"/>
                          <w:szCs w:val="18"/>
                        </w:rPr>
                        <w:t>bank a stavebních spořitelen</w:t>
                      </w:r>
                      <w:r w:rsidR="00B426A2" w:rsidRPr="00616069">
                        <w:rPr>
                          <w:rFonts w:ascii="Calibri" w:hAnsi="Calibri" w:cs="Calibri"/>
                          <w:color w:val="FFFFFF" w:themeColor="background1"/>
                          <w:szCs w:val="18"/>
                        </w:rPr>
                        <w:t xml:space="preserve"> domácnostem</w:t>
                      </w:r>
                      <w:r w:rsidR="00810DCF" w:rsidRPr="00616069">
                        <w:rPr>
                          <w:rFonts w:ascii="Calibri" w:hAnsi="Calibri" w:cs="Calibri"/>
                          <w:color w:val="FFFFFF" w:themeColor="background1"/>
                          <w:szCs w:val="18"/>
                        </w:rPr>
                        <w:t xml:space="preserve"> </w:t>
                      </w:r>
                      <w:r w:rsidRPr="00616069">
                        <w:rPr>
                          <w:rFonts w:ascii="Calibri" w:hAnsi="Calibri" w:cs="Calibri"/>
                          <w:color w:val="FFFFFF" w:themeColor="background1"/>
                          <w:szCs w:val="18"/>
                        </w:rPr>
                        <w:t>do několika kategorií tak, aby byly rozlišeny nové úvěry od refinancovaných či interních refixací</w:t>
                      </w:r>
                      <w:r w:rsidR="000B70C8" w:rsidRPr="00616069">
                        <w:rPr>
                          <w:rFonts w:ascii="Calibri" w:hAnsi="Calibri" w:cs="Calibri"/>
                          <w:color w:val="FFFFFF" w:themeColor="background1"/>
                          <w:szCs w:val="18"/>
                        </w:rPr>
                        <w:t>.</w:t>
                      </w:r>
                      <w:r w:rsidRPr="00616069">
                        <w:rPr>
                          <w:rFonts w:ascii="Calibri" w:hAnsi="Calibri" w:cs="Calibri"/>
                          <w:color w:val="FFFFFF" w:themeColor="background1"/>
                          <w:szCs w:val="18"/>
                        </w:rPr>
                        <w:t xml:space="preserve"> Nové úvěry jsou </w:t>
                      </w:r>
                      <w:r w:rsidR="00581CC1" w:rsidRPr="00616069">
                        <w:rPr>
                          <w:rFonts w:ascii="Calibri" w:hAnsi="Calibri" w:cs="Calibri"/>
                          <w:color w:val="FFFFFF" w:themeColor="background1"/>
                          <w:szCs w:val="18"/>
                        </w:rPr>
                        <w:t>pak</w:t>
                      </w:r>
                      <w:r w:rsidRPr="00616069">
                        <w:rPr>
                          <w:rFonts w:ascii="Calibri" w:hAnsi="Calibri" w:cs="Calibri"/>
                          <w:color w:val="FFFFFF" w:themeColor="background1"/>
                          <w:szCs w:val="18"/>
                        </w:rPr>
                        <w:t xml:space="preserve"> vykazovány v</w:t>
                      </w:r>
                      <w:r w:rsidR="00581CC1" w:rsidRPr="00616069">
                        <w:rPr>
                          <w:rFonts w:ascii="Calibri" w:hAnsi="Calibri" w:cs="Calibri"/>
                          <w:color w:val="FFFFFF" w:themeColor="background1"/>
                          <w:szCs w:val="18"/>
                        </w:rPr>
                        <w:t> </w:t>
                      </w:r>
                      <w:r w:rsidRPr="00616069">
                        <w:rPr>
                          <w:rFonts w:ascii="Calibri" w:hAnsi="Calibri" w:cs="Calibri"/>
                          <w:color w:val="FFFFFF" w:themeColor="background1"/>
                          <w:szCs w:val="18"/>
                        </w:rPr>
                        <w:t>kategoriích</w:t>
                      </w:r>
                      <w:r w:rsidR="00581CC1" w:rsidRPr="00616069">
                        <w:rPr>
                          <w:rFonts w:ascii="Calibri" w:hAnsi="Calibri" w:cs="Calibri"/>
                          <w:color w:val="FFFFFF" w:themeColor="background1"/>
                          <w:szCs w:val="18"/>
                        </w:rPr>
                        <w:t xml:space="preserve"> dle účelu úvěru</w:t>
                      </w:r>
                      <w:r w:rsidRPr="00616069">
                        <w:rPr>
                          <w:rFonts w:ascii="Calibri" w:hAnsi="Calibri" w:cs="Calibri"/>
                          <w:color w:val="FFFFFF" w:themeColor="background1"/>
                          <w:szCs w:val="18"/>
                        </w:rPr>
                        <w:t>:</w:t>
                      </w:r>
                    </w:p>
                    <w:p w14:paraId="58E707E8" w14:textId="77777777" w:rsidR="0001227F" w:rsidRPr="00616069" w:rsidRDefault="0001227F" w:rsidP="0001227F">
                      <w:pPr>
                        <w:spacing w:line="276" w:lineRule="auto"/>
                        <w:rPr>
                          <w:rFonts w:ascii="Calibri" w:hAnsi="Calibri" w:cs="Calibri"/>
                          <w:color w:val="FFFFFF" w:themeColor="background1"/>
                        </w:rPr>
                      </w:pPr>
                    </w:p>
                    <w:p w14:paraId="3227247A" w14:textId="11714118" w:rsidR="0001227F" w:rsidRPr="00616069" w:rsidRDefault="00E818C3" w:rsidP="00E818C3">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1. </w:t>
                      </w:r>
                      <w:r w:rsidR="0001227F" w:rsidRPr="00616069">
                        <w:rPr>
                          <w:rFonts w:ascii="Calibri" w:hAnsi="Calibri" w:cs="Calibri"/>
                          <w:b/>
                          <w:color w:val="FFFFFF" w:themeColor="background1"/>
                        </w:rPr>
                        <w:t>Nové úvěry</w:t>
                      </w:r>
                    </w:p>
                    <w:p w14:paraId="22AF3257" w14:textId="77777777"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jejichž celý objem poprvé vstupuje do ekonomiky. Do této kategorie </w:t>
                      </w:r>
                      <w:proofErr w:type="gramStart"/>
                      <w:r w:rsidRPr="00616069">
                        <w:rPr>
                          <w:rFonts w:ascii="Calibri" w:hAnsi="Calibri" w:cs="Calibri"/>
                          <w:color w:val="FFFFFF" w:themeColor="background1"/>
                        </w:rPr>
                        <w:t>nepatří</w:t>
                      </w:r>
                      <w:proofErr w:type="gramEnd"/>
                      <w:r w:rsidRPr="00616069">
                        <w:rPr>
                          <w:rFonts w:ascii="Calibri" w:hAnsi="Calibri" w:cs="Calibri"/>
                          <w:color w:val="FFFFFF" w:themeColor="background1"/>
                        </w:rPr>
                        <w:t xml:space="preserve"> konsolidace úvěrů anebo refinancování úvěrů. Dělí se do tří kategorií:</w:t>
                      </w:r>
                    </w:p>
                    <w:p w14:paraId="362AFB2A" w14:textId="77777777"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Nákup nemovitosti</w:t>
                      </w:r>
                      <w:r w:rsidRPr="00616069">
                        <w:rPr>
                          <w:rFonts w:ascii="Calibri" w:hAnsi="Calibri" w:cs="Calibri"/>
                          <w:color w:val="FFFFFF" w:themeColor="background1"/>
                        </w:rPr>
                        <w:t xml:space="preserve"> </w:t>
                      </w:r>
                    </w:p>
                    <w:p w14:paraId="29F23FA5" w14:textId="6EE96893"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Výstavba nemovitosti</w:t>
                      </w:r>
                      <w:r w:rsidRPr="00616069">
                        <w:rPr>
                          <w:rFonts w:ascii="Calibri" w:hAnsi="Calibri" w:cs="Calibri"/>
                          <w:color w:val="FFFFFF" w:themeColor="background1"/>
                        </w:rPr>
                        <w:t xml:space="preserve"> – včetně rekonstrukce nemovitosti </w:t>
                      </w:r>
                    </w:p>
                    <w:p w14:paraId="4D80580F" w14:textId="11E0715F"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Ostatní nová ujednání</w:t>
                      </w:r>
                      <w:r w:rsidRPr="00616069">
                        <w:rPr>
                          <w:rFonts w:ascii="Calibri" w:hAnsi="Calibri" w:cs="Calibri"/>
                          <w:color w:val="FFFFFF" w:themeColor="background1"/>
                        </w:rPr>
                        <w:t xml:space="preserve"> – pouze nové úvěry, které nijak nesouvisí s koupí nebo výstavbou nemovitosti, např. tzv. americké hypotéky, vypořádání SJM, zpětná úhrada kupní ceny, vypořádání dědického podílu, vypořádání družstevního </w:t>
                      </w:r>
                      <w:proofErr w:type="gramStart"/>
                      <w:r w:rsidRPr="00616069">
                        <w:rPr>
                          <w:rFonts w:ascii="Calibri" w:hAnsi="Calibri" w:cs="Calibri"/>
                          <w:color w:val="FFFFFF" w:themeColor="background1"/>
                        </w:rPr>
                        <w:t>podílu,</w:t>
                      </w:r>
                      <w:proofErr w:type="gramEnd"/>
                      <w:r w:rsidRPr="00616069">
                        <w:rPr>
                          <w:rFonts w:ascii="Calibri" w:hAnsi="Calibri" w:cs="Calibri"/>
                          <w:color w:val="FFFFFF" w:themeColor="background1"/>
                        </w:rPr>
                        <w:t xml:space="preserve"> atp.</w:t>
                      </w:r>
                    </w:p>
                    <w:p w14:paraId="4FBF1D5A" w14:textId="77777777" w:rsidR="0001227F" w:rsidRPr="00616069" w:rsidRDefault="0001227F" w:rsidP="0001227F">
                      <w:pPr>
                        <w:spacing w:line="276" w:lineRule="auto"/>
                        <w:ind w:left="708"/>
                        <w:rPr>
                          <w:rFonts w:ascii="Calibri" w:hAnsi="Calibri" w:cs="Calibri"/>
                          <w:color w:val="FFFFFF" w:themeColor="background1"/>
                        </w:rPr>
                      </w:pPr>
                    </w:p>
                    <w:p w14:paraId="71D5E0BB" w14:textId="7D112C27"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2. </w:t>
                      </w:r>
                      <w:r w:rsidR="0001227F" w:rsidRPr="00616069">
                        <w:rPr>
                          <w:rFonts w:ascii="Calibri" w:hAnsi="Calibri" w:cs="Calibri"/>
                          <w:b/>
                          <w:color w:val="FFFFFF" w:themeColor="background1"/>
                        </w:rPr>
                        <w:t>Refinancované úvěry z jiné finanční instituce</w:t>
                      </w:r>
                    </w:p>
                    <w:p w14:paraId="351B5A60" w14:textId="0B5DCBB6"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vznikly refinancováním jednoho nebo více úvěrů z jiné finanční instituce než </w:t>
                      </w:r>
                      <w:r w:rsidR="00973197" w:rsidRPr="00616069">
                        <w:rPr>
                          <w:rFonts w:ascii="Calibri" w:hAnsi="Calibri" w:cs="Calibri"/>
                          <w:color w:val="FFFFFF" w:themeColor="background1"/>
                        </w:rPr>
                        <w:t>té</w:t>
                      </w:r>
                      <w:r w:rsidRPr="00616069">
                        <w:rPr>
                          <w:rFonts w:ascii="Calibri" w:hAnsi="Calibri" w:cs="Calibri"/>
                          <w:color w:val="FFFFFF" w:themeColor="background1"/>
                        </w:rPr>
                        <w:t xml:space="preserve"> vykazující. Bez ohledu na výši refinancované částky a bez ohledu na výši případného navýšení se celková výše nově vzniklého úvěru vykazuje do této kategorie. </w:t>
                      </w:r>
                    </w:p>
                    <w:p w14:paraId="7566D2D6" w14:textId="77777777" w:rsidR="0001227F" w:rsidRPr="00616069" w:rsidRDefault="0001227F" w:rsidP="0001227F">
                      <w:pPr>
                        <w:spacing w:line="276" w:lineRule="auto"/>
                        <w:rPr>
                          <w:rFonts w:ascii="Calibri" w:hAnsi="Calibri" w:cs="Calibri"/>
                          <w:color w:val="FFFFFF" w:themeColor="background1"/>
                        </w:rPr>
                      </w:pPr>
                    </w:p>
                    <w:p w14:paraId="04B36444" w14:textId="4F20B25F"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3. </w:t>
                      </w:r>
                      <w:r w:rsidR="0001227F" w:rsidRPr="00616069">
                        <w:rPr>
                          <w:rFonts w:ascii="Calibri" w:hAnsi="Calibri" w:cs="Calibri"/>
                          <w:b/>
                          <w:color w:val="FFFFFF" w:themeColor="background1"/>
                        </w:rPr>
                        <w:t>Navýšené anebo interně refinancované úvěry</w:t>
                      </w:r>
                    </w:p>
                    <w:p w14:paraId="711A3661" w14:textId="2A271010"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již byly </w:t>
                      </w:r>
                      <w:r w:rsidR="00647A7A" w:rsidRPr="00616069">
                        <w:rPr>
                          <w:rFonts w:ascii="Calibri" w:hAnsi="Calibri" w:cs="Calibri"/>
                          <w:color w:val="FFFFFF" w:themeColor="background1"/>
                        </w:rPr>
                        <w:t xml:space="preserve">v </w:t>
                      </w:r>
                      <w:r w:rsidRPr="00616069">
                        <w:rPr>
                          <w:rFonts w:ascii="Calibri" w:hAnsi="Calibri" w:cs="Calibri"/>
                          <w:color w:val="FFFFFF" w:themeColor="background1"/>
                        </w:rPr>
                        <w:t>předchozí</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vykazované</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období součástí portfolia vykazujícího subjektu, a ve vykazovaném období u nich došlo k některé z následujících změn:</w:t>
                      </w:r>
                    </w:p>
                    <w:p w14:paraId="4A6B00C0" w14:textId="77777777" w:rsidR="00E818C3"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navýšení sjednané částky </w:t>
                      </w:r>
                    </w:p>
                    <w:p w14:paraId="44682079" w14:textId="72C23671" w:rsidR="0001227F"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došlo k takovým změnám, že původní úvěr byl v rámci vykazujícího subjektu refinancován/převeden na nový úvěr. </w:t>
                      </w:r>
                      <w:r w:rsidR="00E74228" w:rsidRPr="00616069">
                        <w:rPr>
                          <w:rFonts w:ascii="Calibri" w:hAnsi="Calibri" w:cs="Calibri"/>
                          <w:color w:val="FFFFFF" w:themeColor="background1"/>
                        </w:rPr>
                        <w:t>J</w:t>
                      </w:r>
                      <w:r w:rsidRPr="00616069">
                        <w:rPr>
                          <w:rFonts w:ascii="Calibri" w:hAnsi="Calibri" w:cs="Calibri"/>
                          <w:color w:val="FFFFFF" w:themeColor="background1"/>
                        </w:rPr>
                        <w:t>de</w:t>
                      </w:r>
                      <w:r w:rsidR="00CD28EC" w:rsidRPr="00616069">
                        <w:rPr>
                          <w:rFonts w:ascii="Calibri" w:hAnsi="Calibri" w:cs="Calibri"/>
                          <w:color w:val="FFFFFF" w:themeColor="background1"/>
                        </w:rPr>
                        <w:t xml:space="preserve"> tak o</w:t>
                      </w:r>
                      <w:r w:rsidRPr="00616069">
                        <w:rPr>
                          <w:rFonts w:ascii="Calibri" w:hAnsi="Calibri" w:cs="Calibri"/>
                          <w:color w:val="FFFFFF" w:themeColor="background1"/>
                        </w:rPr>
                        <w:t xml:space="preserve"> skutečně </w:t>
                      </w:r>
                      <w:r w:rsidR="00E74228" w:rsidRPr="00616069">
                        <w:rPr>
                          <w:rFonts w:ascii="Calibri" w:hAnsi="Calibri" w:cs="Calibri"/>
                          <w:color w:val="FFFFFF" w:themeColor="background1"/>
                        </w:rPr>
                        <w:t>novou smlouvu</w:t>
                      </w:r>
                      <w:r w:rsidR="00132EE9" w:rsidRPr="00616069">
                        <w:rPr>
                          <w:rFonts w:ascii="Calibri" w:hAnsi="Calibri" w:cs="Calibri"/>
                          <w:color w:val="FFFFFF" w:themeColor="background1"/>
                        </w:rPr>
                        <w:t xml:space="preserve">, nikoli např. jen </w:t>
                      </w:r>
                      <w:r w:rsidR="007B79F6" w:rsidRPr="00616069">
                        <w:rPr>
                          <w:rFonts w:ascii="Calibri" w:hAnsi="Calibri" w:cs="Calibri"/>
                          <w:color w:val="FFFFFF" w:themeColor="background1"/>
                        </w:rPr>
                        <w:t>nové ujednání v rámci refi</w:t>
                      </w:r>
                      <w:r w:rsidR="000F02C1" w:rsidRPr="00616069">
                        <w:rPr>
                          <w:rFonts w:ascii="Calibri" w:hAnsi="Calibri" w:cs="Calibri"/>
                          <w:color w:val="FFFFFF" w:themeColor="background1"/>
                        </w:rPr>
                        <w:t xml:space="preserve">xace </w:t>
                      </w:r>
                      <w:r w:rsidR="00132EE9" w:rsidRPr="00616069">
                        <w:rPr>
                          <w:rFonts w:ascii="Calibri" w:hAnsi="Calibri" w:cs="Calibri"/>
                          <w:color w:val="FFFFFF" w:themeColor="background1"/>
                        </w:rPr>
                        <w:t xml:space="preserve">stávající smlouvy. Proto je objem takových úvěru ve statistice ČBA nižší oproti „ostatním novým ujednáním“ ve statistice České </w:t>
                      </w:r>
                      <w:r w:rsidR="002D3F94" w:rsidRPr="00616069">
                        <w:rPr>
                          <w:rFonts w:ascii="Calibri" w:hAnsi="Calibri" w:cs="Calibri"/>
                          <w:color w:val="FFFFFF" w:themeColor="background1"/>
                        </w:rPr>
                        <w:t>n</w:t>
                      </w:r>
                      <w:r w:rsidR="00132EE9" w:rsidRPr="00616069">
                        <w:rPr>
                          <w:rFonts w:ascii="Calibri" w:hAnsi="Calibri" w:cs="Calibri"/>
                          <w:color w:val="FFFFFF" w:themeColor="background1"/>
                        </w:rPr>
                        <w:t xml:space="preserve">árodní </w:t>
                      </w:r>
                      <w:r w:rsidR="002D3F94" w:rsidRPr="00616069">
                        <w:rPr>
                          <w:rFonts w:ascii="Calibri" w:hAnsi="Calibri" w:cs="Calibri"/>
                          <w:color w:val="FFFFFF" w:themeColor="background1"/>
                        </w:rPr>
                        <w:t>b</w:t>
                      </w:r>
                      <w:r w:rsidR="00132EE9" w:rsidRPr="00616069">
                        <w:rPr>
                          <w:rFonts w:ascii="Calibri" w:hAnsi="Calibri" w:cs="Calibri"/>
                          <w:color w:val="FFFFFF" w:themeColor="background1"/>
                        </w:rPr>
                        <w:t>anky.</w:t>
                      </w:r>
                    </w:p>
                    <w:p w14:paraId="1FAF8B9B" w14:textId="4C474A58" w:rsidR="006F08E1" w:rsidRPr="00616069" w:rsidRDefault="006F08E1" w:rsidP="006F08E1">
                      <w:pPr>
                        <w:overflowPunct/>
                        <w:autoSpaceDE/>
                        <w:autoSpaceDN/>
                        <w:adjustRightInd/>
                        <w:spacing w:line="276" w:lineRule="auto"/>
                        <w:jc w:val="left"/>
                        <w:textAlignment w:val="auto"/>
                        <w:rPr>
                          <w:rFonts w:ascii="Calibri" w:hAnsi="Calibri" w:cs="Calibri"/>
                          <w:color w:val="FFFFFF" w:themeColor="background1"/>
                        </w:rPr>
                      </w:pPr>
                    </w:p>
                    <w:p w14:paraId="65FC0189" w14:textId="08A7140E" w:rsidR="006F08E1" w:rsidRPr="00616069" w:rsidRDefault="001F49EA" w:rsidP="006F08E1">
                      <w:p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Data pro ČBA </w:t>
                      </w:r>
                      <w:proofErr w:type="spellStart"/>
                      <w:r w:rsidRPr="00616069">
                        <w:rPr>
                          <w:rFonts w:ascii="Calibri" w:hAnsi="Calibri" w:cs="Calibri"/>
                          <w:color w:val="FFFFFF" w:themeColor="background1"/>
                        </w:rPr>
                        <w:t>Hypomonitor</w:t>
                      </w:r>
                      <w:proofErr w:type="spellEnd"/>
                      <w:r w:rsidRPr="00616069">
                        <w:rPr>
                          <w:rFonts w:ascii="Calibri" w:hAnsi="Calibri" w:cs="Calibri"/>
                          <w:color w:val="FFFFFF" w:themeColor="background1"/>
                        </w:rPr>
                        <w:t xml:space="preserve"> poskytují následující banky a stavební spořitelny: Air Bank, Česká spořitelna, ČSOB, ČSOB Stavební spořitelna, Fio banka, Hypoteční banka, Komerční banka, mBank, Modrá pyramida, MONETA Money Bank, MONETA Stavební spořitelna, </w:t>
                      </w:r>
                      <w:proofErr w:type="spellStart"/>
                      <w:r w:rsidRPr="00616069">
                        <w:rPr>
                          <w:rFonts w:ascii="Calibri" w:hAnsi="Calibri" w:cs="Calibri"/>
                          <w:color w:val="FFFFFF" w:themeColor="background1"/>
                        </w:rPr>
                        <w:t>Oberbank</w:t>
                      </w:r>
                      <w:proofErr w:type="spellEnd"/>
                      <w:r w:rsidRPr="00616069">
                        <w:rPr>
                          <w:rFonts w:ascii="Calibri" w:hAnsi="Calibri" w:cs="Calibri"/>
                          <w:color w:val="FFFFFF" w:themeColor="background1"/>
                        </w:rPr>
                        <w:t xml:space="preserve">, </w:t>
                      </w:r>
                      <w:proofErr w:type="spellStart"/>
                      <w:r w:rsidRPr="00616069">
                        <w:rPr>
                          <w:rFonts w:ascii="Calibri" w:hAnsi="Calibri" w:cs="Calibri"/>
                          <w:color w:val="FFFFFF" w:themeColor="background1"/>
                        </w:rPr>
                        <w:t>Raiffeisen</w:t>
                      </w:r>
                      <w:proofErr w:type="spellEnd"/>
                      <w:r w:rsidRPr="00616069">
                        <w:rPr>
                          <w:rFonts w:ascii="Calibri" w:hAnsi="Calibri" w:cs="Calibri"/>
                          <w:color w:val="FFFFFF" w:themeColor="background1"/>
                        </w:rPr>
                        <w:t xml:space="preserve"> stavební spořitelna, Raiffeisenbank, Stavební spořitelna České spořitelny, UniCredit Bank.</w:t>
                      </w:r>
                    </w:p>
                  </w:txbxContent>
                </v:textbox>
                <w10:wrap type="square" anchorx="margin"/>
              </v:shape>
            </w:pict>
          </mc:Fallback>
        </mc:AlternateContent>
      </w:r>
      <w:r w:rsidR="00617E6C" w:rsidRPr="00616069">
        <w:rPr>
          <w:rFonts w:ascii="Calibri" w:eastAsiaTheme="minorEastAsia" w:hAnsi="Calibri" w:cs="Calibri"/>
          <w:i/>
          <w:iCs/>
          <w:noProof/>
          <w:sz w:val="16"/>
          <w:szCs w:val="18"/>
          <w:lang w:eastAsia="en-GB"/>
        </w:rPr>
        <mc:AlternateContent>
          <mc:Choice Requires="wps">
            <w:drawing>
              <wp:anchor distT="0" distB="0" distL="114300" distR="114300" simplePos="0" relativeHeight="251660288" behindDoc="0" locked="0" layoutInCell="1" allowOverlap="1" wp14:anchorId="70D3B697" wp14:editId="0EC478EC">
                <wp:simplePos x="0" y="0"/>
                <wp:positionH relativeFrom="margin">
                  <wp:align>right</wp:align>
                </wp:positionH>
                <wp:positionV relativeFrom="paragraph">
                  <wp:posOffset>5315585</wp:posOffset>
                </wp:positionV>
                <wp:extent cx="2193290" cy="1546860"/>
                <wp:effectExtent l="0" t="0" r="0" b="0"/>
                <wp:wrapNone/>
                <wp:docPr id="3" name="Obdélník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3290" cy="1546860"/>
                        </a:xfrm>
                        <a:prstGeom prst="rect">
                          <a:avLst/>
                        </a:prstGeom>
                        <a:solidFill>
                          <a:srgbClr val="13576B">
                            <a:alpha val="86000"/>
                          </a:srgbClr>
                        </a:solidFill>
                        <a:ln>
                          <a:noFill/>
                        </a:ln>
                      </wps:spPr>
                      <wps:txbx>
                        <w:txbxContent>
                          <w:p w14:paraId="54D0A7AB" w14:textId="77777777" w:rsidR="0065124E" w:rsidRPr="00616069" w:rsidRDefault="0065124E" w:rsidP="00044002">
                            <w:pPr>
                              <w:spacing w:line="276" w:lineRule="auto"/>
                              <w:ind w:left="28" w:hanging="28"/>
                              <w:jc w:val="left"/>
                              <w:outlineLvl w:val="0"/>
                              <w:rPr>
                                <w:rFonts w:ascii="Calibri" w:hAnsi="Calibri" w:cs="Calibri"/>
                                <w:b/>
                                <w:color w:val="FFFFFF" w:themeColor="background1"/>
                                <w:sz w:val="20"/>
                                <w:szCs w:val="18"/>
                              </w:rPr>
                            </w:pPr>
                            <w:r w:rsidRPr="00616069">
                              <w:rPr>
                                <w:rFonts w:ascii="Calibri" w:hAnsi="Calibri" w:cs="Calibri"/>
                                <w:b/>
                                <w:color w:val="FFFFFF" w:themeColor="background1"/>
                                <w:sz w:val="20"/>
                                <w:szCs w:val="18"/>
                              </w:rPr>
                              <w:t xml:space="preserve">Další informace </w:t>
                            </w:r>
                          </w:p>
                          <w:p w14:paraId="63BD2C87" w14:textId="23BE0F27" w:rsidR="0065124E" w:rsidRPr="00616069" w:rsidRDefault="007B4508" w:rsidP="007B4508">
                            <w:pPr>
                              <w:spacing w:line="276" w:lineRule="auto"/>
                              <w:jc w:val="left"/>
                              <w:outlineLvl w:val="0"/>
                              <w:rPr>
                                <w:rFonts w:ascii="Calibri" w:hAnsi="Calibri" w:cs="Calibri"/>
                                <w:b/>
                                <w:color w:val="FFFFFF" w:themeColor="background1"/>
                                <w:sz w:val="20"/>
                                <w:szCs w:val="18"/>
                              </w:rPr>
                            </w:pPr>
                            <w:r w:rsidRPr="00616069">
                              <w:rPr>
                                <w:rFonts w:ascii="Calibri" w:hAnsi="Calibri" w:cs="Calibri"/>
                                <w:b/>
                                <w:color w:val="FFFFFF" w:themeColor="background1"/>
                                <w:sz w:val="20"/>
                                <w:szCs w:val="18"/>
                              </w:rPr>
                              <w:t>rádi poskytneme:</w:t>
                            </w:r>
                          </w:p>
                          <w:p w14:paraId="6B6215FA" w14:textId="77777777" w:rsidR="0065124E" w:rsidRPr="00616069" w:rsidRDefault="0065124E" w:rsidP="00044002">
                            <w:pPr>
                              <w:spacing w:line="276" w:lineRule="auto"/>
                              <w:jc w:val="left"/>
                              <w:rPr>
                                <w:rFonts w:ascii="Calibri" w:hAnsi="Calibri" w:cs="Calibri"/>
                                <w:b/>
                                <w:color w:val="FFFFFF" w:themeColor="background1"/>
                                <w:szCs w:val="18"/>
                              </w:rPr>
                            </w:pPr>
                          </w:p>
                          <w:p w14:paraId="2CF1F6FB" w14:textId="2352EA51" w:rsidR="0065124E" w:rsidRPr="00616069" w:rsidRDefault="00B9205C"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Radek Šalša</w:t>
                            </w:r>
                          </w:p>
                          <w:p w14:paraId="599CC908" w14:textId="7EBF7721" w:rsidR="0065124E" w:rsidRPr="00616069" w:rsidRDefault="0065124E"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PR a komunikace ČBA</w:t>
                            </w:r>
                          </w:p>
                          <w:p w14:paraId="6ED92D8B" w14:textId="752C9003" w:rsidR="0065124E" w:rsidRPr="00616069" w:rsidRDefault="00B9205C"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radek</w:t>
                            </w:r>
                            <w:r w:rsidR="004555E6" w:rsidRPr="00616069">
                              <w:rPr>
                                <w:rFonts w:ascii="Calibri" w:hAnsi="Calibri" w:cs="Calibri"/>
                                <w:color w:val="FFFFFF" w:themeColor="background1"/>
                                <w:szCs w:val="18"/>
                              </w:rPr>
                              <w:t>.</w:t>
                            </w:r>
                            <w:r w:rsidRPr="00616069">
                              <w:rPr>
                                <w:rFonts w:ascii="Calibri" w:hAnsi="Calibri" w:cs="Calibri"/>
                                <w:color w:val="FFFFFF" w:themeColor="background1"/>
                                <w:szCs w:val="18"/>
                              </w:rPr>
                              <w:t>salsa</w:t>
                            </w:r>
                            <w:r w:rsidR="0065124E" w:rsidRPr="00616069">
                              <w:rPr>
                                <w:rFonts w:ascii="Calibri" w:hAnsi="Calibri" w:cs="Calibri"/>
                                <w:color w:val="FFFFFF" w:themeColor="background1"/>
                                <w:szCs w:val="18"/>
                              </w:rPr>
                              <w:t>@</w:t>
                            </w:r>
                            <w:r w:rsidR="004555E6" w:rsidRPr="00616069">
                              <w:rPr>
                                <w:rFonts w:ascii="Calibri" w:hAnsi="Calibri" w:cs="Calibri"/>
                                <w:color w:val="FFFFFF" w:themeColor="background1"/>
                                <w:szCs w:val="18"/>
                              </w:rPr>
                              <w:t>cbaonline</w:t>
                            </w:r>
                            <w:r w:rsidR="0065124E" w:rsidRPr="00616069">
                              <w:rPr>
                                <w:rFonts w:ascii="Calibri" w:hAnsi="Calibri" w:cs="Calibri"/>
                                <w:color w:val="FFFFFF" w:themeColor="background1"/>
                                <w:szCs w:val="18"/>
                              </w:rPr>
                              <w:t>.cz</w:t>
                            </w:r>
                          </w:p>
                          <w:p w14:paraId="1CB50E15" w14:textId="6FA59267" w:rsidR="0065124E" w:rsidRPr="00616069" w:rsidRDefault="0065124E"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tel: + 420</w:t>
                            </w:r>
                            <w:r w:rsidR="008C5D4D" w:rsidRPr="00616069">
                              <w:rPr>
                                <w:rFonts w:ascii="Calibri" w:hAnsi="Calibri" w:cs="Calibri"/>
                                <w:color w:val="FFFFFF" w:themeColor="background1"/>
                                <w:szCs w:val="18"/>
                              </w:rPr>
                              <w:t> 73</w:t>
                            </w:r>
                            <w:r w:rsidR="00795F3C" w:rsidRPr="00616069">
                              <w:rPr>
                                <w:rFonts w:ascii="Calibri" w:hAnsi="Calibri" w:cs="Calibri"/>
                                <w:color w:val="FFFFFF" w:themeColor="background1"/>
                                <w:szCs w:val="18"/>
                              </w:rPr>
                              <w:t>1</w:t>
                            </w:r>
                            <w:r w:rsidR="008C5D4D" w:rsidRPr="00616069">
                              <w:rPr>
                                <w:rFonts w:ascii="Calibri" w:hAnsi="Calibri" w:cs="Calibri"/>
                                <w:color w:val="FFFFFF" w:themeColor="background1"/>
                                <w:szCs w:val="18"/>
                              </w:rPr>
                              <w:t> </w:t>
                            </w:r>
                            <w:r w:rsidR="00795F3C" w:rsidRPr="00616069">
                              <w:rPr>
                                <w:rFonts w:ascii="Calibri" w:hAnsi="Calibri" w:cs="Calibri"/>
                                <w:color w:val="FFFFFF" w:themeColor="background1"/>
                                <w:szCs w:val="18"/>
                              </w:rPr>
                              <w:t>494</w:t>
                            </w:r>
                            <w:r w:rsidR="008C5D4D" w:rsidRPr="00616069">
                              <w:rPr>
                                <w:rFonts w:ascii="Calibri" w:hAnsi="Calibri" w:cs="Calibri"/>
                                <w:color w:val="FFFFFF" w:themeColor="background1"/>
                                <w:szCs w:val="18"/>
                              </w:rPr>
                              <w:t xml:space="preserve"> 1</w:t>
                            </w:r>
                            <w:r w:rsidR="00795F3C" w:rsidRPr="00616069">
                              <w:rPr>
                                <w:rFonts w:ascii="Calibri" w:hAnsi="Calibri" w:cs="Calibri"/>
                                <w:color w:val="FFFFFF" w:themeColor="background1"/>
                                <w:szCs w:val="18"/>
                              </w:rPr>
                              <w:t>28</w:t>
                            </w:r>
                          </w:p>
                          <w:p w14:paraId="68E9F459" w14:textId="77777777" w:rsidR="0065124E" w:rsidRPr="00616069" w:rsidRDefault="0065124E" w:rsidP="00044002">
                            <w:pPr>
                              <w:jc w:val="left"/>
                              <w:rPr>
                                <w:rFonts w:ascii="Calibri" w:hAnsi="Calibri" w:cs="Calibri"/>
                              </w:rPr>
                            </w:pP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D3B697" id="Obdélník 200" o:spid="_x0000_s1030" style="position:absolute;left:0;text-align:left;margin-left:121.5pt;margin-top:418.55pt;width:172.7pt;height:121.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c/gEAAO0DAAAOAAAAZHJzL2Uyb0RvYy54bWysU1Fv0zAQfkfiP1h+p0m6rXRR02l0GkIa&#10;A2nwAxzHSSwcnzm7Tcuv5+y03QZviBfLd7a/+77vzqub/WDYTqHXYCtezHLOlJXQaNtV/Pu3+3dL&#10;znwQthEGrKr4QXl+s377ZjW6Us2hB9MoZARifTm6ivchuDLLvOzVIPwMnLJ02AIOIlCIXdagGAl9&#10;MNk8zxfZCNg4BKm8p+zddMjXCb9tlQxf2tarwEzFiVtIK6a1jmu2XomyQ+F6LY80xD+wGIS2VPQM&#10;dSeCYFvUf0ENWiJ4aMNMwpBB22qpkgZSU+R/qHnqhVNJC5nj3dkm//9g5ePuyX3FSN27B5A/PLOw&#10;6YXt1C0ijL0SDZUrolHZ6Hx5fhADT09ZPX6GhlortgGSB/sWhwhI6tg+WX04W632gUlKzovri/k1&#10;dUTSWXF1uVguUjMyUZ6eO/Tho4KBxU3FkXqZ4MXuwYdIR5SnK4k+GN3ca2NSgF29Mch2gvpeXFy9&#10;X3yY3hrXiylLBfNTST9dT5j+JY6xEc1CxJ1KxkwyImqPY+bLsK/3TDcVv4wuxUwNzYGcQZjmjf4H&#10;bXrAX5yNNGsV9z+3AhVn5pON7ubLyIWFVxG+iupXkbCS4CoeOJu2mzAN9dah7nqqViS9Fm6pK61O&#10;fj0zO0qgmUqSj/Mfh/ZlnG49/9L1bwAAAP//AwBQSwMEFAAGAAgAAAAhAMC1V3DgAAAACQEAAA8A&#10;AABkcnMvZG93bnJldi54bWxMjzFPwzAUhHck/oP1kFhQa4cWEkKcKkJCYkCqKB1gc2OTRLWfI9tN&#10;w7/nMcF4utPdd9VmdpZNJsTBo4RsKYAZbL0esJOwf39eFMBiUqiV9WgkfJsIm/ryolKl9md8M9Mu&#10;dYxKMJZKQp/SWHIe2944FZd+NEjelw9OJZKh4zqoM5U7y2+FuOdODUgLvRrNU2/a4+7kJCgrPrvt&#10;zWuuw/CQTR/H2DQvrZTXV3PzCCyZOf2F4Ref0KEmpoM/oY7MSqAjSUKxyjNgZK/Wd2tgB8qJQuTA&#10;64r/f1D/AAAA//8DAFBLAQItABQABgAIAAAAIQC2gziS/gAAAOEBAAATAAAAAAAAAAAAAAAAAAAA&#10;AABbQ29udGVudF9UeXBlc10ueG1sUEsBAi0AFAAGAAgAAAAhADj9If/WAAAAlAEAAAsAAAAAAAAA&#10;AAAAAAAALwEAAF9yZWxzLy5yZWxzUEsBAi0AFAAGAAgAAAAhAEDz41z+AQAA7QMAAA4AAAAAAAAA&#10;AAAAAAAALgIAAGRycy9lMm9Eb2MueG1sUEsBAi0AFAAGAAgAAAAhAMC1V3DgAAAACQEAAA8AAAAA&#10;AAAAAAAAAAAAWAQAAGRycy9kb3ducmV2LnhtbFBLBQYAAAAABAAEAPMAAABlBQAAAAA=&#10;" fillcolor="#13576b" stroked="f">
                <v:fill opacity="56283f"/>
                <v:textbox inset="3mm,3mm,3mm,3mm">
                  <w:txbxContent>
                    <w:p w14:paraId="54D0A7AB" w14:textId="77777777" w:rsidR="0065124E" w:rsidRPr="00616069" w:rsidRDefault="0065124E" w:rsidP="00044002">
                      <w:pPr>
                        <w:spacing w:line="276" w:lineRule="auto"/>
                        <w:ind w:left="28" w:hanging="28"/>
                        <w:jc w:val="left"/>
                        <w:outlineLvl w:val="0"/>
                        <w:rPr>
                          <w:rFonts w:ascii="Calibri" w:hAnsi="Calibri" w:cs="Calibri"/>
                          <w:b/>
                          <w:color w:val="FFFFFF" w:themeColor="background1"/>
                          <w:sz w:val="20"/>
                          <w:szCs w:val="18"/>
                        </w:rPr>
                      </w:pPr>
                      <w:r w:rsidRPr="00616069">
                        <w:rPr>
                          <w:rFonts w:ascii="Calibri" w:hAnsi="Calibri" w:cs="Calibri"/>
                          <w:b/>
                          <w:color w:val="FFFFFF" w:themeColor="background1"/>
                          <w:sz w:val="20"/>
                          <w:szCs w:val="18"/>
                        </w:rPr>
                        <w:t xml:space="preserve">Další informace </w:t>
                      </w:r>
                    </w:p>
                    <w:p w14:paraId="63BD2C87" w14:textId="23BE0F27" w:rsidR="0065124E" w:rsidRPr="00616069" w:rsidRDefault="007B4508" w:rsidP="007B4508">
                      <w:pPr>
                        <w:spacing w:line="276" w:lineRule="auto"/>
                        <w:jc w:val="left"/>
                        <w:outlineLvl w:val="0"/>
                        <w:rPr>
                          <w:rFonts w:ascii="Calibri" w:hAnsi="Calibri" w:cs="Calibri"/>
                          <w:b/>
                          <w:color w:val="FFFFFF" w:themeColor="background1"/>
                          <w:sz w:val="20"/>
                          <w:szCs w:val="18"/>
                        </w:rPr>
                      </w:pPr>
                      <w:r w:rsidRPr="00616069">
                        <w:rPr>
                          <w:rFonts w:ascii="Calibri" w:hAnsi="Calibri" w:cs="Calibri"/>
                          <w:b/>
                          <w:color w:val="FFFFFF" w:themeColor="background1"/>
                          <w:sz w:val="20"/>
                          <w:szCs w:val="18"/>
                        </w:rPr>
                        <w:t>rádi poskytneme:</w:t>
                      </w:r>
                    </w:p>
                    <w:p w14:paraId="6B6215FA" w14:textId="77777777" w:rsidR="0065124E" w:rsidRPr="00616069" w:rsidRDefault="0065124E" w:rsidP="00044002">
                      <w:pPr>
                        <w:spacing w:line="276" w:lineRule="auto"/>
                        <w:jc w:val="left"/>
                        <w:rPr>
                          <w:rFonts w:ascii="Calibri" w:hAnsi="Calibri" w:cs="Calibri"/>
                          <w:b/>
                          <w:color w:val="FFFFFF" w:themeColor="background1"/>
                          <w:szCs w:val="18"/>
                        </w:rPr>
                      </w:pPr>
                    </w:p>
                    <w:p w14:paraId="2CF1F6FB" w14:textId="2352EA51" w:rsidR="0065124E" w:rsidRPr="00616069" w:rsidRDefault="00B9205C"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Radek Šalša</w:t>
                      </w:r>
                    </w:p>
                    <w:p w14:paraId="599CC908" w14:textId="7EBF7721" w:rsidR="0065124E" w:rsidRPr="00616069" w:rsidRDefault="0065124E"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PR a komunikace ČBA</w:t>
                      </w:r>
                    </w:p>
                    <w:p w14:paraId="6ED92D8B" w14:textId="752C9003" w:rsidR="0065124E" w:rsidRPr="00616069" w:rsidRDefault="00B9205C"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radek</w:t>
                      </w:r>
                      <w:r w:rsidR="004555E6" w:rsidRPr="00616069">
                        <w:rPr>
                          <w:rFonts w:ascii="Calibri" w:hAnsi="Calibri" w:cs="Calibri"/>
                          <w:color w:val="FFFFFF" w:themeColor="background1"/>
                          <w:szCs w:val="18"/>
                        </w:rPr>
                        <w:t>.</w:t>
                      </w:r>
                      <w:r w:rsidRPr="00616069">
                        <w:rPr>
                          <w:rFonts w:ascii="Calibri" w:hAnsi="Calibri" w:cs="Calibri"/>
                          <w:color w:val="FFFFFF" w:themeColor="background1"/>
                          <w:szCs w:val="18"/>
                        </w:rPr>
                        <w:t>salsa</w:t>
                      </w:r>
                      <w:r w:rsidR="0065124E" w:rsidRPr="00616069">
                        <w:rPr>
                          <w:rFonts w:ascii="Calibri" w:hAnsi="Calibri" w:cs="Calibri"/>
                          <w:color w:val="FFFFFF" w:themeColor="background1"/>
                          <w:szCs w:val="18"/>
                        </w:rPr>
                        <w:t>@</w:t>
                      </w:r>
                      <w:r w:rsidR="004555E6" w:rsidRPr="00616069">
                        <w:rPr>
                          <w:rFonts w:ascii="Calibri" w:hAnsi="Calibri" w:cs="Calibri"/>
                          <w:color w:val="FFFFFF" w:themeColor="background1"/>
                          <w:szCs w:val="18"/>
                        </w:rPr>
                        <w:t>cbaonline</w:t>
                      </w:r>
                      <w:r w:rsidR="0065124E" w:rsidRPr="00616069">
                        <w:rPr>
                          <w:rFonts w:ascii="Calibri" w:hAnsi="Calibri" w:cs="Calibri"/>
                          <w:color w:val="FFFFFF" w:themeColor="background1"/>
                          <w:szCs w:val="18"/>
                        </w:rPr>
                        <w:t>.cz</w:t>
                      </w:r>
                    </w:p>
                    <w:p w14:paraId="1CB50E15" w14:textId="6FA59267" w:rsidR="0065124E" w:rsidRPr="00616069" w:rsidRDefault="0065124E" w:rsidP="00044002">
                      <w:pPr>
                        <w:spacing w:line="276" w:lineRule="auto"/>
                        <w:jc w:val="left"/>
                        <w:rPr>
                          <w:rFonts w:ascii="Calibri" w:hAnsi="Calibri" w:cs="Calibri"/>
                          <w:color w:val="FFFFFF" w:themeColor="background1"/>
                          <w:szCs w:val="18"/>
                        </w:rPr>
                      </w:pPr>
                      <w:r w:rsidRPr="00616069">
                        <w:rPr>
                          <w:rFonts w:ascii="Calibri" w:hAnsi="Calibri" w:cs="Calibri"/>
                          <w:color w:val="FFFFFF" w:themeColor="background1"/>
                          <w:szCs w:val="18"/>
                        </w:rPr>
                        <w:t>tel: + 420</w:t>
                      </w:r>
                      <w:r w:rsidR="008C5D4D" w:rsidRPr="00616069">
                        <w:rPr>
                          <w:rFonts w:ascii="Calibri" w:hAnsi="Calibri" w:cs="Calibri"/>
                          <w:color w:val="FFFFFF" w:themeColor="background1"/>
                          <w:szCs w:val="18"/>
                        </w:rPr>
                        <w:t> 73</w:t>
                      </w:r>
                      <w:r w:rsidR="00795F3C" w:rsidRPr="00616069">
                        <w:rPr>
                          <w:rFonts w:ascii="Calibri" w:hAnsi="Calibri" w:cs="Calibri"/>
                          <w:color w:val="FFFFFF" w:themeColor="background1"/>
                          <w:szCs w:val="18"/>
                        </w:rPr>
                        <w:t>1</w:t>
                      </w:r>
                      <w:r w:rsidR="008C5D4D" w:rsidRPr="00616069">
                        <w:rPr>
                          <w:rFonts w:ascii="Calibri" w:hAnsi="Calibri" w:cs="Calibri"/>
                          <w:color w:val="FFFFFF" w:themeColor="background1"/>
                          <w:szCs w:val="18"/>
                        </w:rPr>
                        <w:t> </w:t>
                      </w:r>
                      <w:r w:rsidR="00795F3C" w:rsidRPr="00616069">
                        <w:rPr>
                          <w:rFonts w:ascii="Calibri" w:hAnsi="Calibri" w:cs="Calibri"/>
                          <w:color w:val="FFFFFF" w:themeColor="background1"/>
                          <w:szCs w:val="18"/>
                        </w:rPr>
                        <w:t>494</w:t>
                      </w:r>
                      <w:r w:rsidR="008C5D4D" w:rsidRPr="00616069">
                        <w:rPr>
                          <w:rFonts w:ascii="Calibri" w:hAnsi="Calibri" w:cs="Calibri"/>
                          <w:color w:val="FFFFFF" w:themeColor="background1"/>
                          <w:szCs w:val="18"/>
                        </w:rPr>
                        <w:t xml:space="preserve"> 1</w:t>
                      </w:r>
                      <w:r w:rsidR="00795F3C" w:rsidRPr="00616069">
                        <w:rPr>
                          <w:rFonts w:ascii="Calibri" w:hAnsi="Calibri" w:cs="Calibri"/>
                          <w:color w:val="FFFFFF" w:themeColor="background1"/>
                          <w:szCs w:val="18"/>
                        </w:rPr>
                        <w:t>28</w:t>
                      </w:r>
                    </w:p>
                    <w:p w14:paraId="68E9F459" w14:textId="77777777" w:rsidR="0065124E" w:rsidRPr="00616069" w:rsidRDefault="0065124E" w:rsidP="00044002">
                      <w:pPr>
                        <w:jc w:val="left"/>
                        <w:rPr>
                          <w:rFonts w:ascii="Calibri" w:hAnsi="Calibri" w:cs="Calibri"/>
                        </w:rPr>
                      </w:pPr>
                    </w:p>
                  </w:txbxContent>
                </v:textbox>
                <w10:wrap anchorx="margin"/>
              </v:rect>
            </w:pict>
          </mc:Fallback>
        </mc:AlternateContent>
      </w:r>
      <w:r w:rsidR="00617E6C" w:rsidRPr="00616069">
        <w:rPr>
          <w:rFonts w:ascii="Calibri" w:eastAsiaTheme="minorEastAsia" w:hAnsi="Calibri" w:cs="Calibri"/>
          <w:i/>
          <w:iCs/>
          <w:noProof/>
          <w:sz w:val="16"/>
          <w:szCs w:val="18"/>
          <w:lang w:eastAsia="en-GB"/>
        </w:rPr>
        <mc:AlternateContent>
          <mc:Choice Requires="wps">
            <w:drawing>
              <wp:anchor distT="0" distB="0" distL="114300" distR="114300" simplePos="0" relativeHeight="251653120" behindDoc="0" locked="0" layoutInCell="1" allowOverlap="1" wp14:anchorId="6D0BA4F4" wp14:editId="61EE1DCA">
                <wp:simplePos x="0" y="0"/>
                <wp:positionH relativeFrom="margin">
                  <wp:posOffset>-36601</wp:posOffset>
                </wp:positionH>
                <wp:positionV relativeFrom="paragraph">
                  <wp:posOffset>5311241</wp:posOffset>
                </wp:positionV>
                <wp:extent cx="4322445" cy="1546860"/>
                <wp:effectExtent l="0" t="0" r="1905" b="0"/>
                <wp:wrapNone/>
                <wp:docPr id="199" name="Obdélník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2445" cy="154686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6E2C6A" w14:textId="77777777" w:rsidR="0065124E" w:rsidRPr="00616069" w:rsidRDefault="0065124E" w:rsidP="00060D7F">
                            <w:pPr>
                              <w:pStyle w:val="Standard"/>
                              <w:spacing w:line="276" w:lineRule="auto"/>
                              <w:jc w:val="left"/>
                              <w:rPr>
                                <w:rFonts w:ascii="Calibri" w:hAnsi="Calibri" w:cs="Calibri"/>
                                <w:b/>
                                <w:sz w:val="20"/>
                              </w:rPr>
                            </w:pPr>
                            <w:r w:rsidRPr="00616069">
                              <w:rPr>
                                <w:rFonts w:ascii="Calibri" w:hAnsi="Calibri" w:cs="Calibri"/>
                                <w:b/>
                                <w:sz w:val="20"/>
                              </w:rPr>
                              <w:t>O České bankovní asociaci</w:t>
                            </w:r>
                          </w:p>
                          <w:p w14:paraId="63AAED65" w14:textId="4BBC3F44" w:rsidR="0065124E" w:rsidRPr="00616069" w:rsidRDefault="0065124E" w:rsidP="00060D7F">
                            <w:pPr>
                              <w:pStyle w:val="Standard"/>
                              <w:spacing w:line="276" w:lineRule="auto"/>
                              <w:jc w:val="left"/>
                              <w:rPr>
                                <w:rFonts w:ascii="Calibri" w:hAnsi="Calibri" w:cs="Calibri"/>
                                <w:szCs w:val="18"/>
                              </w:rPr>
                            </w:pPr>
                            <w:r w:rsidRPr="00616069">
                              <w:rPr>
                                <w:rFonts w:ascii="Calibri" w:hAnsi="Calibri" w:cs="Calibri"/>
                                <w:szCs w:val="18"/>
                              </w:rPr>
                              <w:t xml:space="preserve">Česká bankovní asociace vznikla v roce 1990 a je dobrovolným sdružením právnických osob podnikajících v oblasti peněžnictví. V současné době sdružuje </w:t>
                            </w:r>
                            <w:r w:rsidR="00AB7541" w:rsidRPr="00616069">
                              <w:rPr>
                                <w:rFonts w:ascii="Calibri" w:hAnsi="Calibri" w:cs="Calibri"/>
                                <w:szCs w:val="18"/>
                              </w:rPr>
                              <w:t>3</w:t>
                            </w:r>
                            <w:r w:rsidR="00B71C25" w:rsidRPr="00616069">
                              <w:rPr>
                                <w:rFonts w:ascii="Calibri" w:hAnsi="Calibri" w:cs="Calibri"/>
                                <w:szCs w:val="18"/>
                              </w:rPr>
                              <w:t>3</w:t>
                            </w:r>
                            <w:r w:rsidRPr="00616069">
                              <w:rPr>
                                <w:rFonts w:ascii="Calibri" w:hAnsi="Calibri" w:cs="Calibri"/>
                                <w:szCs w:val="18"/>
                              </w:rPr>
                              <w:t xml:space="preserve"> členů. Rolí asociace je především zastupovat a prosazovat společné zájmy členů, prezentovat roli a zájmy bankovnictví vůči veřejnosti, podílet se na standardizaci postupů v</w:t>
                            </w:r>
                            <w:r w:rsidRPr="00616069">
                              <w:rPr>
                                <w:rFonts w:ascii="Calibri" w:hAnsi="Calibri" w:cs="Calibri"/>
                                <w:i/>
                                <w:szCs w:val="18"/>
                              </w:rPr>
                              <w:t> </w:t>
                            </w:r>
                            <w:r w:rsidRPr="00616069">
                              <w:rPr>
                                <w:rFonts w:ascii="Calibri" w:hAnsi="Calibri" w:cs="Calibri"/>
                                <w:szCs w:val="18"/>
                              </w:rPr>
                              <w:t>bankovnictví a na vytváření odborných zvyklostí, podporovat harmonizaci bankovní legislativy s legislativou Evropské unie a vyvíjet aktivitu v informativní a školící oblasti. ČBA je členem Evropské bankovní federace a</w:t>
                            </w:r>
                            <w:r w:rsidRPr="00616069">
                              <w:rPr>
                                <w:rFonts w:ascii="Calibri" w:hAnsi="Calibri" w:cs="Calibri"/>
                                <w:i/>
                                <w:szCs w:val="18"/>
                              </w:rPr>
                              <w:t> </w:t>
                            </w:r>
                            <w:r w:rsidRPr="00616069">
                              <w:rPr>
                                <w:rFonts w:ascii="Calibri" w:hAnsi="Calibri" w:cs="Calibri"/>
                                <w:szCs w:val="18"/>
                              </w:rPr>
                              <w:t>EMMI.</w:t>
                            </w:r>
                            <w:r w:rsidR="002D4720" w:rsidRPr="00616069">
                              <w:rPr>
                                <w:rFonts w:ascii="Calibri" w:hAnsi="Calibri" w:cs="Calibri"/>
                                <w:szCs w:val="18"/>
                              </w:rPr>
                              <w:t xml:space="preserve"> Více informací na </w:t>
                            </w:r>
                            <w:hyperlink r:id="rId12" w:history="1">
                              <w:r w:rsidR="002D4720" w:rsidRPr="00616069">
                                <w:rPr>
                                  <w:rStyle w:val="Hypertextovodkaz"/>
                                  <w:rFonts w:ascii="Calibri" w:hAnsi="Calibri" w:cs="Calibri"/>
                                  <w:color w:val="FFFFFF" w:themeColor="background1"/>
                                  <w:szCs w:val="18"/>
                                </w:rPr>
                                <w:t>www.cbaonline.cz</w:t>
                              </w:r>
                            </w:hyperlink>
                            <w:r w:rsidR="002D4720" w:rsidRPr="00616069">
                              <w:rPr>
                                <w:rFonts w:ascii="Calibri" w:hAnsi="Calibri" w:cs="Calibri"/>
                                <w:color w:val="FFFFFF" w:themeColor="background1"/>
                                <w:szCs w:val="18"/>
                              </w:rPr>
                              <w:t xml:space="preserve"> </w:t>
                            </w: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BA4F4" id="Obdélník 199" o:spid="_x0000_s1031" style="position:absolute;left:0;text-align:left;margin-left:-2.9pt;margin-top:418.2pt;width:340.35pt;height:121.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0qvmQIAALAFAAAOAAAAZHJzL2Uyb0RvYy54bWysVMFu2zAMvQ/YPwi6r3aypCuMOkXQosOA&#10;rA3WDj0rshQbk0VNUuJkXz9Kst2mK3YYdhFEinwkn0heXh1aRfbCugZ0SSdnOSVCc6gavS3p98fb&#10;DxeUOM90xRRoUdKjcPRq8f7dZWcKMYUaVCUsQRDtis6UtPbeFFnmeC1a5s7ACI2PEmzLPIp2m1WW&#10;dYjeqmya5+dZB7YyFrhwDrU36ZEuIr6Ugvt7KZ3wRJUUc/PxtPHchDNbXLJia5mpG96nwf4hi5Y1&#10;GoOOUDfMM7KzzR9QbcMtOJD+jEObgZQNF7EGrGaSv6rmoWZGxFqQHGdGmtz/g+V3+weztiF1Z1bA&#10;fzhkJOuMK8aXILje5iBtG2wxcXKILB5HFsXBE47K2cfpdDabU8LxbTKfnV+cR54zVgzuxjr/WUBL&#10;wqWkFr8pssf2K+dDAqwYTGJmoJrqtlEqCqE1xLWyZM/wUzfbSXRVu/YrVEn3aZ7nQ8jYScE8orqX&#10;SEoHPA0BOQUNmlh8qjdW7o9KBDulvwlJmgornMaII3IKyjgX2qdkXM0qkdQhlbdziYABWWL8EbsH&#10;OC1ywE5Z9vbBVcQWH53zvyWWnEePGBm0H53bRoN9C0BhVX3kZD+QlKgJLPnD5oDclHQeLINmA9Vx&#10;bYmFNHLO8NsGP3vFnF8zizOG04h7w9/jIRV0JYX+RkkN9tdb+mCPrY+vlHQ4syV1P3fMCkrUF41D&#10;MckvAtnEn0j2RNqcSHrXXgN20QS3lOHxiv7Wq+EqLbRPuGKWITI+Mc0xfkn9cL32aZvgiuJiuYxG&#10;ONqG+ZV+MDxAB6ZDOz8enpg1fc97HJc7GCacFa9aP9kGTw3LnQfZxLl4Zrb/A1wLsbH7FRb2zks5&#10;Wj0v2sVvAAAA//8DAFBLAwQUAAYACAAAACEATuUoKt4AAAALAQAADwAAAGRycy9kb3ducmV2Lnht&#10;bEyPQU+DQBCF7yb+h82YeGt3bQsisjTGxIsnrY3xOIURiOwssluK/97xZI+T9+W9b4rt7Ho10Rg6&#10;zxZulgYUceXrjhsL+7enRQYqROQae89k4YcCbMvLiwLz2p/4laZdbJSUcMjRQhvjkGsdqpYchqUf&#10;iCX79KPDKOfY6HrEk5S7Xq+MSbXDjmWhxYEeW6q+dkcnu1l4+V7xtH5+32PygXrQJibWXl/ND/eg&#10;Is3xH4Y/fVGHUpwO/sh1UL2FRSLm0UK2TjegBEhvN3egDkKazBjQZaHPfyh/AQAA//8DAFBLAQIt&#10;ABQABgAIAAAAIQC2gziS/gAAAOEBAAATAAAAAAAAAAAAAAAAAAAAAABbQ29udGVudF9UeXBlc10u&#10;eG1sUEsBAi0AFAAGAAgAAAAhADj9If/WAAAAlAEAAAsAAAAAAAAAAAAAAAAALwEAAF9yZWxzLy5y&#10;ZWxzUEsBAi0AFAAGAAgAAAAhAE3LSq+ZAgAAsAUAAA4AAAAAAAAAAAAAAAAALgIAAGRycy9lMm9E&#10;b2MueG1sUEsBAi0AFAAGAAgAAAAhAE7lKCreAAAACwEAAA8AAAAAAAAAAAAAAAAA8wQAAGRycy9k&#10;b3ducmV2LnhtbFBLBQYAAAAABAAEAPMAAAD+BQAAAAA=&#10;" fillcolor="#bfbfbf [2412]" stroked="f" strokeweight="1pt">
                <v:textbox inset="3mm,3mm,3mm,3mm">
                  <w:txbxContent>
                    <w:p w14:paraId="7E6E2C6A" w14:textId="77777777" w:rsidR="0065124E" w:rsidRPr="00616069" w:rsidRDefault="0065124E" w:rsidP="00060D7F">
                      <w:pPr>
                        <w:pStyle w:val="Standard"/>
                        <w:spacing w:line="276" w:lineRule="auto"/>
                        <w:jc w:val="left"/>
                        <w:rPr>
                          <w:rFonts w:ascii="Calibri" w:hAnsi="Calibri" w:cs="Calibri"/>
                          <w:b/>
                          <w:sz w:val="20"/>
                        </w:rPr>
                      </w:pPr>
                      <w:r w:rsidRPr="00616069">
                        <w:rPr>
                          <w:rFonts w:ascii="Calibri" w:hAnsi="Calibri" w:cs="Calibri"/>
                          <w:b/>
                          <w:sz w:val="20"/>
                        </w:rPr>
                        <w:t>O České bankovní asociaci</w:t>
                      </w:r>
                    </w:p>
                    <w:p w14:paraId="63AAED65" w14:textId="4BBC3F44" w:rsidR="0065124E" w:rsidRPr="00616069" w:rsidRDefault="0065124E" w:rsidP="00060D7F">
                      <w:pPr>
                        <w:pStyle w:val="Standard"/>
                        <w:spacing w:line="276" w:lineRule="auto"/>
                        <w:jc w:val="left"/>
                        <w:rPr>
                          <w:rFonts w:ascii="Calibri" w:hAnsi="Calibri" w:cs="Calibri"/>
                          <w:szCs w:val="18"/>
                        </w:rPr>
                      </w:pPr>
                      <w:r w:rsidRPr="00616069">
                        <w:rPr>
                          <w:rFonts w:ascii="Calibri" w:hAnsi="Calibri" w:cs="Calibri"/>
                          <w:szCs w:val="18"/>
                        </w:rPr>
                        <w:t xml:space="preserve">Česká bankovní asociace vznikla v roce 1990 a je dobrovolným sdružením právnických osob podnikajících v oblasti peněžnictví. V současné době sdružuje </w:t>
                      </w:r>
                      <w:r w:rsidR="00AB7541" w:rsidRPr="00616069">
                        <w:rPr>
                          <w:rFonts w:ascii="Calibri" w:hAnsi="Calibri" w:cs="Calibri"/>
                          <w:szCs w:val="18"/>
                        </w:rPr>
                        <w:t>3</w:t>
                      </w:r>
                      <w:r w:rsidR="00B71C25" w:rsidRPr="00616069">
                        <w:rPr>
                          <w:rFonts w:ascii="Calibri" w:hAnsi="Calibri" w:cs="Calibri"/>
                          <w:szCs w:val="18"/>
                        </w:rPr>
                        <w:t>3</w:t>
                      </w:r>
                      <w:r w:rsidRPr="00616069">
                        <w:rPr>
                          <w:rFonts w:ascii="Calibri" w:hAnsi="Calibri" w:cs="Calibri"/>
                          <w:szCs w:val="18"/>
                        </w:rPr>
                        <w:t xml:space="preserve"> členů. Rolí asociace je především zastupovat a prosazovat společné zájmy členů, prezentovat roli a zájmy bankovnictví vůči veřejnosti, podílet se na standardizaci postupů v</w:t>
                      </w:r>
                      <w:r w:rsidRPr="00616069">
                        <w:rPr>
                          <w:rFonts w:ascii="Calibri" w:hAnsi="Calibri" w:cs="Calibri"/>
                          <w:i/>
                          <w:szCs w:val="18"/>
                        </w:rPr>
                        <w:t> </w:t>
                      </w:r>
                      <w:r w:rsidRPr="00616069">
                        <w:rPr>
                          <w:rFonts w:ascii="Calibri" w:hAnsi="Calibri" w:cs="Calibri"/>
                          <w:szCs w:val="18"/>
                        </w:rPr>
                        <w:t>bankovnictví a na vytváření odborných zvyklostí, podporovat harmonizaci bankovní legislativy s legislativou Evropské unie a vyvíjet aktivitu v informativní a školící oblasti. ČBA je členem Evropské bankovní federace a</w:t>
                      </w:r>
                      <w:r w:rsidRPr="00616069">
                        <w:rPr>
                          <w:rFonts w:ascii="Calibri" w:hAnsi="Calibri" w:cs="Calibri"/>
                          <w:i/>
                          <w:szCs w:val="18"/>
                        </w:rPr>
                        <w:t> </w:t>
                      </w:r>
                      <w:r w:rsidRPr="00616069">
                        <w:rPr>
                          <w:rFonts w:ascii="Calibri" w:hAnsi="Calibri" w:cs="Calibri"/>
                          <w:szCs w:val="18"/>
                        </w:rPr>
                        <w:t>EMMI.</w:t>
                      </w:r>
                      <w:r w:rsidR="002D4720" w:rsidRPr="00616069">
                        <w:rPr>
                          <w:rFonts w:ascii="Calibri" w:hAnsi="Calibri" w:cs="Calibri"/>
                          <w:szCs w:val="18"/>
                        </w:rPr>
                        <w:t xml:space="preserve"> Více informací na </w:t>
                      </w:r>
                      <w:hyperlink r:id="rId13" w:history="1">
                        <w:r w:rsidR="002D4720" w:rsidRPr="00616069">
                          <w:rPr>
                            <w:rStyle w:val="Hypertextovodkaz"/>
                            <w:rFonts w:ascii="Calibri" w:hAnsi="Calibri" w:cs="Calibri"/>
                            <w:color w:val="FFFFFF" w:themeColor="background1"/>
                            <w:szCs w:val="18"/>
                          </w:rPr>
                          <w:t>www.cbaonline.cz</w:t>
                        </w:r>
                      </w:hyperlink>
                      <w:r w:rsidR="002D4720" w:rsidRPr="00616069">
                        <w:rPr>
                          <w:rFonts w:ascii="Calibri" w:hAnsi="Calibri" w:cs="Calibri"/>
                          <w:color w:val="FFFFFF" w:themeColor="background1"/>
                          <w:szCs w:val="18"/>
                        </w:rPr>
                        <w:t xml:space="preserve"> </w:t>
                      </w:r>
                    </w:p>
                  </w:txbxContent>
                </v:textbox>
                <w10:wrap anchorx="margin"/>
              </v:rect>
            </w:pict>
          </mc:Fallback>
        </mc:AlternateContent>
      </w:r>
    </w:p>
    <w:sectPr w:rsidR="00C42F00" w:rsidRPr="00B04FE2" w:rsidSect="000C6834">
      <w:headerReference w:type="default" r:id="rId14"/>
      <w:footerReference w:type="default" r:id="rId15"/>
      <w:pgSz w:w="11906" w:h="16838"/>
      <w:pgMar w:top="2552" w:right="849" w:bottom="1560"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ED74F" w14:textId="77777777" w:rsidR="007F53F4" w:rsidRPr="00616069" w:rsidRDefault="007F53F4" w:rsidP="00F573F1">
      <w:r w:rsidRPr="00616069">
        <w:separator/>
      </w:r>
    </w:p>
  </w:endnote>
  <w:endnote w:type="continuationSeparator" w:id="0">
    <w:p w14:paraId="53F97D0D" w14:textId="77777777" w:rsidR="007F53F4" w:rsidRPr="00616069" w:rsidRDefault="007F53F4" w:rsidP="00F573F1">
      <w:r w:rsidRPr="006160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690799"/>
      <w:docPartObj>
        <w:docPartGallery w:val="Page Numbers (Bottom of Page)"/>
        <w:docPartUnique/>
      </w:docPartObj>
    </w:sdtPr>
    <w:sdtContent>
      <w:sdt>
        <w:sdtPr>
          <w:id w:val="-1769616900"/>
          <w:docPartObj>
            <w:docPartGallery w:val="Page Numbers (Top of Page)"/>
            <w:docPartUnique/>
          </w:docPartObj>
        </w:sdtPr>
        <w:sdtContent>
          <w:p w14:paraId="5E2EB97C" w14:textId="697C5AC2" w:rsidR="001E31AB" w:rsidRPr="00616069" w:rsidRDefault="001E31AB">
            <w:pPr>
              <w:pStyle w:val="Zpat"/>
              <w:jc w:val="right"/>
            </w:pPr>
            <w:r w:rsidRPr="00616069">
              <w:rPr>
                <w:rFonts w:ascii="Calibri" w:hAnsi="Calibri"/>
                <w:noProof/>
                <w:szCs w:val="18"/>
                <w:lang w:eastAsia="en-GB"/>
              </w:rPr>
              <w:drawing>
                <wp:anchor distT="0" distB="0" distL="114300" distR="114300" simplePos="0" relativeHeight="251655680" behindDoc="0" locked="0" layoutInCell="1" allowOverlap="1" wp14:anchorId="7B2A8544" wp14:editId="09B386F6">
                  <wp:simplePos x="0" y="0"/>
                  <wp:positionH relativeFrom="column">
                    <wp:posOffset>-540385</wp:posOffset>
                  </wp:positionH>
                  <wp:positionV relativeFrom="paragraph">
                    <wp:posOffset>-365760</wp:posOffset>
                  </wp:positionV>
                  <wp:extent cx="3042285" cy="701040"/>
                  <wp:effectExtent l="0" t="0" r="5715"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1" cstate="print">
                            <a:extLst>
                              <a:ext uri="{28A0092B-C50C-407E-A947-70E740481C1C}">
                                <a14:useLocalDpi xmlns:a14="http://schemas.microsoft.com/office/drawing/2010/main" val="0"/>
                              </a:ext>
                            </a:extLst>
                          </a:blip>
                          <a:srcRect l="-1309" t="94992" r="61095" b="-1544"/>
                          <a:stretch/>
                        </pic:blipFill>
                        <pic:spPr bwMode="auto">
                          <a:xfrm>
                            <a:off x="0" y="0"/>
                            <a:ext cx="3042285" cy="701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069">
              <w:rPr>
                <w:rFonts w:ascii="Calibri" w:hAnsi="Calibri"/>
                <w:szCs w:val="18"/>
              </w:rPr>
              <w:t xml:space="preserve">Stránka </w:t>
            </w:r>
            <w:r w:rsidRPr="00616069">
              <w:rPr>
                <w:rFonts w:ascii="Calibri" w:hAnsi="Calibri"/>
                <w:b/>
                <w:bCs/>
                <w:szCs w:val="18"/>
              </w:rPr>
              <w:fldChar w:fldCharType="begin"/>
            </w:r>
            <w:r w:rsidRPr="00616069">
              <w:rPr>
                <w:rFonts w:ascii="Calibri" w:hAnsi="Calibri"/>
                <w:b/>
                <w:bCs/>
                <w:szCs w:val="18"/>
              </w:rPr>
              <w:instrText>PAGE</w:instrText>
            </w:r>
            <w:r w:rsidRPr="00616069">
              <w:rPr>
                <w:rFonts w:ascii="Calibri" w:hAnsi="Calibri"/>
                <w:b/>
                <w:bCs/>
                <w:szCs w:val="18"/>
              </w:rPr>
              <w:fldChar w:fldCharType="separate"/>
            </w:r>
            <w:r w:rsidR="005F4B41" w:rsidRPr="00616069">
              <w:rPr>
                <w:rFonts w:ascii="Calibri" w:hAnsi="Calibri"/>
                <w:b/>
                <w:bCs/>
                <w:szCs w:val="18"/>
              </w:rPr>
              <w:t>1</w:t>
            </w:r>
            <w:r w:rsidRPr="00616069">
              <w:rPr>
                <w:rFonts w:ascii="Calibri" w:hAnsi="Calibri"/>
                <w:b/>
                <w:bCs/>
                <w:szCs w:val="18"/>
              </w:rPr>
              <w:fldChar w:fldCharType="end"/>
            </w:r>
            <w:r w:rsidRPr="00616069">
              <w:rPr>
                <w:rFonts w:ascii="Calibri" w:hAnsi="Calibri"/>
                <w:szCs w:val="18"/>
              </w:rPr>
              <w:t xml:space="preserve"> z </w:t>
            </w:r>
            <w:r w:rsidRPr="00616069">
              <w:rPr>
                <w:rFonts w:ascii="Calibri" w:hAnsi="Calibri"/>
                <w:b/>
                <w:bCs/>
                <w:szCs w:val="18"/>
              </w:rPr>
              <w:fldChar w:fldCharType="begin"/>
            </w:r>
            <w:r w:rsidRPr="00616069">
              <w:rPr>
                <w:rFonts w:ascii="Calibri" w:hAnsi="Calibri"/>
                <w:b/>
                <w:bCs/>
                <w:szCs w:val="18"/>
              </w:rPr>
              <w:instrText>NUMPAGES</w:instrText>
            </w:r>
            <w:r w:rsidRPr="00616069">
              <w:rPr>
                <w:rFonts w:ascii="Calibri" w:hAnsi="Calibri"/>
                <w:b/>
                <w:bCs/>
                <w:szCs w:val="18"/>
              </w:rPr>
              <w:fldChar w:fldCharType="separate"/>
            </w:r>
            <w:r w:rsidR="005F4B41" w:rsidRPr="00616069">
              <w:rPr>
                <w:rFonts w:ascii="Calibri" w:hAnsi="Calibri"/>
                <w:b/>
                <w:bCs/>
                <w:szCs w:val="18"/>
              </w:rPr>
              <w:t>2</w:t>
            </w:r>
            <w:r w:rsidRPr="00616069">
              <w:rPr>
                <w:rFonts w:ascii="Calibri" w:hAnsi="Calibri"/>
                <w:b/>
                <w:bCs/>
                <w:szCs w:val="18"/>
              </w:rPr>
              <w:fldChar w:fldCharType="end"/>
            </w:r>
          </w:p>
        </w:sdtContent>
      </w:sdt>
    </w:sdtContent>
  </w:sdt>
  <w:p w14:paraId="300EB588" w14:textId="24FF51AB" w:rsidR="0065124E" w:rsidRPr="00616069" w:rsidRDefault="0065124E" w:rsidP="00FB4A1C">
    <w:pPr>
      <w:pStyle w:val="Zpat"/>
      <w:tabs>
        <w:tab w:val="clear" w:pos="4536"/>
        <w:tab w:val="clear" w:pos="9072"/>
        <w:tab w:val="left" w:pos="6080"/>
      </w:tabs>
      <w:rPr>
        <w:color w:val="A6A6A6" w:themeColor="background1" w:themeShade="A6"/>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F83B7" w14:textId="77777777" w:rsidR="007F53F4" w:rsidRPr="00616069" w:rsidRDefault="007F53F4" w:rsidP="00F573F1">
      <w:r w:rsidRPr="00616069">
        <w:separator/>
      </w:r>
    </w:p>
  </w:footnote>
  <w:footnote w:type="continuationSeparator" w:id="0">
    <w:p w14:paraId="5BA76299" w14:textId="77777777" w:rsidR="007F53F4" w:rsidRPr="00616069" w:rsidRDefault="007F53F4" w:rsidP="00F573F1">
      <w:r w:rsidRPr="00616069">
        <w:continuationSeparator/>
      </w:r>
    </w:p>
  </w:footnote>
  <w:footnote w:id="1">
    <w:p w14:paraId="36B6E260" w14:textId="64ECE39F" w:rsidR="00AA4A27" w:rsidRDefault="00AA4A27">
      <w:pPr>
        <w:pStyle w:val="Textpoznpodarou"/>
      </w:pPr>
      <w:r>
        <w:rPr>
          <w:rStyle w:val="Znakapoznpodarou"/>
        </w:rPr>
        <w:footnoteRef/>
      </w:r>
      <w:r>
        <w:t xml:space="preserve"> </w:t>
      </w:r>
      <w:r w:rsidRPr="00AA4A27">
        <w:rPr>
          <w:rFonts w:asciiTheme="majorHAnsi" w:hAnsiTheme="majorHAnsi" w:cstheme="majorHAnsi"/>
          <w:sz w:val="17"/>
          <w:szCs w:val="17"/>
        </w:rPr>
        <w:t xml:space="preserve">Data od února do června letošního roku byla s červencovým vydáním ČBA </w:t>
      </w:r>
      <w:proofErr w:type="spellStart"/>
      <w:r w:rsidRPr="00AA4A27">
        <w:rPr>
          <w:rFonts w:asciiTheme="majorHAnsi" w:hAnsiTheme="majorHAnsi" w:cstheme="majorHAnsi"/>
          <w:sz w:val="17"/>
          <w:szCs w:val="17"/>
        </w:rPr>
        <w:t>Hypomonitoru</w:t>
      </w:r>
      <w:proofErr w:type="spellEnd"/>
      <w:r w:rsidRPr="00AA4A27">
        <w:rPr>
          <w:rFonts w:asciiTheme="majorHAnsi" w:hAnsiTheme="majorHAnsi" w:cstheme="majorHAnsi"/>
          <w:sz w:val="17"/>
          <w:szCs w:val="17"/>
        </w:rPr>
        <w:t xml:space="preserve"> revidována vzhledem k opravě </w:t>
      </w:r>
      <w:r>
        <w:rPr>
          <w:rFonts w:asciiTheme="majorHAnsi" w:hAnsiTheme="majorHAnsi" w:cstheme="majorHAnsi"/>
          <w:sz w:val="17"/>
          <w:szCs w:val="17"/>
        </w:rPr>
        <w:t xml:space="preserve">čísel </w:t>
      </w:r>
      <w:r w:rsidRPr="00AA4A27">
        <w:rPr>
          <w:rFonts w:asciiTheme="majorHAnsi" w:hAnsiTheme="majorHAnsi" w:cstheme="majorHAnsi"/>
          <w:sz w:val="17"/>
          <w:szCs w:val="17"/>
        </w:rPr>
        <w:t xml:space="preserve">ze strany jedné </w:t>
      </w:r>
      <w:r w:rsidR="00942AD5">
        <w:rPr>
          <w:rFonts w:asciiTheme="majorHAnsi" w:hAnsiTheme="majorHAnsi" w:cstheme="majorHAnsi"/>
          <w:sz w:val="17"/>
          <w:szCs w:val="17"/>
        </w:rPr>
        <w:t>významné</w:t>
      </w:r>
      <w:r w:rsidRPr="00AA4A27">
        <w:rPr>
          <w:rFonts w:asciiTheme="majorHAnsi" w:hAnsiTheme="majorHAnsi" w:cstheme="majorHAnsi"/>
          <w:sz w:val="17"/>
          <w:szCs w:val="17"/>
        </w:rPr>
        <w:t xml:space="preserve"> banky. Údaje o počtech a objemech poskytnutých hypoték tak</w:t>
      </w:r>
      <w:r>
        <w:rPr>
          <w:rFonts w:asciiTheme="majorHAnsi" w:hAnsiTheme="majorHAnsi" w:cstheme="majorHAnsi"/>
          <w:sz w:val="17"/>
          <w:szCs w:val="17"/>
        </w:rPr>
        <w:t xml:space="preserve"> byly</w:t>
      </w:r>
      <w:r w:rsidRPr="00AA4A27">
        <w:rPr>
          <w:rFonts w:asciiTheme="majorHAnsi" w:hAnsiTheme="majorHAnsi" w:cstheme="majorHAnsi"/>
          <w:sz w:val="17"/>
          <w:szCs w:val="17"/>
        </w:rPr>
        <w:t xml:space="preserve"> navýšeny s tím, že významnější navýšení se týkalo zejména červ</w:t>
      </w:r>
      <w:r>
        <w:rPr>
          <w:rFonts w:asciiTheme="majorHAnsi" w:hAnsiTheme="majorHAnsi" w:cstheme="majorHAnsi"/>
          <w:sz w:val="17"/>
          <w:szCs w:val="17"/>
        </w:rPr>
        <w:t xml:space="preserve">nové </w:t>
      </w:r>
      <w:r w:rsidRPr="00AA4A27">
        <w:rPr>
          <w:rFonts w:asciiTheme="majorHAnsi" w:hAnsiTheme="majorHAnsi" w:cstheme="majorHAnsi"/>
          <w:sz w:val="17"/>
          <w:szCs w:val="17"/>
        </w:rPr>
        <w:t xml:space="preserve">a květnové hodnoty. </w:t>
      </w:r>
      <w:r>
        <w:rPr>
          <w:rFonts w:asciiTheme="majorHAnsi" w:hAnsiTheme="majorHAnsi" w:cstheme="majorHAnsi"/>
          <w:sz w:val="17"/>
          <w:szCs w:val="17"/>
        </w:rPr>
        <w:t>S navýšením tržního podílu dané instituce se pak nepatrně pro červen snížila i průměrná úroková sazba u nově poskytnutých hypoték, a to z 5,06 na 5,05 %.</w:t>
      </w:r>
    </w:p>
  </w:footnote>
  <w:footnote w:id="2">
    <w:p w14:paraId="18CC1781" w14:textId="600CEE8D" w:rsidR="00AC7487" w:rsidRPr="00616069" w:rsidRDefault="00AC7487" w:rsidP="00AC7487">
      <w:pPr>
        <w:pStyle w:val="Textpoznpodarou"/>
        <w:rPr>
          <w:rFonts w:ascii="Calibri" w:hAnsi="Calibri" w:cs="Calibri"/>
          <w:sz w:val="17"/>
          <w:szCs w:val="17"/>
        </w:rPr>
      </w:pPr>
      <w:r w:rsidRPr="00616069">
        <w:rPr>
          <w:rStyle w:val="Znakapoznpodarou"/>
          <w:rFonts w:ascii="Calibri" w:hAnsi="Calibri" w:cs="Calibri"/>
          <w:sz w:val="17"/>
          <w:szCs w:val="17"/>
        </w:rPr>
        <w:footnoteRef/>
      </w:r>
      <w:r w:rsidRPr="00616069">
        <w:rPr>
          <w:rFonts w:ascii="Calibri" w:hAnsi="Calibri" w:cs="Calibri"/>
          <w:sz w:val="17"/>
          <w:szCs w:val="17"/>
        </w:rPr>
        <w:t xml:space="preserve"> </w:t>
      </w:r>
      <w:r w:rsidRPr="00616069">
        <w:rPr>
          <w:rFonts w:asciiTheme="majorHAnsi" w:hAnsiTheme="majorHAnsi" w:cstheme="majorHAnsi"/>
          <w:sz w:val="17"/>
          <w:szCs w:val="17"/>
        </w:rPr>
        <w:t>Jedná se především o dlouholeté úrokové swapy (</w:t>
      </w:r>
      <w:proofErr w:type="spellStart"/>
      <w:r w:rsidRPr="00616069">
        <w:rPr>
          <w:rFonts w:asciiTheme="majorHAnsi" w:hAnsiTheme="majorHAnsi" w:cstheme="majorHAnsi"/>
          <w:sz w:val="17"/>
          <w:szCs w:val="17"/>
        </w:rPr>
        <w:t>interest</w:t>
      </w:r>
      <w:proofErr w:type="spellEnd"/>
      <w:r w:rsidRPr="00616069">
        <w:rPr>
          <w:rFonts w:asciiTheme="majorHAnsi" w:hAnsiTheme="majorHAnsi" w:cstheme="majorHAnsi"/>
          <w:sz w:val="17"/>
          <w:szCs w:val="17"/>
        </w:rPr>
        <w:t xml:space="preserve"> </w:t>
      </w:r>
      <w:proofErr w:type="spellStart"/>
      <w:r w:rsidRPr="00616069">
        <w:rPr>
          <w:rFonts w:asciiTheme="majorHAnsi" w:hAnsiTheme="majorHAnsi" w:cstheme="majorHAnsi"/>
          <w:sz w:val="17"/>
          <w:szCs w:val="17"/>
        </w:rPr>
        <w:t>rate</w:t>
      </w:r>
      <w:proofErr w:type="spellEnd"/>
      <w:r w:rsidRPr="00616069">
        <w:rPr>
          <w:rFonts w:asciiTheme="majorHAnsi" w:hAnsiTheme="majorHAnsi" w:cstheme="majorHAnsi"/>
          <w:sz w:val="17"/>
          <w:szCs w:val="17"/>
        </w:rPr>
        <w:t xml:space="preserve"> swap, IRS), které odráží cenu peněz v delších splatnostech, například </w:t>
      </w:r>
      <w:r w:rsidR="007877DC">
        <w:rPr>
          <w:rFonts w:asciiTheme="majorHAnsi" w:hAnsiTheme="majorHAnsi" w:cstheme="majorHAnsi"/>
          <w:sz w:val="17"/>
          <w:szCs w:val="17"/>
        </w:rPr>
        <w:t>2</w:t>
      </w:r>
      <w:r w:rsidRPr="00616069">
        <w:rPr>
          <w:rFonts w:asciiTheme="majorHAnsi" w:hAnsiTheme="majorHAnsi" w:cstheme="majorHAnsi"/>
          <w:sz w:val="17"/>
          <w:szCs w:val="17"/>
        </w:rPr>
        <w:t xml:space="preserve"> až 10 let.</w:t>
      </w:r>
    </w:p>
  </w:footnote>
  <w:footnote w:id="3">
    <w:p w14:paraId="67D40024" w14:textId="3138CC7C" w:rsidR="00B04FE2" w:rsidRDefault="00B04FE2" w:rsidP="00B04FE2">
      <w:pPr>
        <w:pStyle w:val="Textpoznpodarou"/>
      </w:pPr>
      <w:r w:rsidRPr="00616069">
        <w:rPr>
          <w:rStyle w:val="Znakapoznpodarou"/>
        </w:rPr>
        <w:footnoteRef/>
      </w:r>
      <w:r w:rsidRPr="00616069">
        <w:t xml:space="preserve"> </w:t>
      </w:r>
      <w:r w:rsidRPr="00616069">
        <w:rPr>
          <w:rFonts w:asciiTheme="majorHAnsi" w:hAnsiTheme="majorHAnsi" w:cstheme="majorHAnsi"/>
          <w:sz w:val="17"/>
          <w:szCs w:val="17"/>
        </w:rPr>
        <w:t xml:space="preserve">Tabulka je k dispozici v souboru </w:t>
      </w:r>
      <w:proofErr w:type="spellStart"/>
      <w:r w:rsidRPr="00616069">
        <w:rPr>
          <w:rFonts w:asciiTheme="majorHAnsi" w:hAnsiTheme="majorHAnsi" w:cstheme="majorHAnsi"/>
          <w:sz w:val="17"/>
          <w:szCs w:val="17"/>
        </w:rPr>
        <w:t>xls</w:t>
      </w:r>
      <w:proofErr w:type="spellEnd"/>
      <w:r w:rsidRPr="00616069">
        <w:rPr>
          <w:rFonts w:asciiTheme="majorHAnsi" w:hAnsiTheme="majorHAnsi" w:cstheme="majorHAnsi"/>
          <w:sz w:val="17"/>
          <w:szCs w:val="17"/>
        </w:rPr>
        <w:t xml:space="preserve"> přiloženém na webových stránkách</w:t>
      </w:r>
      <w:r w:rsidR="00322BF9" w:rsidRPr="00616069">
        <w:rPr>
          <w:rFonts w:asciiTheme="majorHAnsi" w:hAnsiTheme="majorHAnsi" w:cstheme="majorHAnsi"/>
          <w:sz w:val="17"/>
          <w:szCs w:val="17"/>
        </w:rPr>
        <w:t xml:space="preserve"> </w:t>
      </w:r>
      <w:r w:rsidRPr="00616069">
        <w:rPr>
          <w:rFonts w:asciiTheme="majorHAnsi" w:hAnsiTheme="majorHAnsi" w:cstheme="majorHAnsi"/>
          <w:sz w:val="17"/>
          <w:szCs w:val="17"/>
        </w:rPr>
        <w:t xml:space="preserve">ČBA </w:t>
      </w:r>
      <w:proofErr w:type="spellStart"/>
      <w:r w:rsidRPr="00616069">
        <w:rPr>
          <w:rFonts w:asciiTheme="majorHAnsi" w:hAnsiTheme="majorHAnsi" w:cstheme="majorHAnsi"/>
          <w:sz w:val="17"/>
          <w:szCs w:val="17"/>
        </w:rPr>
        <w:t>Hypomonitoru</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A4485" w14:textId="25969B31" w:rsidR="0065124E" w:rsidRPr="00616069" w:rsidRDefault="00A86552">
    <w:pPr>
      <w:pStyle w:val="Zhlav"/>
    </w:pPr>
    <w:r w:rsidRPr="00616069">
      <w:rPr>
        <w:rFonts w:cs="Arial"/>
        <w:noProof/>
        <w:lang w:eastAsia="en-GB"/>
      </w:rPr>
      <mc:AlternateContent>
        <mc:Choice Requires="wps">
          <w:drawing>
            <wp:anchor distT="45720" distB="45720" distL="114300" distR="114300" simplePos="0" relativeHeight="251668480" behindDoc="0" locked="0" layoutInCell="1" allowOverlap="1" wp14:anchorId="1DCC7344" wp14:editId="2F0B41DB">
              <wp:simplePos x="0" y="0"/>
              <wp:positionH relativeFrom="margin">
                <wp:posOffset>2228694</wp:posOffset>
              </wp:positionH>
              <wp:positionV relativeFrom="paragraph">
                <wp:posOffset>214019</wp:posOffset>
              </wp:positionV>
              <wp:extent cx="2941608" cy="140462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608" cy="1404620"/>
                      </a:xfrm>
                      <a:prstGeom prst="rect">
                        <a:avLst/>
                      </a:prstGeom>
                      <a:noFill/>
                      <a:ln w="9525">
                        <a:noFill/>
                        <a:miter lim="800000"/>
                        <a:headEnd/>
                        <a:tailEnd/>
                      </a:ln>
                    </wps:spPr>
                    <wps:txbx>
                      <w:txbxContent>
                        <w:p w14:paraId="24986907" w14:textId="197146E8" w:rsidR="00A86552" w:rsidRPr="00616069" w:rsidRDefault="00A86552" w:rsidP="00A86552">
                          <w:pPr>
                            <w:spacing w:line="276" w:lineRule="auto"/>
                            <w:jc w:val="right"/>
                            <w:rPr>
                              <w:rFonts w:ascii="Calibri" w:hAnsi="Calibri" w:cs="Calibri"/>
                              <w:b/>
                              <w:color w:val="FF0000"/>
                              <w:sz w:val="40"/>
                              <w:szCs w:val="4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C7344" id="_x0000_t202" coordsize="21600,21600" o:spt="202" path="m,l,21600r21600,l21600,xe">
              <v:stroke joinstyle="miter"/>
              <v:path gradientshapeok="t" o:connecttype="rect"/>
            </v:shapetype>
            <v:shape id="_x0000_s1032" type="#_x0000_t202" style="position:absolute;left:0;text-align:left;margin-left:175.5pt;margin-top:16.85pt;width:231.6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Be+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y43ZbHO0SYcY0WZl+tlGkvGqud063z4IECTuKmpw6kmeHZ69CG2w6rnK7Gagb1UKk1WGTLU&#10;dLNarlLCVUTLgMZTUtf0Jo/fZIXI8r1pU3JgUk17LKDMTDsynTiHsRnxYqTfQHtGARxMBsMHgZse&#10;3C9KBjRXTf3PI3OCEvXRoIiboiyjG9OhXL1FxsRdR5rrCDMcoWoaKJm29yE5OHL19g7F3sskw0sn&#10;c69omqTObPDoyutzuvXyDHe/AQAA//8DAFBLAwQUAAYACAAAACEApKay2uAAAAAKAQAADwAAAGRy&#10;cy9kb3ducmV2LnhtbEyPwU7DMBBE70j8g7VI3KiTtKUlxKkq1JYjUCLObrwkEfHait00/D3LCW6z&#10;mtHsm2Iz2V6MOITOkYJ0loBAqp3pqFFQve/v1iBC1GR07wgVfGOATXl9VejcuAu94XiMjeASCrlW&#10;0MbocylD3aLVYeY8EnufbrA68jk00gz6wuW2l1mS3EurO+IPrfb41GL9dTxbBT76w+p5eHnd7vZj&#10;Un0cqqxrdkrd3kzbRxARp/gXhl98RoeSmU7uTCaIXsF8mfKWyGK+AsGBdbrIQJwUZMvFA8iykP8n&#10;lD8AAAD//wMAUEsBAi0AFAAGAAgAAAAhALaDOJL+AAAA4QEAABMAAAAAAAAAAAAAAAAAAAAAAFtD&#10;b250ZW50X1R5cGVzXS54bWxQSwECLQAUAAYACAAAACEAOP0h/9YAAACUAQAACwAAAAAAAAAAAAAA&#10;AAAvAQAAX3JlbHMvLnJlbHNQSwECLQAUAAYACAAAACEAQW6wXvoBAADOAwAADgAAAAAAAAAAAAAA&#10;AAAuAgAAZHJzL2Uyb0RvYy54bWxQSwECLQAUAAYACAAAACEApKay2uAAAAAKAQAADwAAAAAAAAAA&#10;AAAAAABUBAAAZHJzL2Rvd25yZXYueG1sUEsFBgAAAAAEAAQA8wAAAGEFAAAAAA==&#10;" filled="f" stroked="f">
              <v:textbox style="mso-fit-shape-to-text:t">
                <w:txbxContent>
                  <w:p w14:paraId="24986907" w14:textId="197146E8" w:rsidR="00A86552" w:rsidRPr="00616069" w:rsidRDefault="00A86552" w:rsidP="00A86552">
                    <w:pPr>
                      <w:spacing w:line="276" w:lineRule="auto"/>
                      <w:jc w:val="right"/>
                      <w:rPr>
                        <w:rFonts w:ascii="Calibri" w:hAnsi="Calibri" w:cs="Calibri"/>
                        <w:b/>
                        <w:color w:val="FF0000"/>
                        <w:sz w:val="40"/>
                        <w:szCs w:val="40"/>
                      </w:rPr>
                    </w:pPr>
                  </w:p>
                </w:txbxContent>
              </v:textbox>
              <w10:wrap anchorx="margin"/>
            </v:shape>
          </w:pict>
        </mc:Fallback>
      </mc:AlternateContent>
    </w:r>
    <w:r w:rsidR="00744C66" w:rsidRPr="00616069">
      <w:rPr>
        <w:noProof/>
        <w:lang w:eastAsia="en-GB"/>
      </w:rPr>
      <w:drawing>
        <wp:anchor distT="0" distB="0" distL="114300" distR="114300" simplePos="0" relativeHeight="251660288" behindDoc="0" locked="0" layoutInCell="1" allowOverlap="1" wp14:anchorId="197D896D" wp14:editId="7A6FB449">
          <wp:simplePos x="0" y="0"/>
          <wp:positionH relativeFrom="column">
            <wp:posOffset>-52705</wp:posOffset>
          </wp:positionH>
          <wp:positionV relativeFrom="paragraph">
            <wp:posOffset>29845</wp:posOffset>
          </wp:positionV>
          <wp:extent cx="2209800" cy="778510"/>
          <wp:effectExtent l="0" t="0" r="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78510"/>
                  </a:xfrm>
                  <a:prstGeom prst="rect">
                    <a:avLst/>
                  </a:prstGeom>
                  <a:noFill/>
                  <a:ln>
                    <a:noFill/>
                  </a:ln>
                </pic:spPr>
              </pic:pic>
            </a:graphicData>
          </a:graphic>
        </wp:anchor>
      </w:drawing>
    </w:r>
    <w:r w:rsidR="002D4720" w:rsidRPr="00616069">
      <w:rPr>
        <w:noProof/>
        <w:lang w:eastAsia="en-GB"/>
      </w:rPr>
      <w:drawing>
        <wp:anchor distT="0" distB="0" distL="114300" distR="114300" simplePos="0" relativeHeight="251664384" behindDoc="1" locked="0" layoutInCell="1" allowOverlap="1" wp14:anchorId="2A1D7AA9" wp14:editId="7A7B0A01">
          <wp:simplePos x="0" y="0"/>
          <wp:positionH relativeFrom="column">
            <wp:posOffset>3985895</wp:posOffset>
          </wp:positionH>
          <wp:positionV relativeFrom="paragraph">
            <wp:posOffset>-8255</wp:posOffset>
          </wp:positionV>
          <wp:extent cx="2943225" cy="243840"/>
          <wp:effectExtent l="0" t="0" r="9525" b="381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2" cstate="print">
                    <a:extLst>
                      <a:ext uri="{28A0092B-C50C-407E-A947-70E740481C1C}">
                        <a14:useLocalDpi xmlns:a14="http://schemas.microsoft.com/office/drawing/2010/main" val="0"/>
                      </a:ext>
                    </a:extLst>
                  </a:blip>
                  <a:srcRect t="94992" r="61096" b="2729"/>
                  <a:stretch/>
                </pic:blipFill>
                <pic:spPr bwMode="auto">
                  <a:xfrm>
                    <a:off x="0" y="0"/>
                    <a:ext cx="2943225" cy="243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720" w:rsidRPr="00616069">
      <w:rPr>
        <w:rFonts w:cs="Arial"/>
        <w:noProof/>
        <w:lang w:eastAsia="en-GB"/>
      </w:rPr>
      <mc:AlternateContent>
        <mc:Choice Requires="wps">
          <w:drawing>
            <wp:anchor distT="45720" distB="45720" distL="114300" distR="114300" simplePos="0" relativeHeight="251662336" behindDoc="0" locked="0" layoutInCell="1" allowOverlap="1" wp14:anchorId="126DE097" wp14:editId="755E40ED">
              <wp:simplePos x="0" y="0"/>
              <wp:positionH relativeFrom="margin">
                <wp:posOffset>5238115</wp:posOffset>
              </wp:positionH>
              <wp:positionV relativeFrom="paragraph">
                <wp:posOffset>153035</wp:posOffset>
              </wp:positionV>
              <wp:extent cx="1239520" cy="1404620"/>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1404620"/>
                      </a:xfrm>
                      <a:prstGeom prst="rect">
                        <a:avLst/>
                      </a:prstGeom>
                      <a:noFill/>
                      <a:ln w="9525">
                        <a:noFill/>
                        <a:miter lim="800000"/>
                        <a:headEnd/>
                        <a:tailEnd/>
                      </a:ln>
                    </wps:spPr>
                    <wps:txbx>
                      <w:txbxContent>
                        <w:p w14:paraId="15DE40D2" w14:textId="77777777" w:rsidR="002D4720" w:rsidRPr="00616069" w:rsidRDefault="002D4720" w:rsidP="002D4720">
                          <w:pPr>
                            <w:spacing w:line="276" w:lineRule="auto"/>
                            <w:jc w:val="right"/>
                            <w:rPr>
                              <w:rFonts w:ascii="Calibri" w:hAnsi="Calibri" w:cs="Calibri"/>
                              <w:b/>
                              <w:color w:val="13576B"/>
                              <w:sz w:val="20"/>
                              <w:szCs w:val="22"/>
                            </w:rPr>
                          </w:pPr>
                          <w:r w:rsidRPr="00616069">
                            <w:rPr>
                              <w:rFonts w:ascii="Calibri" w:hAnsi="Calibri" w:cs="Calibri"/>
                              <w:b/>
                              <w:color w:val="13576B"/>
                              <w:sz w:val="20"/>
                              <w:szCs w:val="22"/>
                            </w:rPr>
                            <w:t>KOMENTÁŘ</w:t>
                          </w:r>
                        </w:p>
                        <w:p w14:paraId="0A69756F" w14:textId="19EFEBC7" w:rsidR="002D4720" w:rsidRPr="00616069" w:rsidRDefault="007F41A0" w:rsidP="002D4720">
                          <w:pPr>
                            <w:spacing w:line="276" w:lineRule="auto"/>
                            <w:jc w:val="center"/>
                            <w:rPr>
                              <w:rFonts w:ascii="Calibri" w:hAnsi="Calibri" w:cs="Calibri"/>
                              <w:b/>
                              <w:color w:val="13576B"/>
                              <w:sz w:val="20"/>
                              <w:szCs w:val="22"/>
                            </w:rPr>
                          </w:pPr>
                          <w:r w:rsidRPr="00616069">
                            <w:rPr>
                              <w:rFonts w:ascii="Calibri" w:hAnsi="Calibri" w:cs="Calibri"/>
                              <w:color w:val="13576B"/>
                              <w:sz w:val="20"/>
                              <w:szCs w:val="22"/>
                            </w:rPr>
                            <w:t xml:space="preserve">            </w:t>
                          </w:r>
                          <w:r w:rsidR="0001227F" w:rsidRPr="00616069">
                            <w:rPr>
                              <w:rFonts w:ascii="Calibri" w:hAnsi="Calibri" w:cs="Calibri"/>
                              <w:color w:val="13576B"/>
                              <w:sz w:val="20"/>
                              <w:szCs w:val="22"/>
                            </w:rPr>
                            <w:t>1</w:t>
                          </w:r>
                          <w:r w:rsidR="009869D5">
                            <w:rPr>
                              <w:rFonts w:ascii="Calibri" w:hAnsi="Calibri" w:cs="Calibri"/>
                              <w:color w:val="13576B"/>
                              <w:sz w:val="20"/>
                              <w:szCs w:val="22"/>
                            </w:rPr>
                            <w:t>3</w:t>
                          </w:r>
                          <w:r w:rsidR="002D4720" w:rsidRPr="00616069">
                            <w:rPr>
                              <w:rFonts w:ascii="Calibri" w:hAnsi="Calibri" w:cs="Calibri"/>
                              <w:color w:val="13576B"/>
                              <w:sz w:val="20"/>
                              <w:szCs w:val="22"/>
                            </w:rPr>
                            <w:t>.</w:t>
                          </w:r>
                          <w:r w:rsidR="003E393C" w:rsidRPr="00616069">
                            <w:rPr>
                              <w:rFonts w:ascii="Calibri" w:hAnsi="Calibri" w:cs="Calibri"/>
                              <w:color w:val="13576B"/>
                              <w:sz w:val="20"/>
                              <w:szCs w:val="22"/>
                            </w:rPr>
                            <w:t>0</w:t>
                          </w:r>
                          <w:r w:rsidR="009869D5">
                            <w:rPr>
                              <w:rFonts w:ascii="Calibri" w:hAnsi="Calibri" w:cs="Calibri"/>
                              <w:color w:val="13576B"/>
                              <w:sz w:val="20"/>
                              <w:szCs w:val="22"/>
                            </w:rPr>
                            <w:t>8</w:t>
                          </w:r>
                          <w:r w:rsidR="002D4720" w:rsidRPr="00616069">
                            <w:rPr>
                              <w:rFonts w:ascii="Calibri" w:hAnsi="Calibri" w:cs="Calibri"/>
                              <w:color w:val="13576B"/>
                              <w:sz w:val="20"/>
                              <w:szCs w:val="22"/>
                            </w:rPr>
                            <w:t>.202</w:t>
                          </w:r>
                          <w:r w:rsidR="003E393C" w:rsidRPr="00616069">
                            <w:rPr>
                              <w:rFonts w:ascii="Calibri" w:hAnsi="Calibri" w:cs="Calibri"/>
                              <w:color w:val="13576B"/>
                              <w:sz w:val="20"/>
                              <w:szCs w:val="22"/>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6DE097" id="_x0000_s1033" type="#_x0000_t202" style="position:absolute;left:0;text-align:left;margin-left:412.45pt;margin-top:12.05pt;width:97.6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Q+QEAANUDAAAOAAAAZHJzL2Uyb0RvYy54bWysU8tu2zAQvBfoPxC815JdO00Ey0Ga1EWB&#10;9AGk/QCaoiyiJJfl0pbSr8+SUhyjvRXVgeBqydmd2eH6erCGHVVADa7m81nJmXISGu32Nf/xffvm&#10;kjOMwjXCgFM1f1TIrzevX617X6kFdGAaFRiBOKx6X/MuRl8VBcpOWYEz8MpRsoVgRaQw7IsmiJ7Q&#10;rSkWZXlR9BAaH0AqRPp7Nyb5JuO3rZLxa9uiiszUnHqLeQ153aW12KxFtQ/Cd1pObYh/6MIK7ajo&#10;CepORMEOQf8FZbUMgNDGmQRbQNtqqTIHYjMv/2Dz0AmvMhcSB/1JJvx/sPLL8cF/CywO72GgAWYS&#10;6O9B/kTm4LYTbq9uQoC+U6KhwvMkWdF7rKarSWqsMIHs+s/Q0JDFIUIGGtpgkyrEkxE6DeDxJLoa&#10;IpOp5OLt1WpBKUm5+bJcXlCQaojq+boPGD8qsCxtah5oqhleHO8xjkefj6RqDrbamDxZ41hfc8Jf&#10;5QtnGasjGc9oW/PLMn2jFRLLD67Jl6PQZtxTL8ZNtBPTkXMcdgPTzaRJUmEHzSPpEGD0Gb0L2nQQ&#10;fnPWk8dqjr8OIijOzCdHWl7Nl8tkyhwsV++SCuE8szvPCCcJquaRs3F7G7ORE2X0N6T5Vmc1XjqZ&#10;WibvZD0nnydznsf51Mtr3DwBAAD//wMAUEsDBBQABgAIAAAAIQBZPz173gAAAAsBAAAPAAAAZHJz&#10;L2Rvd25yZXYueG1sTI/LTsMwEEX3SPyDNUjsqF1TaAlxqgq1ZQm0EWs3HpKIeBzZbhr+HmcFu3kc&#10;3TmTr0fbsQF9aB0pmM8EMKTKmZZqBeVxd7cCFqImoztHqOAHA6yL66tcZ8Zd6AOHQ6xZCqGQaQVN&#10;jH3GeagatDrMXI+Udl/OWx1T62tuvL6kcNtxKcQjt7qldKHRPb40WH0fzlZBH/v98tW/vW+2u0GU&#10;n/tStvVWqdubcfMMLOIY/2CY9JM6FMnp5M5kAusUrOTiKaEK5GIObAKEFKk6TZOHe+BFzv//UPwC&#10;AAD//wMAUEsBAi0AFAAGAAgAAAAhALaDOJL+AAAA4QEAABMAAAAAAAAAAAAAAAAAAAAAAFtDb250&#10;ZW50X1R5cGVzXS54bWxQSwECLQAUAAYACAAAACEAOP0h/9YAAACUAQAACwAAAAAAAAAAAAAAAAAv&#10;AQAAX3JlbHMvLnJlbHNQSwECLQAUAAYACAAAACEAoP2Q0PkBAADVAwAADgAAAAAAAAAAAAAAAAAu&#10;AgAAZHJzL2Uyb0RvYy54bWxQSwECLQAUAAYACAAAACEAWT89e94AAAALAQAADwAAAAAAAAAAAAAA&#10;AABTBAAAZHJzL2Rvd25yZXYueG1sUEsFBgAAAAAEAAQA8wAAAF4FAAAAAA==&#10;" filled="f" stroked="f">
              <v:textbox style="mso-fit-shape-to-text:t">
                <w:txbxContent>
                  <w:p w14:paraId="15DE40D2" w14:textId="77777777" w:rsidR="002D4720" w:rsidRPr="00616069" w:rsidRDefault="002D4720" w:rsidP="002D4720">
                    <w:pPr>
                      <w:spacing w:line="276" w:lineRule="auto"/>
                      <w:jc w:val="right"/>
                      <w:rPr>
                        <w:rFonts w:ascii="Calibri" w:hAnsi="Calibri" w:cs="Calibri"/>
                        <w:b/>
                        <w:color w:val="13576B"/>
                        <w:sz w:val="20"/>
                        <w:szCs w:val="22"/>
                      </w:rPr>
                    </w:pPr>
                    <w:r w:rsidRPr="00616069">
                      <w:rPr>
                        <w:rFonts w:ascii="Calibri" w:hAnsi="Calibri" w:cs="Calibri"/>
                        <w:b/>
                        <w:color w:val="13576B"/>
                        <w:sz w:val="20"/>
                        <w:szCs w:val="22"/>
                      </w:rPr>
                      <w:t>KOMENTÁŘ</w:t>
                    </w:r>
                  </w:p>
                  <w:p w14:paraId="0A69756F" w14:textId="19EFEBC7" w:rsidR="002D4720" w:rsidRPr="00616069" w:rsidRDefault="007F41A0" w:rsidP="002D4720">
                    <w:pPr>
                      <w:spacing w:line="276" w:lineRule="auto"/>
                      <w:jc w:val="center"/>
                      <w:rPr>
                        <w:rFonts w:ascii="Calibri" w:hAnsi="Calibri" w:cs="Calibri"/>
                        <w:b/>
                        <w:color w:val="13576B"/>
                        <w:sz w:val="20"/>
                        <w:szCs w:val="22"/>
                      </w:rPr>
                    </w:pPr>
                    <w:r w:rsidRPr="00616069">
                      <w:rPr>
                        <w:rFonts w:ascii="Calibri" w:hAnsi="Calibri" w:cs="Calibri"/>
                        <w:color w:val="13576B"/>
                        <w:sz w:val="20"/>
                        <w:szCs w:val="22"/>
                      </w:rPr>
                      <w:t xml:space="preserve">            </w:t>
                    </w:r>
                    <w:r w:rsidR="0001227F" w:rsidRPr="00616069">
                      <w:rPr>
                        <w:rFonts w:ascii="Calibri" w:hAnsi="Calibri" w:cs="Calibri"/>
                        <w:color w:val="13576B"/>
                        <w:sz w:val="20"/>
                        <w:szCs w:val="22"/>
                      </w:rPr>
                      <w:t>1</w:t>
                    </w:r>
                    <w:r w:rsidR="009869D5">
                      <w:rPr>
                        <w:rFonts w:ascii="Calibri" w:hAnsi="Calibri" w:cs="Calibri"/>
                        <w:color w:val="13576B"/>
                        <w:sz w:val="20"/>
                        <w:szCs w:val="22"/>
                      </w:rPr>
                      <w:t>3</w:t>
                    </w:r>
                    <w:r w:rsidR="002D4720" w:rsidRPr="00616069">
                      <w:rPr>
                        <w:rFonts w:ascii="Calibri" w:hAnsi="Calibri" w:cs="Calibri"/>
                        <w:color w:val="13576B"/>
                        <w:sz w:val="20"/>
                        <w:szCs w:val="22"/>
                      </w:rPr>
                      <w:t>.</w:t>
                    </w:r>
                    <w:r w:rsidR="003E393C" w:rsidRPr="00616069">
                      <w:rPr>
                        <w:rFonts w:ascii="Calibri" w:hAnsi="Calibri" w:cs="Calibri"/>
                        <w:color w:val="13576B"/>
                        <w:sz w:val="20"/>
                        <w:szCs w:val="22"/>
                      </w:rPr>
                      <w:t>0</w:t>
                    </w:r>
                    <w:r w:rsidR="009869D5">
                      <w:rPr>
                        <w:rFonts w:ascii="Calibri" w:hAnsi="Calibri" w:cs="Calibri"/>
                        <w:color w:val="13576B"/>
                        <w:sz w:val="20"/>
                        <w:szCs w:val="22"/>
                      </w:rPr>
                      <w:t>8</w:t>
                    </w:r>
                    <w:r w:rsidR="002D4720" w:rsidRPr="00616069">
                      <w:rPr>
                        <w:rFonts w:ascii="Calibri" w:hAnsi="Calibri" w:cs="Calibri"/>
                        <w:color w:val="13576B"/>
                        <w:sz w:val="20"/>
                        <w:szCs w:val="22"/>
                      </w:rPr>
                      <w:t>.202</w:t>
                    </w:r>
                    <w:r w:rsidR="003E393C" w:rsidRPr="00616069">
                      <w:rPr>
                        <w:rFonts w:ascii="Calibri" w:hAnsi="Calibri" w:cs="Calibri"/>
                        <w:color w:val="13576B"/>
                        <w:sz w:val="20"/>
                        <w:szCs w:val="22"/>
                      </w:rPr>
                      <w:t>4</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69A1"/>
    <w:multiLevelType w:val="hybridMultilevel"/>
    <w:tmpl w:val="28EA1BD4"/>
    <w:lvl w:ilvl="0" w:tplc="F8600AFA">
      <w:start w:val="1"/>
      <w:numFmt w:val="bullet"/>
      <w:lvlText w:val="•"/>
      <w:lvlJc w:val="left"/>
      <w:pPr>
        <w:tabs>
          <w:tab w:val="num" w:pos="720"/>
        </w:tabs>
        <w:ind w:left="720" w:hanging="360"/>
      </w:pPr>
      <w:rPr>
        <w:rFonts w:ascii="Arial" w:hAnsi="Arial" w:hint="default"/>
      </w:rPr>
    </w:lvl>
    <w:lvl w:ilvl="1" w:tplc="9954B5E4" w:tentative="1">
      <w:start w:val="1"/>
      <w:numFmt w:val="bullet"/>
      <w:lvlText w:val="•"/>
      <w:lvlJc w:val="left"/>
      <w:pPr>
        <w:tabs>
          <w:tab w:val="num" w:pos="1440"/>
        </w:tabs>
        <w:ind w:left="1440" w:hanging="360"/>
      </w:pPr>
      <w:rPr>
        <w:rFonts w:ascii="Arial" w:hAnsi="Arial" w:hint="default"/>
      </w:rPr>
    </w:lvl>
    <w:lvl w:ilvl="2" w:tplc="62304CC8" w:tentative="1">
      <w:start w:val="1"/>
      <w:numFmt w:val="bullet"/>
      <w:lvlText w:val="•"/>
      <w:lvlJc w:val="left"/>
      <w:pPr>
        <w:tabs>
          <w:tab w:val="num" w:pos="2160"/>
        </w:tabs>
        <w:ind w:left="2160" w:hanging="360"/>
      </w:pPr>
      <w:rPr>
        <w:rFonts w:ascii="Arial" w:hAnsi="Arial" w:hint="default"/>
      </w:rPr>
    </w:lvl>
    <w:lvl w:ilvl="3" w:tplc="0CA22174" w:tentative="1">
      <w:start w:val="1"/>
      <w:numFmt w:val="bullet"/>
      <w:lvlText w:val="•"/>
      <w:lvlJc w:val="left"/>
      <w:pPr>
        <w:tabs>
          <w:tab w:val="num" w:pos="2880"/>
        </w:tabs>
        <w:ind w:left="2880" w:hanging="360"/>
      </w:pPr>
      <w:rPr>
        <w:rFonts w:ascii="Arial" w:hAnsi="Arial" w:hint="default"/>
      </w:rPr>
    </w:lvl>
    <w:lvl w:ilvl="4" w:tplc="B31CD540" w:tentative="1">
      <w:start w:val="1"/>
      <w:numFmt w:val="bullet"/>
      <w:lvlText w:val="•"/>
      <w:lvlJc w:val="left"/>
      <w:pPr>
        <w:tabs>
          <w:tab w:val="num" w:pos="3600"/>
        </w:tabs>
        <w:ind w:left="3600" w:hanging="360"/>
      </w:pPr>
      <w:rPr>
        <w:rFonts w:ascii="Arial" w:hAnsi="Arial" w:hint="default"/>
      </w:rPr>
    </w:lvl>
    <w:lvl w:ilvl="5" w:tplc="A83A2ECA" w:tentative="1">
      <w:start w:val="1"/>
      <w:numFmt w:val="bullet"/>
      <w:lvlText w:val="•"/>
      <w:lvlJc w:val="left"/>
      <w:pPr>
        <w:tabs>
          <w:tab w:val="num" w:pos="4320"/>
        </w:tabs>
        <w:ind w:left="4320" w:hanging="360"/>
      </w:pPr>
      <w:rPr>
        <w:rFonts w:ascii="Arial" w:hAnsi="Arial" w:hint="default"/>
      </w:rPr>
    </w:lvl>
    <w:lvl w:ilvl="6" w:tplc="8A1254AE" w:tentative="1">
      <w:start w:val="1"/>
      <w:numFmt w:val="bullet"/>
      <w:lvlText w:val="•"/>
      <w:lvlJc w:val="left"/>
      <w:pPr>
        <w:tabs>
          <w:tab w:val="num" w:pos="5040"/>
        </w:tabs>
        <w:ind w:left="5040" w:hanging="360"/>
      </w:pPr>
      <w:rPr>
        <w:rFonts w:ascii="Arial" w:hAnsi="Arial" w:hint="default"/>
      </w:rPr>
    </w:lvl>
    <w:lvl w:ilvl="7" w:tplc="247E4084" w:tentative="1">
      <w:start w:val="1"/>
      <w:numFmt w:val="bullet"/>
      <w:lvlText w:val="•"/>
      <w:lvlJc w:val="left"/>
      <w:pPr>
        <w:tabs>
          <w:tab w:val="num" w:pos="5760"/>
        </w:tabs>
        <w:ind w:left="5760" w:hanging="360"/>
      </w:pPr>
      <w:rPr>
        <w:rFonts w:ascii="Arial" w:hAnsi="Arial" w:hint="default"/>
      </w:rPr>
    </w:lvl>
    <w:lvl w:ilvl="8" w:tplc="78E09F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843AD"/>
    <w:multiLevelType w:val="hybridMultilevel"/>
    <w:tmpl w:val="EB828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615A72"/>
    <w:multiLevelType w:val="hybridMultilevel"/>
    <w:tmpl w:val="4222A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7B1D76"/>
    <w:multiLevelType w:val="hybridMultilevel"/>
    <w:tmpl w:val="6D5277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72C3C"/>
    <w:multiLevelType w:val="hybridMultilevel"/>
    <w:tmpl w:val="163C6E86"/>
    <w:lvl w:ilvl="0" w:tplc="0405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1206309C"/>
    <w:multiLevelType w:val="hybridMultilevel"/>
    <w:tmpl w:val="855E01C6"/>
    <w:lvl w:ilvl="0" w:tplc="9F3AF1EC">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B92919"/>
    <w:multiLevelType w:val="hybridMultilevel"/>
    <w:tmpl w:val="2B56FAFE"/>
    <w:lvl w:ilvl="0" w:tplc="69881738">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0A4083"/>
    <w:multiLevelType w:val="hybridMultilevel"/>
    <w:tmpl w:val="3C584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E42FC1"/>
    <w:multiLevelType w:val="hybridMultilevel"/>
    <w:tmpl w:val="C296AEE6"/>
    <w:lvl w:ilvl="0" w:tplc="B256063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0FA4577"/>
    <w:multiLevelType w:val="hybridMultilevel"/>
    <w:tmpl w:val="553EAC9E"/>
    <w:lvl w:ilvl="0" w:tplc="8B20C2B0">
      <w:start w:val="3"/>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3343A30"/>
    <w:multiLevelType w:val="hybridMultilevel"/>
    <w:tmpl w:val="26BEA028"/>
    <w:lvl w:ilvl="0" w:tplc="886E46EA">
      <w:start w:val="1"/>
      <w:numFmt w:val="bullet"/>
      <w:lvlText w:val="•"/>
      <w:lvlJc w:val="left"/>
      <w:pPr>
        <w:tabs>
          <w:tab w:val="num" w:pos="720"/>
        </w:tabs>
        <w:ind w:left="720" w:hanging="360"/>
      </w:pPr>
      <w:rPr>
        <w:rFonts w:ascii="Arial" w:hAnsi="Arial" w:hint="default"/>
      </w:rPr>
    </w:lvl>
    <w:lvl w:ilvl="1" w:tplc="D24078A2" w:tentative="1">
      <w:start w:val="1"/>
      <w:numFmt w:val="bullet"/>
      <w:lvlText w:val="•"/>
      <w:lvlJc w:val="left"/>
      <w:pPr>
        <w:tabs>
          <w:tab w:val="num" w:pos="1440"/>
        </w:tabs>
        <w:ind w:left="1440" w:hanging="360"/>
      </w:pPr>
      <w:rPr>
        <w:rFonts w:ascii="Arial" w:hAnsi="Arial" w:hint="default"/>
      </w:rPr>
    </w:lvl>
    <w:lvl w:ilvl="2" w:tplc="7B82BD50" w:tentative="1">
      <w:start w:val="1"/>
      <w:numFmt w:val="bullet"/>
      <w:lvlText w:val="•"/>
      <w:lvlJc w:val="left"/>
      <w:pPr>
        <w:tabs>
          <w:tab w:val="num" w:pos="2160"/>
        </w:tabs>
        <w:ind w:left="2160" w:hanging="360"/>
      </w:pPr>
      <w:rPr>
        <w:rFonts w:ascii="Arial" w:hAnsi="Arial" w:hint="default"/>
      </w:rPr>
    </w:lvl>
    <w:lvl w:ilvl="3" w:tplc="294E0B36" w:tentative="1">
      <w:start w:val="1"/>
      <w:numFmt w:val="bullet"/>
      <w:lvlText w:val="•"/>
      <w:lvlJc w:val="left"/>
      <w:pPr>
        <w:tabs>
          <w:tab w:val="num" w:pos="2880"/>
        </w:tabs>
        <w:ind w:left="2880" w:hanging="360"/>
      </w:pPr>
      <w:rPr>
        <w:rFonts w:ascii="Arial" w:hAnsi="Arial" w:hint="default"/>
      </w:rPr>
    </w:lvl>
    <w:lvl w:ilvl="4" w:tplc="5282AFB4" w:tentative="1">
      <w:start w:val="1"/>
      <w:numFmt w:val="bullet"/>
      <w:lvlText w:val="•"/>
      <w:lvlJc w:val="left"/>
      <w:pPr>
        <w:tabs>
          <w:tab w:val="num" w:pos="3600"/>
        </w:tabs>
        <w:ind w:left="3600" w:hanging="360"/>
      </w:pPr>
      <w:rPr>
        <w:rFonts w:ascii="Arial" w:hAnsi="Arial" w:hint="default"/>
      </w:rPr>
    </w:lvl>
    <w:lvl w:ilvl="5" w:tplc="3D02FB28" w:tentative="1">
      <w:start w:val="1"/>
      <w:numFmt w:val="bullet"/>
      <w:lvlText w:val="•"/>
      <w:lvlJc w:val="left"/>
      <w:pPr>
        <w:tabs>
          <w:tab w:val="num" w:pos="4320"/>
        </w:tabs>
        <w:ind w:left="4320" w:hanging="360"/>
      </w:pPr>
      <w:rPr>
        <w:rFonts w:ascii="Arial" w:hAnsi="Arial" w:hint="default"/>
      </w:rPr>
    </w:lvl>
    <w:lvl w:ilvl="6" w:tplc="E1CE200A" w:tentative="1">
      <w:start w:val="1"/>
      <w:numFmt w:val="bullet"/>
      <w:lvlText w:val="•"/>
      <w:lvlJc w:val="left"/>
      <w:pPr>
        <w:tabs>
          <w:tab w:val="num" w:pos="5040"/>
        </w:tabs>
        <w:ind w:left="5040" w:hanging="360"/>
      </w:pPr>
      <w:rPr>
        <w:rFonts w:ascii="Arial" w:hAnsi="Arial" w:hint="default"/>
      </w:rPr>
    </w:lvl>
    <w:lvl w:ilvl="7" w:tplc="88245F8C" w:tentative="1">
      <w:start w:val="1"/>
      <w:numFmt w:val="bullet"/>
      <w:lvlText w:val="•"/>
      <w:lvlJc w:val="left"/>
      <w:pPr>
        <w:tabs>
          <w:tab w:val="num" w:pos="5760"/>
        </w:tabs>
        <w:ind w:left="5760" w:hanging="360"/>
      </w:pPr>
      <w:rPr>
        <w:rFonts w:ascii="Arial" w:hAnsi="Arial" w:hint="default"/>
      </w:rPr>
    </w:lvl>
    <w:lvl w:ilvl="8" w:tplc="D3A85D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BB14DD"/>
    <w:multiLevelType w:val="hybridMultilevel"/>
    <w:tmpl w:val="17628C18"/>
    <w:lvl w:ilvl="0" w:tplc="E50CA28E">
      <w:start w:val="1"/>
      <w:numFmt w:val="bullet"/>
      <w:lvlText w:val="•"/>
      <w:lvlJc w:val="left"/>
      <w:pPr>
        <w:tabs>
          <w:tab w:val="num" w:pos="720"/>
        </w:tabs>
        <w:ind w:left="720" w:hanging="360"/>
      </w:pPr>
      <w:rPr>
        <w:rFonts w:ascii="Arial" w:hAnsi="Arial" w:cs="Times New Roman" w:hint="default"/>
      </w:rPr>
    </w:lvl>
    <w:lvl w:ilvl="1" w:tplc="9C6437BE">
      <w:start w:val="1"/>
      <w:numFmt w:val="bullet"/>
      <w:lvlText w:val="•"/>
      <w:lvlJc w:val="left"/>
      <w:pPr>
        <w:tabs>
          <w:tab w:val="num" w:pos="1440"/>
        </w:tabs>
        <w:ind w:left="1440" w:hanging="360"/>
      </w:pPr>
      <w:rPr>
        <w:rFonts w:ascii="Arial" w:hAnsi="Arial" w:cs="Times New Roman" w:hint="default"/>
      </w:rPr>
    </w:lvl>
    <w:lvl w:ilvl="2" w:tplc="CCB6EF00">
      <w:start w:val="1"/>
      <w:numFmt w:val="bullet"/>
      <w:lvlText w:val="•"/>
      <w:lvlJc w:val="left"/>
      <w:pPr>
        <w:tabs>
          <w:tab w:val="num" w:pos="2160"/>
        </w:tabs>
        <w:ind w:left="2160" w:hanging="360"/>
      </w:pPr>
      <w:rPr>
        <w:rFonts w:ascii="Arial" w:hAnsi="Arial" w:cs="Times New Roman" w:hint="default"/>
      </w:rPr>
    </w:lvl>
    <w:lvl w:ilvl="3" w:tplc="89EEF108">
      <w:start w:val="1"/>
      <w:numFmt w:val="bullet"/>
      <w:lvlText w:val="•"/>
      <w:lvlJc w:val="left"/>
      <w:pPr>
        <w:tabs>
          <w:tab w:val="num" w:pos="2880"/>
        </w:tabs>
        <w:ind w:left="2880" w:hanging="360"/>
      </w:pPr>
      <w:rPr>
        <w:rFonts w:ascii="Arial" w:hAnsi="Arial" w:cs="Times New Roman" w:hint="default"/>
      </w:rPr>
    </w:lvl>
    <w:lvl w:ilvl="4" w:tplc="42ECDBEA">
      <w:start w:val="1"/>
      <w:numFmt w:val="bullet"/>
      <w:lvlText w:val="•"/>
      <w:lvlJc w:val="left"/>
      <w:pPr>
        <w:tabs>
          <w:tab w:val="num" w:pos="3600"/>
        </w:tabs>
        <w:ind w:left="3600" w:hanging="360"/>
      </w:pPr>
      <w:rPr>
        <w:rFonts w:ascii="Arial" w:hAnsi="Arial" w:cs="Times New Roman" w:hint="default"/>
      </w:rPr>
    </w:lvl>
    <w:lvl w:ilvl="5" w:tplc="3A6A64DA">
      <w:start w:val="1"/>
      <w:numFmt w:val="bullet"/>
      <w:lvlText w:val="•"/>
      <w:lvlJc w:val="left"/>
      <w:pPr>
        <w:tabs>
          <w:tab w:val="num" w:pos="4320"/>
        </w:tabs>
        <w:ind w:left="4320" w:hanging="360"/>
      </w:pPr>
      <w:rPr>
        <w:rFonts w:ascii="Arial" w:hAnsi="Arial" w:cs="Times New Roman" w:hint="default"/>
      </w:rPr>
    </w:lvl>
    <w:lvl w:ilvl="6" w:tplc="785E48AA">
      <w:start w:val="1"/>
      <w:numFmt w:val="bullet"/>
      <w:lvlText w:val="•"/>
      <w:lvlJc w:val="left"/>
      <w:pPr>
        <w:tabs>
          <w:tab w:val="num" w:pos="5040"/>
        </w:tabs>
        <w:ind w:left="5040" w:hanging="360"/>
      </w:pPr>
      <w:rPr>
        <w:rFonts w:ascii="Arial" w:hAnsi="Arial" w:cs="Times New Roman" w:hint="default"/>
      </w:rPr>
    </w:lvl>
    <w:lvl w:ilvl="7" w:tplc="15F0E15A">
      <w:start w:val="1"/>
      <w:numFmt w:val="bullet"/>
      <w:lvlText w:val="•"/>
      <w:lvlJc w:val="left"/>
      <w:pPr>
        <w:tabs>
          <w:tab w:val="num" w:pos="5760"/>
        </w:tabs>
        <w:ind w:left="5760" w:hanging="360"/>
      </w:pPr>
      <w:rPr>
        <w:rFonts w:ascii="Arial" w:hAnsi="Arial" w:cs="Times New Roman" w:hint="default"/>
      </w:rPr>
    </w:lvl>
    <w:lvl w:ilvl="8" w:tplc="D38AD362">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C5A2A51"/>
    <w:multiLevelType w:val="hybridMultilevel"/>
    <w:tmpl w:val="633C8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647CE5"/>
    <w:multiLevelType w:val="hybridMultilevel"/>
    <w:tmpl w:val="F91C69CC"/>
    <w:lvl w:ilvl="0" w:tplc="AA8891D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5B2B28"/>
    <w:multiLevelType w:val="hybridMultilevel"/>
    <w:tmpl w:val="A77CB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170A7D"/>
    <w:multiLevelType w:val="hybridMultilevel"/>
    <w:tmpl w:val="E76A6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1A024A"/>
    <w:multiLevelType w:val="hybridMultilevel"/>
    <w:tmpl w:val="123AA014"/>
    <w:lvl w:ilvl="0" w:tplc="A1E66C42">
      <w:start w:val="1"/>
      <w:numFmt w:val="bullet"/>
      <w:lvlText w:val="•"/>
      <w:lvlJc w:val="left"/>
      <w:pPr>
        <w:tabs>
          <w:tab w:val="num" w:pos="720"/>
        </w:tabs>
        <w:ind w:left="720" w:hanging="360"/>
      </w:pPr>
      <w:rPr>
        <w:rFonts w:ascii="Arial" w:hAnsi="Arial" w:hint="default"/>
      </w:rPr>
    </w:lvl>
    <w:lvl w:ilvl="1" w:tplc="9D3A3968" w:tentative="1">
      <w:start w:val="1"/>
      <w:numFmt w:val="bullet"/>
      <w:lvlText w:val="•"/>
      <w:lvlJc w:val="left"/>
      <w:pPr>
        <w:tabs>
          <w:tab w:val="num" w:pos="1440"/>
        </w:tabs>
        <w:ind w:left="1440" w:hanging="360"/>
      </w:pPr>
      <w:rPr>
        <w:rFonts w:ascii="Arial" w:hAnsi="Arial" w:hint="default"/>
      </w:rPr>
    </w:lvl>
    <w:lvl w:ilvl="2" w:tplc="AD120F68" w:tentative="1">
      <w:start w:val="1"/>
      <w:numFmt w:val="bullet"/>
      <w:lvlText w:val="•"/>
      <w:lvlJc w:val="left"/>
      <w:pPr>
        <w:tabs>
          <w:tab w:val="num" w:pos="2160"/>
        </w:tabs>
        <w:ind w:left="2160" w:hanging="360"/>
      </w:pPr>
      <w:rPr>
        <w:rFonts w:ascii="Arial" w:hAnsi="Arial" w:hint="default"/>
      </w:rPr>
    </w:lvl>
    <w:lvl w:ilvl="3" w:tplc="6F847E0A" w:tentative="1">
      <w:start w:val="1"/>
      <w:numFmt w:val="bullet"/>
      <w:lvlText w:val="•"/>
      <w:lvlJc w:val="left"/>
      <w:pPr>
        <w:tabs>
          <w:tab w:val="num" w:pos="2880"/>
        </w:tabs>
        <w:ind w:left="2880" w:hanging="360"/>
      </w:pPr>
      <w:rPr>
        <w:rFonts w:ascii="Arial" w:hAnsi="Arial" w:hint="default"/>
      </w:rPr>
    </w:lvl>
    <w:lvl w:ilvl="4" w:tplc="CAC0A524" w:tentative="1">
      <w:start w:val="1"/>
      <w:numFmt w:val="bullet"/>
      <w:lvlText w:val="•"/>
      <w:lvlJc w:val="left"/>
      <w:pPr>
        <w:tabs>
          <w:tab w:val="num" w:pos="3600"/>
        </w:tabs>
        <w:ind w:left="3600" w:hanging="360"/>
      </w:pPr>
      <w:rPr>
        <w:rFonts w:ascii="Arial" w:hAnsi="Arial" w:hint="default"/>
      </w:rPr>
    </w:lvl>
    <w:lvl w:ilvl="5" w:tplc="C8F887C6" w:tentative="1">
      <w:start w:val="1"/>
      <w:numFmt w:val="bullet"/>
      <w:lvlText w:val="•"/>
      <w:lvlJc w:val="left"/>
      <w:pPr>
        <w:tabs>
          <w:tab w:val="num" w:pos="4320"/>
        </w:tabs>
        <w:ind w:left="4320" w:hanging="360"/>
      </w:pPr>
      <w:rPr>
        <w:rFonts w:ascii="Arial" w:hAnsi="Arial" w:hint="default"/>
      </w:rPr>
    </w:lvl>
    <w:lvl w:ilvl="6" w:tplc="3B8863FA" w:tentative="1">
      <w:start w:val="1"/>
      <w:numFmt w:val="bullet"/>
      <w:lvlText w:val="•"/>
      <w:lvlJc w:val="left"/>
      <w:pPr>
        <w:tabs>
          <w:tab w:val="num" w:pos="5040"/>
        </w:tabs>
        <w:ind w:left="5040" w:hanging="360"/>
      </w:pPr>
      <w:rPr>
        <w:rFonts w:ascii="Arial" w:hAnsi="Arial" w:hint="default"/>
      </w:rPr>
    </w:lvl>
    <w:lvl w:ilvl="7" w:tplc="DA545B22" w:tentative="1">
      <w:start w:val="1"/>
      <w:numFmt w:val="bullet"/>
      <w:lvlText w:val="•"/>
      <w:lvlJc w:val="left"/>
      <w:pPr>
        <w:tabs>
          <w:tab w:val="num" w:pos="5760"/>
        </w:tabs>
        <w:ind w:left="5760" w:hanging="360"/>
      </w:pPr>
      <w:rPr>
        <w:rFonts w:ascii="Arial" w:hAnsi="Arial" w:hint="default"/>
      </w:rPr>
    </w:lvl>
    <w:lvl w:ilvl="8" w:tplc="7FFEB4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8A7633"/>
    <w:multiLevelType w:val="hybridMultilevel"/>
    <w:tmpl w:val="A68019BE"/>
    <w:lvl w:ilvl="0" w:tplc="D6BA4EBC">
      <w:start w:val="1"/>
      <w:numFmt w:val="bullet"/>
      <w:lvlText w:val="•"/>
      <w:lvlJc w:val="left"/>
      <w:pPr>
        <w:tabs>
          <w:tab w:val="num" w:pos="720"/>
        </w:tabs>
        <w:ind w:left="720" w:hanging="360"/>
      </w:pPr>
      <w:rPr>
        <w:rFonts w:ascii="Arial" w:hAnsi="Arial" w:hint="default"/>
      </w:rPr>
    </w:lvl>
    <w:lvl w:ilvl="1" w:tplc="FB7C91B6" w:tentative="1">
      <w:start w:val="1"/>
      <w:numFmt w:val="bullet"/>
      <w:lvlText w:val="•"/>
      <w:lvlJc w:val="left"/>
      <w:pPr>
        <w:tabs>
          <w:tab w:val="num" w:pos="1440"/>
        </w:tabs>
        <w:ind w:left="1440" w:hanging="360"/>
      </w:pPr>
      <w:rPr>
        <w:rFonts w:ascii="Arial" w:hAnsi="Arial" w:hint="default"/>
      </w:rPr>
    </w:lvl>
    <w:lvl w:ilvl="2" w:tplc="8F5E82D2" w:tentative="1">
      <w:start w:val="1"/>
      <w:numFmt w:val="bullet"/>
      <w:lvlText w:val="•"/>
      <w:lvlJc w:val="left"/>
      <w:pPr>
        <w:tabs>
          <w:tab w:val="num" w:pos="2160"/>
        </w:tabs>
        <w:ind w:left="2160" w:hanging="360"/>
      </w:pPr>
      <w:rPr>
        <w:rFonts w:ascii="Arial" w:hAnsi="Arial" w:hint="default"/>
      </w:rPr>
    </w:lvl>
    <w:lvl w:ilvl="3" w:tplc="1E66A962" w:tentative="1">
      <w:start w:val="1"/>
      <w:numFmt w:val="bullet"/>
      <w:lvlText w:val="•"/>
      <w:lvlJc w:val="left"/>
      <w:pPr>
        <w:tabs>
          <w:tab w:val="num" w:pos="2880"/>
        </w:tabs>
        <w:ind w:left="2880" w:hanging="360"/>
      </w:pPr>
      <w:rPr>
        <w:rFonts w:ascii="Arial" w:hAnsi="Arial" w:hint="default"/>
      </w:rPr>
    </w:lvl>
    <w:lvl w:ilvl="4" w:tplc="99223854" w:tentative="1">
      <w:start w:val="1"/>
      <w:numFmt w:val="bullet"/>
      <w:lvlText w:val="•"/>
      <w:lvlJc w:val="left"/>
      <w:pPr>
        <w:tabs>
          <w:tab w:val="num" w:pos="3600"/>
        </w:tabs>
        <w:ind w:left="3600" w:hanging="360"/>
      </w:pPr>
      <w:rPr>
        <w:rFonts w:ascii="Arial" w:hAnsi="Arial" w:hint="default"/>
      </w:rPr>
    </w:lvl>
    <w:lvl w:ilvl="5" w:tplc="6C7666AA" w:tentative="1">
      <w:start w:val="1"/>
      <w:numFmt w:val="bullet"/>
      <w:lvlText w:val="•"/>
      <w:lvlJc w:val="left"/>
      <w:pPr>
        <w:tabs>
          <w:tab w:val="num" w:pos="4320"/>
        </w:tabs>
        <w:ind w:left="4320" w:hanging="360"/>
      </w:pPr>
      <w:rPr>
        <w:rFonts w:ascii="Arial" w:hAnsi="Arial" w:hint="default"/>
      </w:rPr>
    </w:lvl>
    <w:lvl w:ilvl="6" w:tplc="0DCED478" w:tentative="1">
      <w:start w:val="1"/>
      <w:numFmt w:val="bullet"/>
      <w:lvlText w:val="•"/>
      <w:lvlJc w:val="left"/>
      <w:pPr>
        <w:tabs>
          <w:tab w:val="num" w:pos="5040"/>
        </w:tabs>
        <w:ind w:left="5040" w:hanging="360"/>
      </w:pPr>
      <w:rPr>
        <w:rFonts w:ascii="Arial" w:hAnsi="Arial" w:hint="default"/>
      </w:rPr>
    </w:lvl>
    <w:lvl w:ilvl="7" w:tplc="9DB4829A" w:tentative="1">
      <w:start w:val="1"/>
      <w:numFmt w:val="bullet"/>
      <w:lvlText w:val="•"/>
      <w:lvlJc w:val="left"/>
      <w:pPr>
        <w:tabs>
          <w:tab w:val="num" w:pos="5760"/>
        </w:tabs>
        <w:ind w:left="5760" w:hanging="360"/>
      </w:pPr>
      <w:rPr>
        <w:rFonts w:ascii="Arial" w:hAnsi="Arial" w:hint="default"/>
      </w:rPr>
    </w:lvl>
    <w:lvl w:ilvl="8" w:tplc="ABF0AF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9105EB"/>
    <w:multiLevelType w:val="hybridMultilevel"/>
    <w:tmpl w:val="25882682"/>
    <w:lvl w:ilvl="0" w:tplc="E586E02A">
      <w:start w:val="1"/>
      <w:numFmt w:val="decimal"/>
      <w:lvlText w:val="%1."/>
      <w:lvlJc w:val="left"/>
      <w:pPr>
        <w:ind w:left="410" w:hanging="360"/>
      </w:pPr>
    </w:lvl>
    <w:lvl w:ilvl="1" w:tplc="08090019">
      <w:start w:val="1"/>
      <w:numFmt w:val="lowerLetter"/>
      <w:lvlText w:val="%2."/>
      <w:lvlJc w:val="left"/>
      <w:pPr>
        <w:ind w:left="1130" w:hanging="360"/>
      </w:pPr>
    </w:lvl>
    <w:lvl w:ilvl="2" w:tplc="0809001B">
      <w:start w:val="1"/>
      <w:numFmt w:val="lowerRoman"/>
      <w:lvlText w:val="%3."/>
      <w:lvlJc w:val="right"/>
      <w:pPr>
        <w:ind w:left="1850" w:hanging="180"/>
      </w:pPr>
    </w:lvl>
    <w:lvl w:ilvl="3" w:tplc="0809000F">
      <w:start w:val="1"/>
      <w:numFmt w:val="decimal"/>
      <w:lvlText w:val="%4."/>
      <w:lvlJc w:val="left"/>
      <w:pPr>
        <w:ind w:left="2570" w:hanging="360"/>
      </w:pPr>
    </w:lvl>
    <w:lvl w:ilvl="4" w:tplc="08090019">
      <w:start w:val="1"/>
      <w:numFmt w:val="lowerLetter"/>
      <w:lvlText w:val="%5."/>
      <w:lvlJc w:val="left"/>
      <w:pPr>
        <w:ind w:left="3290" w:hanging="360"/>
      </w:pPr>
    </w:lvl>
    <w:lvl w:ilvl="5" w:tplc="0809001B">
      <w:start w:val="1"/>
      <w:numFmt w:val="lowerRoman"/>
      <w:lvlText w:val="%6."/>
      <w:lvlJc w:val="right"/>
      <w:pPr>
        <w:ind w:left="4010" w:hanging="180"/>
      </w:pPr>
    </w:lvl>
    <w:lvl w:ilvl="6" w:tplc="0809000F">
      <w:start w:val="1"/>
      <w:numFmt w:val="decimal"/>
      <w:lvlText w:val="%7."/>
      <w:lvlJc w:val="left"/>
      <w:pPr>
        <w:ind w:left="4730" w:hanging="360"/>
      </w:pPr>
    </w:lvl>
    <w:lvl w:ilvl="7" w:tplc="08090019">
      <w:start w:val="1"/>
      <w:numFmt w:val="lowerLetter"/>
      <w:lvlText w:val="%8."/>
      <w:lvlJc w:val="left"/>
      <w:pPr>
        <w:ind w:left="5450" w:hanging="360"/>
      </w:pPr>
    </w:lvl>
    <w:lvl w:ilvl="8" w:tplc="0809001B">
      <w:start w:val="1"/>
      <w:numFmt w:val="lowerRoman"/>
      <w:lvlText w:val="%9."/>
      <w:lvlJc w:val="right"/>
      <w:pPr>
        <w:ind w:left="6170" w:hanging="180"/>
      </w:pPr>
    </w:lvl>
  </w:abstractNum>
  <w:abstractNum w:abstractNumId="19" w15:restartNumberingAfterBreak="0">
    <w:nsid w:val="606843DC"/>
    <w:multiLevelType w:val="hybridMultilevel"/>
    <w:tmpl w:val="3E42D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E1214D"/>
    <w:multiLevelType w:val="hybridMultilevel"/>
    <w:tmpl w:val="9F34024E"/>
    <w:lvl w:ilvl="0" w:tplc="ADB0AA92">
      <w:start w:val="1"/>
      <w:numFmt w:val="bullet"/>
      <w:lvlText w:val="•"/>
      <w:lvlJc w:val="left"/>
      <w:pPr>
        <w:tabs>
          <w:tab w:val="num" w:pos="720"/>
        </w:tabs>
        <w:ind w:left="720" w:hanging="360"/>
      </w:pPr>
      <w:rPr>
        <w:rFonts w:ascii="Arial" w:hAnsi="Arial" w:hint="default"/>
      </w:rPr>
    </w:lvl>
    <w:lvl w:ilvl="1" w:tplc="54B2907C" w:tentative="1">
      <w:start w:val="1"/>
      <w:numFmt w:val="bullet"/>
      <w:lvlText w:val="•"/>
      <w:lvlJc w:val="left"/>
      <w:pPr>
        <w:tabs>
          <w:tab w:val="num" w:pos="1440"/>
        </w:tabs>
        <w:ind w:left="1440" w:hanging="360"/>
      </w:pPr>
      <w:rPr>
        <w:rFonts w:ascii="Arial" w:hAnsi="Arial" w:hint="default"/>
      </w:rPr>
    </w:lvl>
    <w:lvl w:ilvl="2" w:tplc="7F848D9A" w:tentative="1">
      <w:start w:val="1"/>
      <w:numFmt w:val="bullet"/>
      <w:lvlText w:val="•"/>
      <w:lvlJc w:val="left"/>
      <w:pPr>
        <w:tabs>
          <w:tab w:val="num" w:pos="2160"/>
        </w:tabs>
        <w:ind w:left="2160" w:hanging="360"/>
      </w:pPr>
      <w:rPr>
        <w:rFonts w:ascii="Arial" w:hAnsi="Arial" w:hint="default"/>
      </w:rPr>
    </w:lvl>
    <w:lvl w:ilvl="3" w:tplc="E77AB61C" w:tentative="1">
      <w:start w:val="1"/>
      <w:numFmt w:val="bullet"/>
      <w:lvlText w:val="•"/>
      <w:lvlJc w:val="left"/>
      <w:pPr>
        <w:tabs>
          <w:tab w:val="num" w:pos="2880"/>
        </w:tabs>
        <w:ind w:left="2880" w:hanging="360"/>
      </w:pPr>
      <w:rPr>
        <w:rFonts w:ascii="Arial" w:hAnsi="Arial" w:hint="default"/>
      </w:rPr>
    </w:lvl>
    <w:lvl w:ilvl="4" w:tplc="D0862378" w:tentative="1">
      <w:start w:val="1"/>
      <w:numFmt w:val="bullet"/>
      <w:lvlText w:val="•"/>
      <w:lvlJc w:val="left"/>
      <w:pPr>
        <w:tabs>
          <w:tab w:val="num" w:pos="3600"/>
        </w:tabs>
        <w:ind w:left="3600" w:hanging="360"/>
      </w:pPr>
      <w:rPr>
        <w:rFonts w:ascii="Arial" w:hAnsi="Arial" w:hint="default"/>
      </w:rPr>
    </w:lvl>
    <w:lvl w:ilvl="5" w:tplc="181EBA86" w:tentative="1">
      <w:start w:val="1"/>
      <w:numFmt w:val="bullet"/>
      <w:lvlText w:val="•"/>
      <w:lvlJc w:val="left"/>
      <w:pPr>
        <w:tabs>
          <w:tab w:val="num" w:pos="4320"/>
        </w:tabs>
        <w:ind w:left="4320" w:hanging="360"/>
      </w:pPr>
      <w:rPr>
        <w:rFonts w:ascii="Arial" w:hAnsi="Arial" w:hint="default"/>
      </w:rPr>
    </w:lvl>
    <w:lvl w:ilvl="6" w:tplc="429A9BF2" w:tentative="1">
      <w:start w:val="1"/>
      <w:numFmt w:val="bullet"/>
      <w:lvlText w:val="•"/>
      <w:lvlJc w:val="left"/>
      <w:pPr>
        <w:tabs>
          <w:tab w:val="num" w:pos="5040"/>
        </w:tabs>
        <w:ind w:left="5040" w:hanging="360"/>
      </w:pPr>
      <w:rPr>
        <w:rFonts w:ascii="Arial" w:hAnsi="Arial" w:hint="default"/>
      </w:rPr>
    </w:lvl>
    <w:lvl w:ilvl="7" w:tplc="01AC9630" w:tentative="1">
      <w:start w:val="1"/>
      <w:numFmt w:val="bullet"/>
      <w:lvlText w:val="•"/>
      <w:lvlJc w:val="left"/>
      <w:pPr>
        <w:tabs>
          <w:tab w:val="num" w:pos="5760"/>
        </w:tabs>
        <w:ind w:left="5760" w:hanging="360"/>
      </w:pPr>
      <w:rPr>
        <w:rFonts w:ascii="Arial" w:hAnsi="Arial" w:hint="default"/>
      </w:rPr>
    </w:lvl>
    <w:lvl w:ilvl="8" w:tplc="388235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7613CD2"/>
    <w:multiLevelType w:val="hybridMultilevel"/>
    <w:tmpl w:val="0CF0BB3A"/>
    <w:lvl w:ilvl="0" w:tplc="150827AC">
      <w:start w:val="1"/>
      <w:numFmt w:val="decimal"/>
      <w:lvlText w:val="%1."/>
      <w:lvlJc w:val="left"/>
      <w:pPr>
        <w:tabs>
          <w:tab w:val="num" w:pos="720"/>
        </w:tabs>
        <w:ind w:left="720" w:hanging="360"/>
      </w:pPr>
    </w:lvl>
    <w:lvl w:ilvl="1" w:tplc="7166CD38" w:tentative="1">
      <w:start w:val="1"/>
      <w:numFmt w:val="decimal"/>
      <w:lvlText w:val="%2."/>
      <w:lvlJc w:val="left"/>
      <w:pPr>
        <w:tabs>
          <w:tab w:val="num" w:pos="1440"/>
        </w:tabs>
        <w:ind w:left="1440" w:hanging="360"/>
      </w:pPr>
    </w:lvl>
    <w:lvl w:ilvl="2" w:tplc="6590C27E" w:tentative="1">
      <w:start w:val="1"/>
      <w:numFmt w:val="decimal"/>
      <w:lvlText w:val="%3."/>
      <w:lvlJc w:val="left"/>
      <w:pPr>
        <w:tabs>
          <w:tab w:val="num" w:pos="2160"/>
        </w:tabs>
        <w:ind w:left="2160" w:hanging="360"/>
      </w:pPr>
    </w:lvl>
    <w:lvl w:ilvl="3" w:tplc="DAEABB6A" w:tentative="1">
      <w:start w:val="1"/>
      <w:numFmt w:val="decimal"/>
      <w:lvlText w:val="%4."/>
      <w:lvlJc w:val="left"/>
      <w:pPr>
        <w:tabs>
          <w:tab w:val="num" w:pos="2880"/>
        </w:tabs>
        <w:ind w:left="2880" w:hanging="360"/>
      </w:pPr>
    </w:lvl>
    <w:lvl w:ilvl="4" w:tplc="743CC316" w:tentative="1">
      <w:start w:val="1"/>
      <w:numFmt w:val="decimal"/>
      <w:lvlText w:val="%5."/>
      <w:lvlJc w:val="left"/>
      <w:pPr>
        <w:tabs>
          <w:tab w:val="num" w:pos="3600"/>
        </w:tabs>
        <w:ind w:left="3600" w:hanging="360"/>
      </w:pPr>
    </w:lvl>
    <w:lvl w:ilvl="5" w:tplc="B6205870" w:tentative="1">
      <w:start w:val="1"/>
      <w:numFmt w:val="decimal"/>
      <w:lvlText w:val="%6."/>
      <w:lvlJc w:val="left"/>
      <w:pPr>
        <w:tabs>
          <w:tab w:val="num" w:pos="4320"/>
        </w:tabs>
        <w:ind w:left="4320" w:hanging="360"/>
      </w:pPr>
    </w:lvl>
    <w:lvl w:ilvl="6" w:tplc="51AE11DA" w:tentative="1">
      <w:start w:val="1"/>
      <w:numFmt w:val="decimal"/>
      <w:lvlText w:val="%7."/>
      <w:lvlJc w:val="left"/>
      <w:pPr>
        <w:tabs>
          <w:tab w:val="num" w:pos="5040"/>
        </w:tabs>
        <w:ind w:left="5040" w:hanging="360"/>
      </w:pPr>
    </w:lvl>
    <w:lvl w:ilvl="7" w:tplc="13FCFD3C" w:tentative="1">
      <w:start w:val="1"/>
      <w:numFmt w:val="decimal"/>
      <w:lvlText w:val="%8."/>
      <w:lvlJc w:val="left"/>
      <w:pPr>
        <w:tabs>
          <w:tab w:val="num" w:pos="5760"/>
        </w:tabs>
        <w:ind w:left="5760" w:hanging="360"/>
      </w:pPr>
    </w:lvl>
    <w:lvl w:ilvl="8" w:tplc="B21EA8F8" w:tentative="1">
      <w:start w:val="1"/>
      <w:numFmt w:val="decimal"/>
      <w:lvlText w:val="%9."/>
      <w:lvlJc w:val="left"/>
      <w:pPr>
        <w:tabs>
          <w:tab w:val="num" w:pos="6480"/>
        </w:tabs>
        <w:ind w:left="6480" w:hanging="360"/>
      </w:pPr>
    </w:lvl>
  </w:abstractNum>
  <w:abstractNum w:abstractNumId="22" w15:restartNumberingAfterBreak="0">
    <w:nsid w:val="6765577F"/>
    <w:multiLevelType w:val="hybridMultilevel"/>
    <w:tmpl w:val="BBB23B48"/>
    <w:lvl w:ilvl="0" w:tplc="AC68AD1A">
      <w:start w:val="1"/>
      <w:numFmt w:val="bullet"/>
      <w:lvlText w:val="•"/>
      <w:lvlJc w:val="left"/>
      <w:pPr>
        <w:tabs>
          <w:tab w:val="num" w:pos="720"/>
        </w:tabs>
        <w:ind w:left="720" w:hanging="360"/>
      </w:pPr>
      <w:rPr>
        <w:rFonts w:ascii="Arial" w:hAnsi="Arial" w:hint="default"/>
      </w:rPr>
    </w:lvl>
    <w:lvl w:ilvl="1" w:tplc="655AC03A" w:tentative="1">
      <w:start w:val="1"/>
      <w:numFmt w:val="bullet"/>
      <w:lvlText w:val="•"/>
      <w:lvlJc w:val="left"/>
      <w:pPr>
        <w:tabs>
          <w:tab w:val="num" w:pos="1440"/>
        </w:tabs>
        <w:ind w:left="1440" w:hanging="360"/>
      </w:pPr>
      <w:rPr>
        <w:rFonts w:ascii="Arial" w:hAnsi="Arial" w:hint="default"/>
      </w:rPr>
    </w:lvl>
    <w:lvl w:ilvl="2" w:tplc="FE6873AE" w:tentative="1">
      <w:start w:val="1"/>
      <w:numFmt w:val="bullet"/>
      <w:lvlText w:val="•"/>
      <w:lvlJc w:val="left"/>
      <w:pPr>
        <w:tabs>
          <w:tab w:val="num" w:pos="2160"/>
        </w:tabs>
        <w:ind w:left="2160" w:hanging="360"/>
      </w:pPr>
      <w:rPr>
        <w:rFonts w:ascii="Arial" w:hAnsi="Arial" w:hint="default"/>
      </w:rPr>
    </w:lvl>
    <w:lvl w:ilvl="3" w:tplc="59208412" w:tentative="1">
      <w:start w:val="1"/>
      <w:numFmt w:val="bullet"/>
      <w:lvlText w:val="•"/>
      <w:lvlJc w:val="left"/>
      <w:pPr>
        <w:tabs>
          <w:tab w:val="num" w:pos="2880"/>
        </w:tabs>
        <w:ind w:left="2880" w:hanging="360"/>
      </w:pPr>
      <w:rPr>
        <w:rFonts w:ascii="Arial" w:hAnsi="Arial" w:hint="default"/>
      </w:rPr>
    </w:lvl>
    <w:lvl w:ilvl="4" w:tplc="1B46B48C" w:tentative="1">
      <w:start w:val="1"/>
      <w:numFmt w:val="bullet"/>
      <w:lvlText w:val="•"/>
      <w:lvlJc w:val="left"/>
      <w:pPr>
        <w:tabs>
          <w:tab w:val="num" w:pos="3600"/>
        </w:tabs>
        <w:ind w:left="3600" w:hanging="360"/>
      </w:pPr>
      <w:rPr>
        <w:rFonts w:ascii="Arial" w:hAnsi="Arial" w:hint="default"/>
      </w:rPr>
    </w:lvl>
    <w:lvl w:ilvl="5" w:tplc="02EA0FDE" w:tentative="1">
      <w:start w:val="1"/>
      <w:numFmt w:val="bullet"/>
      <w:lvlText w:val="•"/>
      <w:lvlJc w:val="left"/>
      <w:pPr>
        <w:tabs>
          <w:tab w:val="num" w:pos="4320"/>
        </w:tabs>
        <w:ind w:left="4320" w:hanging="360"/>
      </w:pPr>
      <w:rPr>
        <w:rFonts w:ascii="Arial" w:hAnsi="Arial" w:hint="default"/>
      </w:rPr>
    </w:lvl>
    <w:lvl w:ilvl="6" w:tplc="1D860DEE" w:tentative="1">
      <w:start w:val="1"/>
      <w:numFmt w:val="bullet"/>
      <w:lvlText w:val="•"/>
      <w:lvlJc w:val="left"/>
      <w:pPr>
        <w:tabs>
          <w:tab w:val="num" w:pos="5040"/>
        </w:tabs>
        <w:ind w:left="5040" w:hanging="360"/>
      </w:pPr>
      <w:rPr>
        <w:rFonts w:ascii="Arial" w:hAnsi="Arial" w:hint="default"/>
      </w:rPr>
    </w:lvl>
    <w:lvl w:ilvl="7" w:tplc="CA8628BC" w:tentative="1">
      <w:start w:val="1"/>
      <w:numFmt w:val="bullet"/>
      <w:lvlText w:val="•"/>
      <w:lvlJc w:val="left"/>
      <w:pPr>
        <w:tabs>
          <w:tab w:val="num" w:pos="5760"/>
        </w:tabs>
        <w:ind w:left="5760" w:hanging="360"/>
      </w:pPr>
      <w:rPr>
        <w:rFonts w:ascii="Arial" w:hAnsi="Arial" w:hint="default"/>
      </w:rPr>
    </w:lvl>
    <w:lvl w:ilvl="8" w:tplc="1674DC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FD055A"/>
    <w:multiLevelType w:val="hybridMultilevel"/>
    <w:tmpl w:val="F490C33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4" w15:restartNumberingAfterBreak="0">
    <w:nsid w:val="6EA509EA"/>
    <w:multiLevelType w:val="hybridMultilevel"/>
    <w:tmpl w:val="14E0161E"/>
    <w:lvl w:ilvl="0" w:tplc="9F3AF1EC">
      <w:numFmt w:val="bullet"/>
      <w:lvlText w:val="-"/>
      <w:lvlJc w:val="left"/>
      <w:pPr>
        <w:ind w:left="360" w:hanging="360"/>
      </w:pPr>
      <w:rPr>
        <w:rFonts w:ascii="Calibri Light" w:eastAsia="Times New Roman" w:hAnsi="Calibri Light" w:cs="Calibri Ligh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F137D7D"/>
    <w:multiLevelType w:val="hybridMultilevel"/>
    <w:tmpl w:val="F856C146"/>
    <w:lvl w:ilvl="0" w:tplc="F37A31CE">
      <w:start w:val="10"/>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0DE4F03"/>
    <w:multiLevelType w:val="hybridMultilevel"/>
    <w:tmpl w:val="D458DCC2"/>
    <w:lvl w:ilvl="0" w:tplc="ABAA372A">
      <w:start w:val="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5767A3"/>
    <w:multiLevelType w:val="hybridMultilevel"/>
    <w:tmpl w:val="50648AEA"/>
    <w:lvl w:ilvl="0" w:tplc="A25066A6">
      <w:start w:val="1"/>
      <w:numFmt w:val="bullet"/>
      <w:lvlText w:val="•"/>
      <w:lvlJc w:val="left"/>
      <w:pPr>
        <w:tabs>
          <w:tab w:val="num" w:pos="720"/>
        </w:tabs>
        <w:ind w:left="720" w:hanging="360"/>
      </w:pPr>
      <w:rPr>
        <w:rFonts w:ascii="Arial" w:hAnsi="Arial" w:hint="default"/>
      </w:rPr>
    </w:lvl>
    <w:lvl w:ilvl="1" w:tplc="535E907A" w:tentative="1">
      <w:start w:val="1"/>
      <w:numFmt w:val="bullet"/>
      <w:lvlText w:val="•"/>
      <w:lvlJc w:val="left"/>
      <w:pPr>
        <w:tabs>
          <w:tab w:val="num" w:pos="1440"/>
        </w:tabs>
        <w:ind w:left="1440" w:hanging="360"/>
      </w:pPr>
      <w:rPr>
        <w:rFonts w:ascii="Arial" w:hAnsi="Arial" w:hint="default"/>
      </w:rPr>
    </w:lvl>
    <w:lvl w:ilvl="2" w:tplc="414C932A" w:tentative="1">
      <w:start w:val="1"/>
      <w:numFmt w:val="bullet"/>
      <w:lvlText w:val="•"/>
      <w:lvlJc w:val="left"/>
      <w:pPr>
        <w:tabs>
          <w:tab w:val="num" w:pos="2160"/>
        </w:tabs>
        <w:ind w:left="2160" w:hanging="360"/>
      </w:pPr>
      <w:rPr>
        <w:rFonts w:ascii="Arial" w:hAnsi="Arial" w:hint="default"/>
      </w:rPr>
    </w:lvl>
    <w:lvl w:ilvl="3" w:tplc="21BC9A5A" w:tentative="1">
      <w:start w:val="1"/>
      <w:numFmt w:val="bullet"/>
      <w:lvlText w:val="•"/>
      <w:lvlJc w:val="left"/>
      <w:pPr>
        <w:tabs>
          <w:tab w:val="num" w:pos="2880"/>
        </w:tabs>
        <w:ind w:left="2880" w:hanging="360"/>
      </w:pPr>
      <w:rPr>
        <w:rFonts w:ascii="Arial" w:hAnsi="Arial" w:hint="default"/>
      </w:rPr>
    </w:lvl>
    <w:lvl w:ilvl="4" w:tplc="1DC8C3B0" w:tentative="1">
      <w:start w:val="1"/>
      <w:numFmt w:val="bullet"/>
      <w:lvlText w:val="•"/>
      <w:lvlJc w:val="left"/>
      <w:pPr>
        <w:tabs>
          <w:tab w:val="num" w:pos="3600"/>
        </w:tabs>
        <w:ind w:left="3600" w:hanging="360"/>
      </w:pPr>
      <w:rPr>
        <w:rFonts w:ascii="Arial" w:hAnsi="Arial" w:hint="default"/>
      </w:rPr>
    </w:lvl>
    <w:lvl w:ilvl="5" w:tplc="D3249644" w:tentative="1">
      <w:start w:val="1"/>
      <w:numFmt w:val="bullet"/>
      <w:lvlText w:val="•"/>
      <w:lvlJc w:val="left"/>
      <w:pPr>
        <w:tabs>
          <w:tab w:val="num" w:pos="4320"/>
        </w:tabs>
        <w:ind w:left="4320" w:hanging="360"/>
      </w:pPr>
      <w:rPr>
        <w:rFonts w:ascii="Arial" w:hAnsi="Arial" w:hint="default"/>
      </w:rPr>
    </w:lvl>
    <w:lvl w:ilvl="6" w:tplc="3FFACD3C" w:tentative="1">
      <w:start w:val="1"/>
      <w:numFmt w:val="bullet"/>
      <w:lvlText w:val="•"/>
      <w:lvlJc w:val="left"/>
      <w:pPr>
        <w:tabs>
          <w:tab w:val="num" w:pos="5040"/>
        </w:tabs>
        <w:ind w:left="5040" w:hanging="360"/>
      </w:pPr>
      <w:rPr>
        <w:rFonts w:ascii="Arial" w:hAnsi="Arial" w:hint="default"/>
      </w:rPr>
    </w:lvl>
    <w:lvl w:ilvl="7" w:tplc="02AE4BF4" w:tentative="1">
      <w:start w:val="1"/>
      <w:numFmt w:val="bullet"/>
      <w:lvlText w:val="•"/>
      <w:lvlJc w:val="left"/>
      <w:pPr>
        <w:tabs>
          <w:tab w:val="num" w:pos="5760"/>
        </w:tabs>
        <w:ind w:left="5760" w:hanging="360"/>
      </w:pPr>
      <w:rPr>
        <w:rFonts w:ascii="Arial" w:hAnsi="Arial" w:hint="default"/>
      </w:rPr>
    </w:lvl>
    <w:lvl w:ilvl="8" w:tplc="2FF2D88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9FB636A"/>
    <w:multiLevelType w:val="hybridMultilevel"/>
    <w:tmpl w:val="4454BAA0"/>
    <w:lvl w:ilvl="0" w:tplc="3A1A42B8">
      <w:start w:val="1"/>
      <w:numFmt w:val="bullet"/>
      <w:lvlText w:val="•"/>
      <w:lvlJc w:val="left"/>
      <w:pPr>
        <w:tabs>
          <w:tab w:val="num" w:pos="720"/>
        </w:tabs>
        <w:ind w:left="720" w:hanging="360"/>
      </w:pPr>
      <w:rPr>
        <w:rFonts w:ascii="Times New Roman" w:hAnsi="Times New Roman" w:hint="default"/>
      </w:rPr>
    </w:lvl>
    <w:lvl w:ilvl="1" w:tplc="E692F104" w:tentative="1">
      <w:start w:val="1"/>
      <w:numFmt w:val="bullet"/>
      <w:lvlText w:val="•"/>
      <w:lvlJc w:val="left"/>
      <w:pPr>
        <w:tabs>
          <w:tab w:val="num" w:pos="1440"/>
        </w:tabs>
        <w:ind w:left="1440" w:hanging="360"/>
      </w:pPr>
      <w:rPr>
        <w:rFonts w:ascii="Times New Roman" w:hAnsi="Times New Roman" w:hint="default"/>
      </w:rPr>
    </w:lvl>
    <w:lvl w:ilvl="2" w:tplc="B2446C56" w:tentative="1">
      <w:start w:val="1"/>
      <w:numFmt w:val="bullet"/>
      <w:lvlText w:val="•"/>
      <w:lvlJc w:val="left"/>
      <w:pPr>
        <w:tabs>
          <w:tab w:val="num" w:pos="2160"/>
        </w:tabs>
        <w:ind w:left="2160" w:hanging="360"/>
      </w:pPr>
      <w:rPr>
        <w:rFonts w:ascii="Times New Roman" w:hAnsi="Times New Roman" w:hint="default"/>
      </w:rPr>
    </w:lvl>
    <w:lvl w:ilvl="3" w:tplc="AE4AC440" w:tentative="1">
      <w:start w:val="1"/>
      <w:numFmt w:val="bullet"/>
      <w:lvlText w:val="•"/>
      <w:lvlJc w:val="left"/>
      <w:pPr>
        <w:tabs>
          <w:tab w:val="num" w:pos="2880"/>
        </w:tabs>
        <w:ind w:left="2880" w:hanging="360"/>
      </w:pPr>
      <w:rPr>
        <w:rFonts w:ascii="Times New Roman" w:hAnsi="Times New Roman" w:hint="default"/>
      </w:rPr>
    </w:lvl>
    <w:lvl w:ilvl="4" w:tplc="66124D80" w:tentative="1">
      <w:start w:val="1"/>
      <w:numFmt w:val="bullet"/>
      <w:lvlText w:val="•"/>
      <w:lvlJc w:val="left"/>
      <w:pPr>
        <w:tabs>
          <w:tab w:val="num" w:pos="3600"/>
        </w:tabs>
        <w:ind w:left="3600" w:hanging="360"/>
      </w:pPr>
      <w:rPr>
        <w:rFonts w:ascii="Times New Roman" w:hAnsi="Times New Roman" w:hint="default"/>
      </w:rPr>
    </w:lvl>
    <w:lvl w:ilvl="5" w:tplc="842272CA" w:tentative="1">
      <w:start w:val="1"/>
      <w:numFmt w:val="bullet"/>
      <w:lvlText w:val="•"/>
      <w:lvlJc w:val="left"/>
      <w:pPr>
        <w:tabs>
          <w:tab w:val="num" w:pos="4320"/>
        </w:tabs>
        <w:ind w:left="4320" w:hanging="360"/>
      </w:pPr>
      <w:rPr>
        <w:rFonts w:ascii="Times New Roman" w:hAnsi="Times New Roman" w:hint="default"/>
      </w:rPr>
    </w:lvl>
    <w:lvl w:ilvl="6" w:tplc="35648CEA" w:tentative="1">
      <w:start w:val="1"/>
      <w:numFmt w:val="bullet"/>
      <w:lvlText w:val="•"/>
      <w:lvlJc w:val="left"/>
      <w:pPr>
        <w:tabs>
          <w:tab w:val="num" w:pos="5040"/>
        </w:tabs>
        <w:ind w:left="5040" w:hanging="360"/>
      </w:pPr>
      <w:rPr>
        <w:rFonts w:ascii="Times New Roman" w:hAnsi="Times New Roman" w:hint="default"/>
      </w:rPr>
    </w:lvl>
    <w:lvl w:ilvl="7" w:tplc="9126DD12" w:tentative="1">
      <w:start w:val="1"/>
      <w:numFmt w:val="bullet"/>
      <w:lvlText w:val="•"/>
      <w:lvlJc w:val="left"/>
      <w:pPr>
        <w:tabs>
          <w:tab w:val="num" w:pos="5760"/>
        </w:tabs>
        <w:ind w:left="5760" w:hanging="360"/>
      </w:pPr>
      <w:rPr>
        <w:rFonts w:ascii="Times New Roman" w:hAnsi="Times New Roman" w:hint="default"/>
      </w:rPr>
    </w:lvl>
    <w:lvl w:ilvl="8" w:tplc="7C16C17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C2B4724"/>
    <w:multiLevelType w:val="hybridMultilevel"/>
    <w:tmpl w:val="A274A7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65382314">
    <w:abstractNumId w:val="2"/>
  </w:num>
  <w:num w:numId="2" w16cid:durableId="1910113698">
    <w:abstractNumId w:val="8"/>
  </w:num>
  <w:num w:numId="3" w16cid:durableId="405613309">
    <w:abstractNumId w:val="25"/>
  </w:num>
  <w:num w:numId="4" w16cid:durableId="240213499">
    <w:abstractNumId w:val="14"/>
  </w:num>
  <w:num w:numId="5" w16cid:durableId="740492638">
    <w:abstractNumId w:val="4"/>
  </w:num>
  <w:num w:numId="6" w16cid:durableId="211576891">
    <w:abstractNumId w:val="23"/>
  </w:num>
  <w:num w:numId="7" w16cid:durableId="1918248069">
    <w:abstractNumId w:val="6"/>
  </w:num>
  <w:num w:numId="8" w16cid:durableId="1159419045">
    <w:abstractNumId w:val="28"/>
  </w:num>
  <w:num w:numId="9" w16cid:durableId="1798374138">
    <w:abstractNumId w:val="5"/>
  </w:num>
  <w:num w:numId="10" w16cid:durableId="1530677457">
    <w:abstractNumId w:val="24"/>
  </w:num>
  <w:num w:numId="11" w16cid:durableId="984315201">
    <w:abstractNumId w:val="1"/>
  </w:num>
  <w:num w:numId="12" w16cid:durableId="776219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55103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9389165">
    <w:abstractNumId w:val="15"/>
  </w:num>
  <w:num w:numId="15" w16cid:durableId="1323195451">
    <w:abstractNumId w:val="12"/>
  </w:num>
  <w:num w:numId="16" w16cid:durableId="467165265">
    <w:abstractNumId w:val="9"/>
  </w:num>
  <w:num w:numId="17" w16cid:durableId="676033370">
    <w:abstractNumId w:val="11"/>
  </w:num>
  <w:num w:numId="18" w16cid:durableId="1742554342">
    <w:abstractNumId w:val="17"/>
  </w:num>
  <w:num w:numId="19" w16cid:durableId="613287013">
    <w:abstractNumId w:val="20"/>
  </w:num>
  <w:num w:numId="20" w16cid:durableId="8067070">
    <w:abstractNumId w:val="10"/>
  </w:num>
  <w:num w:numId="21" w16cid:durableId="825434180">
    <w:abstractNumId w:val="0"/>
  </w:num>
  <w:num w:numId="22" w16cid:durableId="1082681076">
    <w:abstractNumId w:val="22"/>
  </w:num>
  <w:num w:numId="23" w16cid:durableId="1901165520">
    <w:abstractNumId w:val="27"/>
  </w:num>
  <w:num w:numId="24" w16cid:durableId="1991010767">
    <w:abstractNumId w:val="21"/>
  </w:num>
  <w:num w:numId="25" w16cid:durableId="1542282676">
    <w:abstractNumId w:val="16"/>
  </w:num>
  <w:num w:numId="26" w16cid:durableId="986973659">
    <w:abstractNumId w:val="13"/>
  </w:num>
  <w:num w:numId="27" w16cid:durableId="815336034">
    <w:abstractNumId w:val="26"/>
  </w:num>
  <w:num w:numId="28" w16cid:durableId="1895651473">
    <w:abstractNumId w:val="7"/>
  </w:num>
  <w:num w:numId="29" w16cid:durableId="1858687908">
    <w:abstractNumId w:val="3"/>
  </w:num>
  <w:num w:numId="30" w16cid:durableId="17581644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943"/>
    <w:rsid w:val="00000954"/>
    <w:rsid w:val="00001C42"/>
    <w:rsid w:val="00001E72"/>
    <w:rsid w:val="0000226C"/>
    <w:rsid w:val="0000363D"/>
    <w:rsid w:val="000054D2"/>
    <w:rsid w:val="00006511"/>
    <w:rsid w:val="00006C79"/>
    <w:rsid w:val="00010564"/>
    <w:rsid w:val="000118C2"/>
    <w:rsid w:val="0001227F"/>
    <w:rsid w:val="00015933"/>
    <w:rsid w:val="000159E5"/>
    <w:rsid w:val="0001656C"/>
    <w:rsid w:val="000175B3"/>
    <w:rsid w:val="000176E6"/>
    <w:rsid w:val="00020581"/>
    <w:rsid w:val="00020ED0"/>
    <w:rsid w:val="00020FE5"/>
    <w:rsid w:val="000213CC"/>
    <w:rsid w:val="00023E9F"/>
    <w:rsid w:val="0002473E"/>
    <w:rsid w:val="000264B4"/>
    <w:rsid w:val="000265A3"/>
    <w:rsid w:val="00027099"/>
    <w:rsid w:val="00027B22"/>
    <w:rsid w:val="00027BAD"/>
    <w:rsid w:val="00031478"/>
    <w:rsid w:val="00036FAB"/>
    <w:rsid w:val="00037707"/>
    <w:rsid w:val="00037C17"/>
    <w:rsid w:val="00040FA4"/>
    <w:rsid w:val="00043889"/>
    <w:rsid w:val="00044002"/>
    <w:rsid w:val="000444EA"/>
    <w:rsid w:val="000458CD"/>
    <w:rsid w:val="0004612A"/>
    <w:rsid w:val="00047DF1"/>
    <w:rsid w:val="000509DD"/>
    <w:rsid w:val="00050AF7"/>
    <w:rsid w:val="00051022"/>
    <w:rsid w:val="00051A5B"/>
    <w:rsid w:val="00052C6A"/>
    <w:rsid w:val="00053780"/>
    <w:rsid w:val="00053EE4"/>
    <w:rsid w:val="000559DE"/>
    <w:rsid w:val="00055CBC"/>
    <w:rsid w:val="000563EB"/>
    <w:rsid w:val="00056A4F"/>
    <w:rsid w:val="00057396"/>
    <w:rsid w:val="000606C6"/>
    <w:rsid w:val="00060D7F"/>
    <w:rsid w:val="00066F52"/>
    <w:rsid w:val="0006711A"/>
    <w:rsid w:val="00072447"/>
    <w:rsid w:val="000733AD"/>
    <w:rsid w:val="0007445A"/>
    <w:rsid w:val="00074C45"/>
    <w:rsid w:val="000752D6"/>
    <w:rsid w:val="00075932"/>
    <w:rsid w:val="0007638A"/>
    <w:rsid w:val="00076C37"/>
    <w:rsid w:val="00081E35"/>
    <w:rsid w:val="000841C2"/>
    <w:rsid w:val="000842AE"/>
    <w:rsid w:val="00084CF9"/>
    <w:rsid w:val="00086094"/>
    <w:rsid w:val="00086BE0"/>
    <w:rsid w:val="0008743D"/>
    <w:rsid w:val="0009101B"/>
    <w:rsid w:val="00091B3B"/>
    <w:rsid w:val="0009491E"/>
    <w:rsid w:val="00097293"/>
    <w:rsid w:val="000976B9"/>
    <w:rsid w:val="000A0285"/>
    <w:rsid w:val="000A16EA"/>
    <w:rsid w:val="000A2779"/>
    <w:rsid w:val="000A2C3B"/>
    <w:rsid w:val="000A3ECF"/>
    <w:rsid w:val="000A4D59"/>
    <w:rsid w:val="000A549A"/>
    <w:rsid w:val="000A664C"/>
    <w:rsid w:val="000B2005"/>
    <w:rsid w:val="000B3BFA"/>
    <w:rsid w:val="000B4C8F"/>
    <w:rsid w:val="000B510F"/>
    <w:rsid w:val="000B51A4"/>
    <w:rsid w:val="000B70C8"/>
    <w:rsid w:val="000B79A4"/>
    <w:rsid w:val="000C045B"/>
    <w:rsid w:val="000C12F1"/>
    <w:rsid w:val="000C1E4E"/>
    <w:rsid w:val="000C234E"/>
    <w:rsid w:val="000C3211"/>
    <w:rsid w:val="000C4910"/>
    <w:rsid w:val="000C502F"/>
    <w:rsid w:val="000C5651"/>
    <w:rsid w:val="000C6834"/>
    <w:rsid w:val="000D011A"/>
    <w:rsid w:val="000D02A4"/>
    <w:rsid w:val="000D1749"/>
    <w:rsid w:val="000D1D61"/>
    <w:rsid w:val="000D32BB"/>
    <w:rsid w:val="000D49D0"/>
    <w:rsid w:val="000D4F26"/>
    <w:rsid w:val="000D56F1"/>
    <w:rsid w:val="000D5D2B"/>
    <w:rsid w:val="000D684D"/>
    <w:rsid w:val="000D6EF9"/>
    <w:rsid w:val="000E087A"/>
    <w:rsid w:val="000E0B50"/>
    <w:rsid w:val="000E0C43"/>
    <w:rsid w:val="000E1975"/>
    <w:rsid w:val="000E2B4E"/>
    <w:rsid w:val="000E2FCE"/>
    <w:rsid w:val="000E4810"/>
    <w:rsid w:val="000E4ABC"/>
    <w:rsid w:val="000E563F"/>
    <w:rsid w:val="000E59CE"/>
    <w:rsid w:val="000F02C1"/>
    <w:rsid w:val="000F02FD"/>
    <w:rsid w:val="000F0342"/>
    <w:rsid w:val="000F0636"/>
    <w:rsid w:val="000F4318"/>
    <w:rsid w:val="000F617D"/>
    <w:rsid w:val="000F61F5"/>
    <w:rsid w:val="000F70CA"/>
    <w:rsid w:val="00100269"/>
    <w:rsid w:val="00100394"/>
    <w:rsid w:val="00102262"/>
    <w:rsid w:val="0010268F"/>
    <w:rsid w:val="0010277A"/>
    <w:rsid w:val="00102D9A"/>
    <w:rsid w:val="00103662"/>
    <w:rsid w:val="0010371D"/>
    <w:rsid w:val="00105918"/>
    <w:rsid w:val="00105ACC"/>
    <w:rsid w:val="00105DB5"/>
    <w:rsid w:val="00106451"/>
    <w:rsid w:val="00106D78"/>
    <w:rsid w:val="00106F70"/>
    <w:rsid w:val="00107915"/>
    <w:rsid w:val="001102C6"/>
    <w:rsid w:val="001104C5"/>
    <w:rsid w:val="001106DD"/>
    <w:rsid w:val="00110C31"/>
    <w:rsid w:val="001126B2"/>
    <w:rsid w:val="00112AA1"/>
    <w:rsid w:val="00112D3E"/>
    <w:rsid w:val="0011443F"/>
    <w:rsid w:val="00115D53"/>
    <w:rsid w:val="00115DDC"/>
    <w:rsid w:val="00116003"/>
    <w:rsid w:val="00116F4B"/>
    <w:rsid w:val="00117860"/>
    <w:rsid w:val="00120FB7"/>
    <w:rsid w:val="001226BC"/>
    <w:rsid w:val="00122810"/>
    <w:rsid w:val="00122CC4"/>
    <w:rsid w:val="0012351B"/>
    <w:rsid w:val="00123FF9"/>
    <w:rsid w:val="00124EF9"/>
    <w:rsid w:val="001253CC"/>
    <w:rsid w:val="001259D2"/>
    <w:rsid w:val="00126A7F"/>
    <w:rsid w:val="00130063"/>
    <w:rsid w:val="00130359"/>
    <w:rsid w:val="00131D36"/>
    <w:rsid w:val="00131E94"/>
    <w:rsid w:val="00132EE9"/>
    <w:rsid w:val="0013407D"/>
    <w:rsid w:val="001348D9"/>
    <w:rsid w:val="00134A41"/>
    <w:rsid w:val="001361CA"/>
    <w:rsid w:val="00136825"/>
    <w:rsid w:val="00136D3A"/>
    <w:rsid w:val="00136EC9"/>
    <w:rsid w:val="00136FC5"/>
    <w:rsid w:val="00137050"/>
    <w:rsid w:val="0013716D"/>
    <w:rsid w:val="00137560"/>
    <w:rsid w:val="00140E10"/>
    <w:rsid w:val="001438F4"/>
    <w:rsid w:val="00143DCC"/>
    <w:rsid w:val="00144794"/>
    <w:rsid w:val="00144D53"/>
    <w:rsid w:val="00145506"/>
    <w:rsid w:val="001457AA"/>
    <w:rsid w:val="00145E7A"/>
    <w:rsid w:val="00146F46"/>
    <w:rsid w:val="0015125A"/>
    <w:rsid w:val="00151A74"/>
    <w:rsid w:val="001526EE"/>
    <w:rsid w:val="0015295E"/>
    <w:rsid w:val="00152A73"/>
    <w:rsid w:val="001534F6"/>
    <w:rsid w:val="00154EE2"/>
    <w:rsid w:val="001553F8"/>
    <w:rsid w:val="00155A3F"/>
    <w:rsid w:val="00157080"/>
    <w:rsid w:val="00157C6A"/>
    <w:rsid w:val="001605B3"/>
    <w:rsid w:val="001622C2"/>
    <w:rsid w:val="00162D23"/>
    <w:rsid w:val="001633ED"/>
    <w:rsid w:val="00163F5F"/>
    <w:rsid w:val="00165DDC"/>
    <w:rsid w:val="0016769F"/>
    <w:rsid w:val="00170298"/>
    <w:rsid w:val="0017388B"/>
    <w:rsid w:val="0017441E"/>
    <w:rsid w:val="00175839"/>
    <w:rsid w:val="00175A85"/>
    <w:rsid w:val="00175E6C"/>
    <w:rsid w:val="00175FBC"/>
    <w:rsid w:val="00176669"/>
    <w:rsid w:val="001766FF"/>
    <w:rsid w:val="00176C20"/>
    <w:rsid w:val="00177598"/>
    <w:rsid w:val="0018097B"/>
    <w:rsid w:val="00180A13"/>
    <w:rsid w:val="00182C97"/>
    <w:rsid w:val="00183066"/>
    <w:rsid w:val="001833C7"/>
    <w:rsid w:val="00183FB4"/>
    <w:rsid w:val="00184412"/>
    <w:rsid w:val="00186A72"/>
    <w:rsid w:val="001906F3"/>
    <w:rsid w:val="00192933"/>
    <w:rsid w:val="001929FC"/>
    <w:rsid w:val="00195C6D"/>
    <w:rsid w:val="001961C5"/>
    <w:rsid w:val="00196F95"/>
    <w:rsid w:val="00197315"/>
    <w:rsid w:val="0019772B"/>
    <w:rsid w:val="001A05A9"/>
    <w:rsid w:val="001A2614"/>
    <w:rsid w:val="001A2623"/>
    <w:rsid w:val="001A463E"/>
    <w:rsid w:val="001A46CC"/>
    <w:rsid w:val="001A6304"/>
    <w:rsid w:val="001B1060"/>
    <w:rsid w:val="001B1467"/>
    <w:rsid w:val="001B1C5E"/>
    <w:rsid w:val="001B3197"/>
    <w:rsid w:val="001B39D3"/>
    <w:rsid w:val="001B59D9"/>
    <w:rsid w:val="001B5F14"/>
    <w:rsid w:val="001B6935"/>
    <w:rsid w:val="001B7154"/>
    <w:rsid w:val="001C091C"/>
    <w:rsid w:val="001C1FAA"/>
    <w:rsid w:val="001C2261"/>
    <w:rsid w:val="001C266E"/>
    <w:rsid w:val="001C306A"/>
    <w:rsid w:val="001C49DC"/>
    <w:rsid w:val="001C6945"/>
    <w:rsid w:val="001C698F"/>
    <w:rsid w:val="001C7200"/>
    <w:rsid w:val="001C7F88"/>
    <w:rsid w:val="001D12D6"/>
    <w:rsid w:val="001D169B"/>
    <w:rsid w:val="001D2B76"/>
    <w:rsid w:val="001D2ECE"/>
    <w:rsid w:val="001D3292"/>
    <w:rsid w:val="001D39E5"/>
    <w:rsid w:val="001D3C90"/>
    <w:rsid w:val="001D43DB"/>
    <w:rsid w:val="001D474C"/>
    <w:rsid w:val="001D5BB9"/>
    <w:rsid w:val="001D6B1A"/>
    <w:rsid w:val="001D7365"/>
    <w:rsid w:val="001D7DA5"/>
    <w:rsid w:val="001E15FD"/>
    <w:rsid w:val="001E1AED"/>
    <w:rsid w:val="001E27B8"/>
    <w:rsid w:val="001E31AB"/>
    <w:rsid w:val="001E3706"/>
    <w:rsid w:val="001E4032"/>
    <w:rsid w:val="001E432A"/>
    <w:rsid w:val="001E4D27"/>
    <w:rsid w:val="001E5169"/>
    <w:rsid w:val="001E5571"/>
    <w:rsid w:val="001E60C5"/>
    <w:rsid w:val="001E6F5D"/>
    <w:rsid w:val="001E71FE"/>
    <w:rsid w:val="001F0819"/>
    <w:rsid w:val="001F1677"/>
    <w:rsid w:val="001F2A1F"/>
    <w:rsid w:val="001F3DF4"/>
    <w:rsid w:val="001F49EA"/>
    <w:rsid w:val="001F5CF7"/>
    <w:rsid w:val="001F64C3"/>
    <w:rsid w:val="001F6A78"/>
    <w:rsid w:val="001F72D8"/>
    <w:rsid w:val="001F7B28"/>
    <w:rsid w:val="002010C8"/>
    <w:rsid w:val="0020121A"/>
    <w:rsid w:val="00201DDA"/>
    <w:rsid w:val="002027D4"/>
    <w:rsid w:val="0020296D"/>
    <w:rsid w:val="00203021"/>
    <w:rsid w:val="00203302"/>
    <w:rsid w:val="00203A7B"/>
    <w:rsid w:val="002045A5"/>
    <w:rsid w:val="00204F09"/>
    <w:rsid w:val="0020667A"/>
    <w:rsid w:val="00206F7E"/>
    <w:rsid w:val="00207AE7"/>
    <w:rsid w:val="00207CB1"/>
    <w:rsid w:val="002105A2"/>
    <w:rsid w:val="00210A9C"/>
    <w:rsid w:val="00211E6F"/>
    <w:rsid w:val="002137B0"/>
    <w:rsid w:val="002150BF"/>
    <w:rsid w:val="00216187"/>
    <w:rsid w:val="00216A54"/>
    <w:rsid w:val="00217881"/>
    <w:rsid w:val="0022075B"/>
    <w:rsid w:val="00221F77"/>
    <w:rsid w:val="00221FF5"/>
    <w:rsid w:val="002226C1"/>
    <w:rsid w:val="00222917"/>
    <w:rsid w:val="00222DB9"/>
    <w:rsid w:val="002244BA"/>
    <w:rsid w:val="00224E2B"/>
    <w:rsid w:val="0022581B"/>
    <w:rsid w:val="00225F51"/>
    <w:rsid w:val="0022648E"/>
    <w:rsid w:val="00226AB8"/>
    <w:rsid w:val="00226F32"/>
    <w:rsid w:val="00227ACD"/>
    <w:rsid w:val="00227C82"/>
    <w:rsid w:val="0023165F"/>
    <w:rsid w:val="00231F3A"/>
    <w:rsid w:val="0023393E"/>
    <w:rsid w:val="0023493E"/>
    <w:rsid w:val="00235942"/>
    <w:rsid w:val="00236538"/>
    <w:rsid w:val="0023703D"/>
    <w:rsid w:val="002375B2"/>
    <w:rsid w:val="00237A71"/>
    <w:rsid w:val="00237E0B"/>
    <w:rsid w:val="00242D73"/>
    <w:rsid w:val="002443DF"/>
    <w:rsid w:val="002446E1"/>
    <w:rsid w:val="00244923"/>
    <w:rsid w:val="002472A6"/>
    <w:rsid w:val="00247512"/>
    <w:rsid w:val="00247A4D"/>
    <w:rsid w:val="00250212"/>
    <w:rsid w:val="002507F2"/>
    <w:rsid w:val="00250C73"/>
    <w:rsid w:val="00251163"/>
    <w:rsid w:val="00251393"/>
    <w:rsid w:val="0025305E"/>
    <w:rsid w:val="00253D09"/>
    <w:rsid w:val="00254CA2"/>
    <w:rsid w:val="002556C2"/>
    <w:rsid w:val="00256268"/>
    <w:rsid w:val="002567A3"/>
    <w:rsid w:val="00260219"/>
    <w:rsid w:val="00260B2C"/>
    <w:rsid w:val="0026106F"/>
    <w:rsid w:val="00262B7F"/>
    <w:rsid w:val="00264741"/>
    <w:rsid w:val="00264C92"/>
    <w:rsid w:val="0026639E"/>
    <w:rsid w:val="00266980"/>
    <w:rsid w:val="00267ACA"/>
    <w:rsid w:val="00270A4E"/>
    <w:rsid w:val="00270F52"/>
    <w:rsid w:val="00271563"/>
    <w:rsid w:val="00271569"/>
    <w:rsid w:val="00272177"/>
    <w:rsid w:val="002748F6"/>
    <w:rsid w:val="00274D15"/>
    <w:rsid w:val="00275209"/>
    <w:rsid w:val="00277D90"/>
    <w:rsid w:val="002808DB"/>
    <w:rsid w:val="00280AB4"/>
    <w:rsid w:val="00280D31"/>
    <w:rsid w:val="00280F92"/>
    <w:rsid w:val="002817B5"/>
    <w:rsid w:val="00283681"/>
    <w:rsid w:val="00285A75"/>
    <w:rsid w:val="00290498"/>
    <w:rsid w:val="00291656"/>
    <w:rsid w:val="00291BE8"/>
    <w:rsid w:val="00293122"/>
    <w:rsid w:val="0029502E"/>
    <w:rsid w:val="00296021"/>
    <w:rsid w:val="0029774E"/>
    <w:rsid w:val="00297B85"/>
    <w:rsid w:val="002A02A1"/>
    <w:rsid w:val="002A04EB"/>
    <w:rsid w:val="002A07F7"/>
    <w:rsid w:val="002A1748"/>
    <w:rsid w:val="002A23FA"/>
    <w:rsid w:val="002A266C"/>
    <w:rsid w:val="002A2CE3"/>
    <w:rsid w:val="002A31A1"/>
    <w:rsid w:val="002A3A83"/>
    <w:rsid w:val="002A3CF3"/>
    <w:rsid w:val="002A3F7E"/>
    <w:rsid w:val="002A4191"/>
    <w:rsid w:val="002A6290"/>
    <w:rsid w:val="002A6A60"/>
    <w:rsid w:val="002B1743"/>
    <w:rsid w:val="002B1996"/>
    <w:rsid w:val="002B3AB2"/>
    <w:rsid w:val="002B4617"/>
    <w:rsid w:val="002B4641"/>
    <w:rsid w:val="002B5069"/>
    <w:rsid w:val="002B58A5"/>
    <w:rsid w:val="002B724C"/>
    <w:rsid w:val="002C02A9"/>
    <w:rsid w:val="002C0719"/>
    <w:rsid w:val="002C179D"/>
    <w:rsid w:val="002C2C2B"/>
    <w:rsid w:val="002C30D4"/>
    <w:rsid w:val="002C47FE"/>
    <w:rsid w:val="002C513E"/>
    <w:rsid w:val="002D1376"/>
    <w:rsid w:val="002D238E"/>
    <w:rsid w:val="002D2A30"/>
    <w:rsid w:val="002D2DC7"/>
    <w:rsid w:val="002D3F94"/>
    <w:rsid w:val="002D4720"/>
    <w:rsid w:val="002D49FB"/>
    <w:rsid w:val="002D4A25"/>
    <w:rsid w:val="002D4DF8"/>
    <w:rsid w:val="002E0041"/>
    <w:rsid w:val="002E1390"/>
    <w:rsid w:val="002E1AEB"/>
    <w:rsid w:val="002E1DBF"/>
    <w:rsid w:val="002E2498"/>
    <w:rsid w:val="002E3105"/>
    <w:rsid w:val="002E320D"/>
    <w:rsid w:val="002E3E1D"/>
    <w:rsid w:val="002E4CA1"/>
    <w:rsid w:val="002E5E57"/>
    <w:rsid w:val="002E6312"/>
    <w:rsid w:val="002E6C7C"/>
    <w:rsid w:val="002F0118"/>
    <w:rsid w:val="002F1752"/>
    <w:rsid w:val="002F1AFD"/>
    <w:rsid w:val="002F20C7"/>
    <w:rsid w:val="002F2F90"/>
    <w:rsid w:val="002F2FAA"/>
    <w:rsid w:val="002F4373"/>
    <w:rsid w:val="002F477C"/>
    <w:rsid w:val="002F4A74"/>
    <w:rsid w:val="002F4CDA"/>
    <w:rsid w:val="002F506A"/>
    <w:rsid w:val="002F52DA"/>
    <w:rsid w:val="002F557F"/>
    <w:rsid w:val="002F6432"/>
    <w:rsid w:val="003012B9"/>
    <w:rsid w:val="0030161E"/>
    <w:rsid w:val="00301915"/>
    <w:rsid w:val="003028DC"/>
    <w:rsid w:val="0030348A"/>
    <w:rsid w:val="003045DD"/>
    <w:rsid w:val="00304727"/>
    <w:rsid w:val="0030613B"/>
    <w:rsid w:val="00306844"/>
    <w:rsid w:val="003077DD"/>
    <w:rsid w:val="003111F3"/>
    <w:rsid w:val="003131EC"/>
    <w:rsid w:val="003134AE"/>
    <w:rsid w:val="003142AD"/>
    <w:rsid w:val="00314AB6"/>
    <w:rsid w:val="00314CF6"/>
    <w:rsid w:val="00315F32"/>
    <w:rsid w:val="00316BAA"/>
    <w:rsid w:val="00317242"/>
    <w:rsid w:val="00320811"/>
    <w:rsid w:val="00322BF9"/>
    <w:rsid w:val="00324743"/>
    <w:rsid w:val="00324769"/>
    <w:rsid w:val="00324B27"/>
    <w:rsid w:val="003253AF"/>
    <w:rsid w:val="00327407"/>
    <w:rsid w:val="00327CB6"/>
    <w:rsid w:val="0033298A"/>
    <w:rsid w:val="00335341"/>
    <w:rsid w:val="00336412"/>
    <w:rsid w:val="00336CA6"/>
    <w:rsid w:val="00337157"/>
    <w:rsid w:val="003373BE"/>
    <w:rsid w:val="003411DB"/>
    <w:rsid w:val="003417B4"/>
    <w:rsid w:val="00341D86"/>
    <w:rsid w:val="003423A7"/>
    <w:rsid w:val="003426EE"/>
    <w:rsid w:val="0034310E"/>
    <w:rsid w:val="00344213"/>
    <w:rsid w:val="003444F4"/>
    <w:rsid w:val="00344B88"/>
    <w:rsid w:val="00345842"/>
    <w:rsid w:val="00346684"/>
    <w:rsid w:val="003472AF"/>
    <w:rsid w:val="003508FE"/>
    <w:rsid w:val="00351369"/>
    <w:rsid w:val="0035167B"/>
    <w:rsid w:val="003522BD"/>
    <w:rsid w:val="00352D4E"/>
    <w:rsid w:val="003543D2"/>
    <w:rsid w:val="0035493D"/>
    <w:rsid w:val="00356528"/>
    <w:rsid w:val="00356C7A"/>
    <w:rsid w:val="00356FF7"/>
    <w:rsid w:val="0035718C"/>
    <w:rsid w:val="003608A1"/>
    <w:rsid w:val="003608FD"/>
    <w:rsid w:val="0036420C"/>
    <w:rsid w:val="00364A11"/>
    <w:rsid w:val="00366057"/>
    <w:rsid w:val="003677E2"/>
    <w:rsid w:val="0037051F"/>
    <w:rsid w:val="003707E0"/>
    <w:rsid w:val="00370F35"/>
    <w:rsid w:val="003725F0"/>
    <w:rsid w:val="003732C7"/>
    <w:rsid w:val="003739F0"/>
    <w:rsid w:val="00373FC2"/>
    <w:rsid w:val="003742A8"/>
    <w:rsid w:val="003749A5"/>
    <w:rsid w:val="00376918"/>
    <w:rsid w:val="00376F07"/>
    <w:rsid w:val="003775A3"/>
    <w:rsid w:val="00380502"/>
    <w:rsid w:val="00380788"/>
    <w:rsid w:val="003809CD"/>
    <w:rsid w:val="00381524"/>
    <w:rsid w:val="00381FAF"/>
    <w:rsid w:val="00383D10"/>
    <w:rsid w:val="00384170"/>
    <w:rsid w:val="003847A3"/>
    <w:rsid w:val="00386E7F"/>
    <w:rsid w:val="00387749"/>
    <w:rsid w:val="00387CB8"/>
    <w:rsid w:val="0039010C"/>
    <w:rsid w:val="00390C7F"/>
    <w:rsid w:val="00390E5C"/>
    <w:rsid w:val="00391AED"/>
    <w:rsid w:val="00391C4B"/>
    <w:rsid w:val="00391FA6"/>
    <w:rsid w:val="00393046"/>
    <w:rsid w:val="003952ED"/>
    <w:rsid w:val="00395549"/>
    <w:rsid w:val="00396610"/>
    <w:rsid w:val="00396DEC"/>
    <w:rsid w:val="00396F9D"/>
    <w:rsid w:val="00397430"/>
    <w:rsid w:val="003A0443"/>
    <w:rsid w:val="003A0F5E"/>
    <w:rsid w:val="003A1E08"/>
    <w:rsid w:val="003A424B"/>
    <w:rsid w:val="003A46D3"/>
    <w:rsid w:val="003A542D"/>
    <w:rsid w:val="003A5636"/>
    <w:rsid w:val="003A623D"/>
    <w:rsid w:val="003A68A3"/>
    <w:rsid w:val="003A76ED"/>
    <w:rsid w:val="003B0433"/>
    <w:rsid w:val="003B04C1"/>
    <w:rsid w:val="003B2C84"/>
    <w:rsid w:val="003B4F01"/>
    <w:rsid w:val="003B505C"/>
    <w:rsid w:val="003B519E"/>
    <w:rsid w:val="003B5E6F"/>
    <w:rsid w:val="003C0B1B"/>
    <w:rsid w:val="003C1195"/>
    <w:rsid w:val="003C12B6"/>
    <w:rsid w:val="003C2D27"/>
    <w:rsid w:val="003C373E"/>
    <w:rsid w:val="003C3D7F"/>
    <w:rsid w:val="003C41DD"/>
    <w:rsid w:val="003C5F2E"/>
    <w:rsid w:val="003C6326"/>
    <w:rsid w:val="003C6D87"/>
    <w:rsid w:val="003C7600"/>
    <w:rsid w:val="003D079C"/>
    <w:rsid w:val="003D0D7D"/>
    <w:rsid w:val="003D164F"/>
    <w:rsid w:val="003D224C"/>
    <w:rsid w:val="003D3759"/>
    <w:rsid w:val="003D45D4"/>
    <w:rsid w:val="003D613B"/>
    <w:rsid w:val="003D684B"/>
    <w:rsid w:val="003D7D9E"/>
    <w:rsid w:val="003E0FC6"/>
    <w:rsid w:val="003E14DF"/>
    <w:rsid w:val="003E1F42"/>
    <w:rsid w:val="003E382B"/>
    <w:rsid w:val="003E393C"/>
    <w:rsid w:val="003E3ACA"/>
    <w:rsid w:val="003E3DCB"/>
    <w:rsid w:val="003E4312"/>
    <w:rsid w:val="003E48FA"/>
    <w:rsid w:val="003E4ADE"/>
    <w:rsid w:val="003E5891"/>
    <w:rsid w:val="003E7ED0"/>
    <w:rsid w:val="003F021E"/>
    <w:rsid w:val="003F03DF"/>
    <w:rsid w:val="003F12BC"/>
    <w:rsid w:val="003F12D5"/>
    <w:rsid w:val="003F1CB9"/>
    <w:rsid w:val="003F2050"/>
    <w:rsid w:val="003F37CA"/>
    <w:rsid w:val="003F512D"/>
    <w:rsid w:val="003F6A8D"/>
    <w:rsid w:val="003F6E69"/>
    <w:rsid w:val="003F7F31"/>
    <w:rsid w:val="004009B6"/>
    <w:rsid w:val="00400E23"/>
    <w:rsid w:val="004015AF"/>
    <w:rsid w:val="00401CD3"/>
    <w:rsid w:val="00401F79"/>
    <w:rsid w:val="00402778"/>
    <w:rsid w:val="00402D75"/>
    <w:rsid w:val="00402FA1"/>
    <w:rsid w:val="00403744"/>
    <w:rsid w:val="0040474A"/>
    <w:rsid w:val="00405D7E"/>
    <w:rsid w:val="00407FB6"/>
    <w:rsid w:val="00410561"/>
    <w:rsid w:val="004120D6"/>
    <w:rsid w:val="00412186"/>
    <w:rsid w:val="00412763"/>
    <w:rsid w:val="00412A2D"/>
    <w:rsid w:val="00413258"/>
    <w:rsid w:val="0041355F"/>
    <w:rsid w:val="00414181"/>
    <w:rsid w:val="0041427D"/>
    <w:rsid w:val="00414AD4"/>
    <w:rsid w:val="0041521E"/>
    <w:rsid w:val="004164DD"/>
    <w:rsid w:val="00416763"/>
    <w:rsid w:val="0041745A"/>
    <w:rsid w:val="004179B3"/>
    <w:rsid w:val="004207D5"/>
    <w:rsid w:val="00422B81"/>
    <w:rsid w:val="00422E44"/>
    <w:rsid w:val="004231FB"/>
    <w:rsid w:val="00423374"/>
    <w:rsid w:val="00423E0D"/>
    <w:rsid w:val="004257BB"/>
    <w:rsid w:val="00425A84"/>
    <w:rsid w:val="00425B3B"/>
    <w:rsid w:val="0042602B"/>
    <w:rsid w:val="004279BD"/>
    <w:rsid w:val="004325D3"/>
    <w:rsid w:val="00435176"/>
    <w:rsid w:val="004371EE"/>
    <w:rsid w:val="00437589"/>
    <w:rsid w:val="00440A53"/>
    <w:rsid w:val="00442170"/>
    <w:rsid w:val="0044352D"/>
    <w:rsid w:val="004444EE"/>
    <w:rsid w:val="00444BDA"/>
    <w:rsid w:val="00445609"/>
    <w:rsid w:val="004464CF"/>
    <w:rsid w:val="004476C2"/>
    <w:rsid w:val="00451368"/>
    <w:rsid w:val="00453473"/>
    <w:rsid w:val="004555E6"/>
    <w:rsid w:val="00456A9B"/>
    <w:rsid w:val="00460772"/>
    <w:rsid w:val="00461E79"/>
    <w:rsid w:val="00462717"/>
    <w:rsid w:val="004641CC"/>
    <w:rsid w:val="00464E64"/>
    <w:rsid w:val="00465403"/>
    <w:rsid w:val="0046651A"/>
    <w:rsid w:val="004674AA"/>
    <w:rsid w:val="004714FB"/>
    <w:rsid w:val="004718BD"/>
    <w:rsid w:val="00471B86"/>
    <w:rsid w:val="00471D6F"/>
    <w:rsid w:val="00472210"/>
    <w:rsid w:val="00473C52"/>
    <w:rsid w:val="00474524"/>
    <w:rsid w:val="00475D5E"/>
    <w:rsid w:val="00475F13"/>
    <w:rsid w:val="0047661B"/>
    <w:rsid w:val="00476A2A"/>
    <w:rsid w:val="00477094"/>
    <w:rsid w:val="0047757F"/>
    <w:rsid w:val="00477AF5"/>
    <w:rsid w:val="00477CEB"/>
    <w:rsid w:val="00483136"/>
    <w:rsid w:val="0048354D"/>
    <w:rsid w:val="00483FA6"/>
    <w:rsid w:val="0048489E"/>
    <w:rsid w:val="004852E3"/>
    <w:rsid w:val="00486858"/>
    <w:rsid w:val="004904F6"/>
    <w:rsid w:val="00490505"/>
    <w:rsid w:val="00490E1A"/>
    <w:rsid w:val="00491DB6"/>
    <w:rsid w:val="00492636"/>
    <w:rsid w:val="004935C1"/>
    <w:rsid w:val="00493A20"/>
    <w:rsid w:val="00495C6A"/>
    <w:rsid w:val="004969D8"/>
    <w:rsid w:val="0049704E"/>
    <w:rsid w:val="004975FD"/>
    <w:rsid w:val="004979BF"/>
    <w:rsid w:val="004A1724"/>
    <w:rsid w:val="004A2349"/>
    <w:rsid w:val="004A31A7"/>
    <w:rsid w:val="004A435C"/>
    <w:rsid w:val="004A4D8B"/>
    <w:rsid w:val="004A4E6A"/>
    <w:rsid w:val="004A53BB"/>
    <w:rsid w:val="004A5819"/>
    <w:rsid w:val="004A5C0E"/>
    <w:rsid w:val="004A5D84"/>
    <w:rsid w:val="004A6CE0"/>
    <w:rsid w:val="004A724B"/>
    <w:rsid w:val="004A74F4"/>
    <w:rsid w:val="004B1175"/>
    <w:rsid w:val="004B1442"/>
    <w:rsid w:val="004B1766"/>
    <w:rsid w:val="004B19DD"/>
    <w:rsid w:val="004B3889"/>
    <w:rsid w:val="004B3E0D"/>
    <w:rsid w:val="004B3F04"/>
    <w:rsid w:val="004B4571"/>
    <w:rsid w:val="004B51F9"/>
    <w:rsid w:val="004B564F"/>
    <w:rsid w:val="004B6A7C"/>
    <w:rsid w:val="004B7ECE"/>
    <w:rsid w:val="004C04EA"/>
    <w:rsid w:val="004C0763"/>
    <w:rsid w:val="004C0A56"/>
    <w:rsid w:val="004C3997"/>
    <w:rsid w:val="004C4C1F"/>
    <w:rsid w:val="004C50BF"/>
    <w:rsid w:val="004C53CB"/>
    <w:rsid w:val="004C593C"/>
    <w:rsid w:val="004C629B"/>
    <w:rsid w:val="004C693B"/>
    <w:rsid w:val="004C751A"/>
    <w:rsid w:val="004C7E8B"/>
    <w:rsid w:val="004D0B15"/>
    <w:rsid w:val="004D0EBA"/>
    <w:rsid w:val="004D114D"/>
    <w:rsid w:val="004D14D3"/>
    <w:rsid w:val="004D23AD"/>
    <w:rsid w:val="004D3E58"/>
    <w:rsid w:val="004D4156"/>
    <w:rsid w:val="004D4333"/>
    <w:rsid w:val="004D6531"/>
    <w:rsid w:val="004E011D"/>
    <w:rsid w:val="004E1AC6"/>
    <w:rsid w:val="004E2434"/>
    <w:rsid w:val="004E26E2"/>
    <w:rsid w:val="004E3070"/>
    <w:rsid w:val="004E4B5B"/>
    <w:rsid w:val="004E5779"/>
    <w:rsid w:val="004E5E51"/>
    <w:rsid w:val="004E668A"/>
    <w:rsid w:val="004E7E07"/>
    <w:rsid w:val="004F32E1"/>
    <w:rsid w:val="004F34F2"/>
    <w:rsid w:val="004F4632"/>
    <w:rsid w:val="004F46CE"/>
    <w:rsid w:val="004F5C1C"/>
    <w:rsid w:val="004F62FF"/>
    <w:rsid w:val="004F69E2"/>
    <w:rsid w:val="004F6CFB"/>
    <w:rsid w:val="004F6EA8"/>
    <w:rsid w:val="004F70A7"/>
    <w:rsid w:val="005019FE"/>
    <w:rsid w:val="00502C28"/>
    <w:rsid w:val="00503D06"/>
    <w:rsid w:val="00504229"/>
    <w:rsid w:val="00504370"/>
    <w:rsid w:val="00505434"/>
    <w:rsid w:val="005063FD"/>
    <w:rsid w:val="005069C2"/>
    <w:rsid w:val="00510452"/>
    <w:rsid w:val="00510AD7"/>
    <w:rsid w:val="00510EB1"/>
    <w:rsid w:val="0051164C"/>
    <w:rsid w:val="00512176"/>
    <w:rsid w:val="005122E9"/>
    <w:rsid w:val="005137DB"/>
    <w:rsid w:val="0051437A"/>
    <w:rsid w:val="0051449F"/>
    <w:rsid w:val="0051508B"/>
    <w:rsid w:val="0051570C"/>
    <w:rsid w:val="00516007"/>
    <w:rsid w:val="00517111"/>
    <w:rsid w:val="005203B7"/>
    <w:rsid w:val="005208BD"/>
    <w:rsid w:val="0052161C"/>
    <w:rsid w:val="00521FF6"/>
    <w:rsid w:val="0052347F"/>
    <w:rsid w:val="00527681"/>
    <w:rsid w:val="0052771A"/>
    <w:rsid w:val="00527FC5"/>
    <w:rsid w:val="00530967"/>
    <w:rsid w:val="00530DE6"/>
    <w:rsid w:val="00531FAE"/>
    <w:rsid w:val="0053589B"/>
    <w:rsid w:val="00535CDB"/>
    <w:rsid w:val="00535E49"/>
    <w:rsid w:val="0053659F"/>
    <w:rsid w:val="00537D18"/>
    <w:rsid w:val="00537D95"/>
    <w:rsid w:val="005417AF"/>
    <w:rsid w:val="00543780"/>
    <w:rsid w:val="005450EB"/>
    <w:rsid w:val="0054574A"/>
    <w:rsid w:val="00546646"/>
    <w:rsid w:val="0054665C"/>
    <w:rsid w:val="00547A43"/>
    <w:rsid w:val="00552694"/>
    <w:rsid w:val="0055337B"/>
    <w:rsid w:val="0055377C"/>
    <w:rsid w:val="00553860"/>
    <w:rsid w:val="005541F4"/>
    <w:rsid w:val="00554717"/>
    <w:rsid w:val="00555261"/>
    <w:rsid w:val="00556DE6"/>
    <w:rsid w:val="005574AF"/>
    <w:rsid w:val="0055785D"/>
    <w:rsid w:val="00557A53"/>
    <w:rsid w:val="0056090E"/>
    <w:rsid w:val="005613B3"/>
    <w:rsid w:val="00561ED7"/>
    <w:rsid w:val="00562166"/>
    <w:rsid w:val="00562995"/>
    <w:rsid w:val="00563855"/>
    <w:rsid w:val="005642DD"/>
    <w:rsid w:val="00564453"/>
    <w:rsid w:val="00566025"/>
    <w:rsid w:val="0056611F"/>
    <w:rsid w:val="005666D7"/>
    <w:rsid w:val="005676A0"/>
    <w:rsid w:val="00567ADA"/>
    <w:rsid w:val="005718D7"/>
    <w:rsid w:val="00571AFD"/>
    <w:rsid w:val="00571BEE"/>
    <w:rsid w:val="00571C08"/>
    <w:rsid w:val="00571C69"/>
    <w:rsid w:val="00572232"/>
    <w:rsid w:val="005722E9"/>
    <w:rsid w:val="00572D52"/>
    <w:rsid w:val="00573F62"/>
    <w:rsid w:val="00574619"/>
    <w:rsid w:val="00575D36"/>
    <w:rsid w:val="005761EE"/>
    <w:rsid w:val="00576C13"/>
    <w:rsid w:val="00576CB6"/>
    <w:rsid w:val="00576CF4"/>
    <w:rsid w:val="00577164"/>
    <w:rsid w:val="00577D9F"/>
    <w:rsid w:val="00580391"/>
    <w:rsid w:val="0058086E"/>
    <w:rsid w:val="005818DE"/>
    <w:rsid w:val="00581CC1"/>
    <w:rsid w:val="00584718"/>
    <w:rsid w:val="00584D4C"/>
    <w:rsid w:val="005861DC"/>
    <w:rsid w:val="0058622F"/>
    <w:rsid w:val="00586418"/>
    <w:rsid w:val="00587350"/>
    <w:rsid w:val="005874B8"/>
    <w:rsid w:val="00587BA9"/>
    <w:rsid w:val="0059007C"/>
    <w:rsid w:val="00591A31"/>
    <w:rsid w:val="00594C44"/>
    <w:rsid w:val="0059556C"/>
    <w:rsid w:val="00596B76"/>
    <w:rsid w:val="00597DD9"/>
    <w:rsid w:val="005A0ACF"/>
    <w:rsid w:val="005A0C34"/>
    <w:rsid w:val="005A2501"/>
    <w:rsid w:val="005A34B6"/>
    <w:rsid w:val="005A3E34"/>
    <w:rsid w:val="005A44FF"/>
    <w:rsid w:val="005A4BD9"/>
    <w:rsid w:val="005A51C6"/>
    <w:rsid w:val="005A576D"/>
    <w:rsid w:val="005A5BAB"/>
    <w:rsid w:val="005A5CB3"/>
    <w:rsid w:val="005A6604"/>
    <w:rsid w:val="005A7E09"/>
    <w:rsid w:val="005B08A6"/>
    <w:rsid w:val="005B0F22"/>
    <w:rsid w:val="005B0F27"/>
    <w:rsid w:val="005B1A31"/>
    <w:rsid w:val="005B2B4F"/>
    <w:rsid w:val="005B2CB5"/>
    <w:rsid w:val="005B3439"/>
    <w:rsid w:val="005B4E85"/>
    <w:rsid w:val="005B5E17"/>
    <w:rsid w:val="005B6CC1"/>
    <w:rsid w:val="005C1943"/>
    <w:rsid w:val="005C22C2"/>
    <w:rsid w:val="005C501A"/>
    <w:rsid w:val="005C5673"/>
    <w:rsid w:val="005C6D52"/>
    <w:rsid w:val="005C6F67"/>
    <w:rsid w:val="005C7858"/>
    <w:rsid w:val="005C7A9A"/>
    <w:rsid w:val="005C7FCE"/>
    <w:rsid w:val="005D11A5"/>
    <w:rsid w:val="005D4BC8"/>
    <w:rsid w:val="005D55D6"/>
    <w:rsid w:val="005D593D"/>
    <w:rsid w:val="005D65FF"/>
    <w:rsid w:val="005D6E43"/>
    <w:rsid w:val="005D717B"/>
    <w:rsid w:val="005D769A"/>
    <w:rsid w:val="005D7FC2"/>
    <w:rsid w:val="005E092E"/>
    <w:rsid w:val="005E1DD8"/>
    <w:rsid w:val="005E1EA0"/>
    <w:rsid w:val="005E1F6F"/>
    <w:rsid w:val="005E4132"/>
    <w:rsid w:val="005E58E1"/>
    <w:rsid w:val="005E5F8B"/>
    <w:rsid w:val="005F0EC7"/>
    <w:rsid w:val="005F105B"/>
    <w:rsid w:val="005F2341"/>
    <w:rsid w:val="005F2B48"/>
    <w:rsid w:val="005F4B41"/>
    <w:rsid w:val="005F4F2A"/>
    <w:rsid w:val="005F5099"/>
    <w:rsid w:val="005F73A6"/>
    <w:rsid w:val="006002FC"/>
    <w:rsid w:val="00600D9B"/>
    <w:rsid w:val="0060128D"/>
    <w:rsid w:val="006015EB"/>
    <w:rsid w:val="006021B4"/>
    <w:rsid w:val="00602BDA"/>
    <w:rsid w:val="0060305B"/>
    <w:rsid w:val="0060308F"/>
    <w:rsid w:val="0060552B"/>
    <w:rsid w:val="00606E04"/>
    <w:rsid w:val="00611B3C"/>
    <w:rsid w:val="00611C5C"/>
    <w:rsid w:val="00612686"/>
    <w:rsid w:val="006131E9"/>
    <w:rsid w:val="0061392C"/>
    <w:rsid w:val="00615685"/>
    <w:rsid w:val="00616069"/>
    <w:rsid w:val="00616FDD"/>
    <w:rsid w:val="00617E42"/>
    <w:rsid w:val="00617E6C"/>
    <w:rsid w:val="006203EC"/>
    <w:rsid w:val="00622191"/>
    <w:rsid w:val="00622D62"/>
    <w:rsid w:val="0062336F"/>
    <w:rsid w:val="00623D41"/>
    <w:rsid w:val="00624A28"/>
    <w:rsid w:val="00624E5B"/>
    <w:rsid w:val="006264F1"/>
    <w:rsid w:val="00626A29"/>
    <w:rsid w:val="00626AF4"/>
    <w:rsid w:val="00626CB1"/>
    <w:rsid w:val="00626CBB"/>
    <w:rsid w:val="00627894"/>
    <w:rsid w:val="00627FF6"/>
    <w:rsid w:val="00630506"/>
    <w:rsid w:val="00630BC9"/>
    <w:rsid w:val="0063314F"/>
    <w:rsid w:val="006354FF"/>
    <w:rsid w:val="00635832"/>
    <w:rsid w:val="00635AB6"/>
    <w:rsid w:val="006361B1"/>
    <w:rsid w:val="006365E9"/>
    <w:rsid w:val="00636E18"/>
    <w:rsid w:val="00637228"/>
    <w:rsid w:val="00641E0B"/>
    <w:rsid w:val="0064225E"/>
    <w:rsid w:val="0064298D"/>
    <w:rsid w:val="0064364F"/>
    <w:rsid w:val="006445A3"/>
    <w:rsid w:val="00645115"/>
    <w:rsid w:val="006464CF"/>
    <w:rsid w:val="00647A7A"/>
    <w:rsid w:val="00650724"/>
    <w:rsid w:val="0065124E"/>
    <w:rsid w:val="006513A0"/>
    <w:rsid w:val="00652C4F"/>
    <w:rsid w:val="00654860"/>
    <w:rsid w:val="00654F37"/>
    <w:rsid w:val="00656ABE"/>
    <w:rsid w:val="00657521"/>
    <w:rsid w:val="0066000B"/>
    <w:rsid w:val="0066030A"/>
    <w:rsid w:val="00661C43"/>
    <w:rsid w:val="00662C23"/>
    <w:rsid w:val="0066473E"/>
    <w:rsid w:val="00664F66"/>
    <w:rsid w:val="00665069"/>
    <w:rsid w:val="0066537B"/>
    <w:rsid w:val="00665718"/>
    <w:rsid w:val="00665E8C"/>
    <w:rsid w:val="0066692E"/>
    <w:rsid w:val="00666CC6"/>
    <w:rsid w:val="006677D7"/>
    <w:rsid w:val="00667828"/>
    <w:rsid w:val="00670CDD"/>
    <w:rsid w:val="00670F37"/>
    <w:rsid w:val="00676079"/>
    <w:rsid w:val="00676326"/>
    <w:rsid w:val="006777C7"/>
    <w:rsid w:val="006839E8"/>
    <w:rsid w:val="00683D65"/>
    <w:rsid w:val="00684AB4"/>
    <w:rsid w:val="00685F12"/>
    <w:rsid w:val="00687672"/>
    <w:rsid w:val="00690FB6"/>
    <w:rsid w:val="0069373F"/>
    <w:rsid w:val="00693FDC"/>
    <w:rsid w:val="006963D2"/>
    <w:rsid w:val="00697FEB"/>
    <w:rsid w:val="006A02C9"/>
    <w:rsid w:val="006A0B4A"/>
    <w:rsid w:val="006A0D71"/>
    <w:rsid w:val="006A0E7E"/>
    <w:rsid w:val="006A0F4A"/>
    <w:rsid w:val="006A1D16"/>
    <w:rsid w:val="006A1EA8"/>
    <w:rsid w:val="006A4300"/>
    <w:rsid w:val="006A4428"/>
    <w:rsid w:val="006A7BEA"/>
    <w:rsid w:val="006A7D62"/>
    <w:rsid w:val="006B120F"/>
    <w:rsid w:val="006B2EBD"/>
    <w:rsid w:val="006B2F86"/>
    <w:rsid w:val="006B3690"/>
    <w:rsid w:val="006B37A6"/>
    <w:rsid w:val="006B3C0D"/>
    <w:rsid w:val="006C0355"/>
    <w:rsid w:val="006C090C"/>
    <w:rsid w:val="006C13D5"/>
    <w:rsid w:val="006C3A40"/>
    <w:rsid w:val="006C3F79"/>
    <w:rsid w:val="006C4E8E"/>
    <w:rsid w:val="006C53A0"/>
    <w:rsid w:val="006C5E9B"/>
    <w:rsid w:val="006C6D77"/>
    <w:rsid w:val="006C7240"/>
    <w:rsid w:val="006C74D6"/>
    <w:rsid w:val="006D0EE8"/>
    <w:rsid w:val="006D12C7"/>
    <w:rsid w:val="006D175B"/>
    <w:rsid w:val="006D1BF7"/>
    <w:rsid w:val="006D23EF"/>
    <w:rsid w:val="006D457D"/>
    <w:rsid w:val="006D59F8"/>
    <w:rsid w:val="006D61DA"/>
    <w:rsid w:val="006D6AF7"/>
    <w:rsid w:val="006D6EBB"/>
    <w:rsid w:val="006D7F80"/>
    <w:rsid w:val="006D7FC7"/>
    <w:rsid w:val="006E00DA"/>
    <w:rsid w:val="006E04F7"/>
    <w:rsid w:val="006E0941"/>
    <w:rsid w:val="006E0B68"/>
    <w:rsid w:val="006E0EAD"/>
    <w:rsid w:val="006E1DC5"/>
    <w:rsid w:val="006E3420"/>
    <w:rsid w:val="006E39D7"/>
    <w:rsid w:val="006E3BD0"/>
    <w:rsid w:val="006E3FA9"/>
    <w:rsid w:val="006E4444"/>
    <w:rsid w:val="006E4D14"/>
    <w:rsid w:val="006E6866"/>
    <w:rsid w:val="006E702B"/>
    <w:rsid w:val="006E7DC6"/>
    <w:rsid w:val="006F01FC"/>
    <w:rsid w:val="006F0349"/>
    <w:rsid w:val="006F08E1"/>
    <w:rsid w:val="006F0E10"/>
    <w:rsid w:val="006F1A53"/>
    <w:rsid w:val="006F2196"/>
    <w:rsid w:val="006F2B29"/>
    <w:rsid w:val="006F3620"/>
    <w:rsid w:val="006F3D73"/>
    <w:rsid w:val="006F5A87"/>
    <w:rsid w:val="006F7BDA"/>
    <w:rsid w:val="00701FC8"/>
    <w:rsid w:val="0070288A"/>
    <w:rsid w:val="00702D07"/>
    <w:rsid w:val="00703676"/>
    <w:rsid w:val="00706655"/>
    <w:rsid w:val="007078D6"/>
    <w:rsid w:val="007106DD"/>
    <w:rsid w:val="00710F87"/>
    <w:rsid w:val="007116F8"/>
    <w:rsid w:val="007133E9"/>
    <w:rsid w:val="007137B3"/>
    <w:rsid w:val="00713BD4"/>
    <w:rsid w:val="00714542"/>
    <w:rsid w:val="00714837"/>
    <w:rsid w:val="00714EF0"/>
    <w:rsid w:val="00714F04"/>
    <w:rsid w:val="00715087"/>
    <w:rsid w:val="007158C7"/>
    <w:rsid w:val="00715D0C"/>
    <w:rsid w:val="00716F27"/>
    <w:rsid w:val="00717727"/>
    <w:rsid w:val="00717B00"/>
    <w:rsid w:val="00720DE3"/>
    <w:rsid w:val="00721C6A"/>
    <w:rsid w:val="007227EC"/>
    <w:rsid w:val="00722F2C"/>
    <w:rsid w:val="00723293"/>
    <w:rsid w:val="00723439"/>
    <w:rsid w:val="00723CB3"/>
    <w:rsid w:val="00724D46"/>
    <w:rsid w:val="007252D4"/>
    <w:rsid w:val="00727012"/>
    <w:rsid w:val="0072723A"/>
    <w:rsid w:val="00727D29"/>
    <w:rsid w:val="00730E2D"/>
    <w:rsid w:val="0073142D"/>
    <w:rsid w:val="007330A4"/>
    <w:rsid w:val="00733C05"/>
    <w:rsid w:val="00734568"/>
    <w:rsid w:val="0073460E"/>
    <w:rsid w:val="007349F9"/>
    <w:rsid w:val="00734A12"/>
    <w:rsid w:val="00736EAE"/>
    <w:rsid w:val="007402C2"/>
    <w:rsid w:val="0074044C"/>
    <w:rsid w:val="007405B1"/>
    <w:rsid w:val="00742174"/>
    <w:rsid w:val="00742C4C"/>
    <w:rsid w:val="00743577"/>
    <w:rsid w:val="00744C66"/>
    <w:rsid w:val="007464CC"/>
    <w:rsid w:val="00747238"/>
    <w:rsid w:val="00747B4B"/>
    <w:rsid w:val="00750679"/>
    <w:rsid w:val="00751EDA"/>
    <w:rsid w:val="00754851"/>
    <w:rsid w:val="007575D0"/>
    <w:rsid w:val="00757649"/>
    <w:rsid w:val="007609D5"/>
    <w:rsid w:val="007611AD"/>
    <w:rsid w:val="007613B3"/>
    <w:rsid w:val="00762FBA"/>
    <w:rsid w:val="0076473F"/>
    <w:rsid w:val="00764748"/>
    <w:rsid w:val="00765515"/>
    <w:rsid w:val="00766F28"/>
    <w:rsid w:val="007713E8"/>
    <w:rsid w:val="00771967"/>
    <w:rsid w:val="00771AA1"/>
    <w:rsid w:val="0077322C"/>
    <w:rsid w:val="00774715"/>
    <w:rsid w:val="00774999"/>
    <w:rsid w:val="00774F98"/>
    <w:rsid w:val="00776623"/>
    <w:rsid w:val="007768F5"/>
    <w:rsid w:val="0077735A"/>
    <w:rsid w:val="0078095B"/>
    <w:rsid w:val="00780D10"/>
    <w:rsid w:val="007813D1"/>
    <w:rsid w:val="00782158"/>
    <w:rsid w:val="007821BC"/>
    <w:rsid w:val="007826E0"/>
    <w:rsid w:val="0078271A"/>
    <w:rsid w:val="00783194"/>
    <w:rsid w:val="00783455"/>
    <w:rsid w:val="007835D5"/>
    <w:rsid w:val="0078383A"/>
    <w:rsid w:val="00783BA7"/>
    <w:rsid w:val="007853F8"/>
    <w:rsid w:val="0078687A"/>
    <w:rsid w:val="00786BB9"/>
    <w:rsid w:val="00786FE5"/>
    <w:rsid w:val="007870B3"/>
    <w:rsid w:val="00787297"/>
    <w:rsid w:val="007877DC"/>
    <w:rsid w:val="0079039B"/>
    <w:rsid w:val="007908E2"/>
    <w:rsid w:val="00793842"/>
    <w:rsid w:val="007953B5"/>
    <w:rsid w:val="00795F3C"/>
    <w:rsid w:val="00796271"/>
    <w:rsid w:val="00796431"/>
    <w:rsid w:val="007964DC"/>
    <w:rsid w:val="00797D07"/>
    <w:rsid w:val="00797EC1"/>
    <w:rsid w:val="007A03B9"/>
    <w:rsid w:val="007A06C5"/>
    <w:rsid w:val="007A0B4E"/>
    <w:rsid w:val="007A117C"/>
    <w:rsid w:val="007A2635"/>
    <w:rsid w:val="007A3BFB"/>
    <w:rsid w:val="007A69A5"/>
    <w:rsid w:val="007A6B52"/>
    <w:rsid w:val="007A6C81"/>
    <w:rsid w:val="007A7B10"/>
    <w:rsid w:val="007B02A8"/>
    <w:rsid w:val="007B0B30"/>
    <w:rsid w:val="007B129D"/>
    <w:rsid w:val="007B219A"/>
    <w:rsid w:val="007B31A6"/>
    <w:rsid w:val="007B4508"/>
    <w:rsid w:val="007B5E3D"/>
    <w:rsid w:val="007B6B28"/>
    <w:rsid w:val="007B79F6"/>
    <w:rsid w:val="007B7B44"/>
    <w:rsid w:val="007C1271"/>
    <w:rsid w:val="007C12F0"/>
    <w:rsid w:val="007C15B2"/>
    <w:rsid w:val="007C4747"/>
    <w:rsid w:val="007C4C83"/>
    <w:rsid w:val="007C525A"/>
    <w:rsid w:val="007C533A"/>
    <w:rsid w:val="007C591A"/>
    <w:rsid w:val="007C6206"/>
    <w:rsid w:val="007C6225"/>
    <w:rsid w:val="007C64E2"/>
    <w:rsid w:val="007C7C72"/>
    <w:rsid w:val="007D065D"/>
    <w:rsid w:val="007D1E88"/>
    <w:rsid w:val="007D275E"/>
    <w:rsid w:val="007D37BA"/>
    <w:rsid w:val="007D3850"/>
    <w:rsid w:val="007D3F75"/>
    <w:rsid w:val="007D4025"/>
    <w:rsid w:val="007D66F0"/>
    <w:rsid w:val="007D73E5"/>
    <w:rsid w:val="007D750A"/>
    <w:rsid w:val="007D7523"/>
    <w:rsid w:val="007E0084"/>
    <w:rsid w:val="007E1035"/>
    <w:rsid w:val="007E18D1"/>
    <w:rsid w:val="007E199C"/>
    <w:rsid w:val="007E2A76"/>
    <w:rsid w:val="007E4D07"/>
    <w:rsid w:val="007E722A"/>
    <w:rsid w:val="007E770A"/>
    <w:rsid w:val="007E7968"/>
    <w:rsid w:val="007E7C0D"/>
    <w:rsid w:val="007F0CB0"/>
    <w:rsid w:val="007F1600"/>
    <w:rsid w:val="007F166D"/>
    <w:rsid w:val="007F1EDF"/>
    <w:rsid w:val="007F2054"/>
    <w:rsid w:val="007F299B"/>
    <w:rsid w:val="007F365B"/>
    <w:rsid w:val="007F4023"/>
    <w:rsid w:val="007F40D6"/>
    <w:rsid w:val="007F41A0"/>
    <w:rsid w:val="007F5346"/>
    <w:rsid w:val="007F53F4"/>
    <w:rsid w:val="007F742B"/>
    <w:rsid w:val="007F7CBC"/>
    <w:rsid w:val="0080130F"/>
    <w:rsid w:val="008026FE"/>
    <w:rsid w:val="00802F9F"/>
    <w:rsid w:val="00803E55"/>
    <w:rsid w:val="00804358"/>
    <w:rsid w:val="00804F92"/>
    <w:rsid w:val="00807F85"/>
    <w:rsid w:val="0081060D"/>
    <w:rsid w:val="00810A52"/>
    <w:rsid w:val="00810DCF"/>
    <w:rsid w:val="008110C4"/>
    <w:rsid w:val="00811527"/>
    <w:rsid w:val="00811F2C"/>
    <w:rsid w:val="00811FE2"/>
    <w:rsid w:val="008134F5"/>
    <w:rsid w:val="00814399"/>
    <w:rsid w:val="00815A51"/>
    <w:rsid w:val="008208F2"/>
    <w:rsid w:val="00820A66"/>
    <w:rsid w:val="00820F38"/>
    <w:rsid w:val="00822D27"/>
    <w:rsid w:val="008242DA"/>
    <w:rsid w:val="00824A84"/>
    <w:rsid w:val="00826371"/>
    <w:rsid w:val="0082668B"/>
    <w:rsid w:val="0082687A"/>
    <w:rsid w:val="008272AC"/>
    <w:rsid w:val="00830214"/>
    <w:rsid w:val="00830902"/>
    <w:rsid w:val="00832118"/>
    <w:rsid w:val="00832C2F"/>
    <w:rsid w:val="00833EC7"/>
    <w:rsid w:val="00834366"/>
    <w:rsid w:val="008358AE"/>
    <w:rsid w:val="008363D1"/>
    <w:rsid w:val="00836C3B"/>
    <w:rsid w:val="00840749"/>
    <w:rsid w:val="008412E1"/>
    <w:rsid w:val="008413A8"/>
    <w:rsid w:val="00842443"/>
    <w:rsid w:val="00843285"/>
    <w:rsid w:val="00843386"/>
    <w:rsid w:val="00844479"/>
    <w:rsid w:val="00844C79"/>
    <w:rsid w:val="00846122"/>
    <w:rsid w:val="008466C4"/>
    <w:rsid w:val="00850FDB"/>
    <w:rsid w:val="008510D6"/>
    <w:rsid w:val="008522B5"/>
    <w:rsid w:val="00853C4A"/>
    <w:rsid w:val="00854190"/>
    <w:rsid w:val="00854682"/>
    <w:rsid w:val="00856359"/>
    <w:rsid w:val="00856DA4"/>
    <w:rsid w:val="00857078"/>
    <w:rsid w:val="00857A3C"/>
    <w:rsid w:val="00860613"/>
    <w:rsid w:val="00861279"/>
    <w:rsid w:val="008612B4"/>
    <w:rsid w:val="00862A90"/>
    <w:rsid w:val="00863D31"/>
    <w:rsid w:val="0086454A"/>
    <w:rsid w:val="00866E95"/>
    <w:rsid w:val="00870102"/>
    <w:rsid w:val="008721A5"/>
    <w:rsid w:val="00872847"/>
    <w:rsid w:val="00872C9B"/>
    <w:rsid w:val="00872FDB"/>
    <w:rsid w:val="00873451"/>
    <w:rsid w:val="00873471"/>
    <w:rsid w:val="0087619E"/>
    <w:rsid w:val="00877706"/>
    <w:rsid w:val="00877F7D"/>
    <w:rsid w:val="008811FC"/>
    <w:rsid w:val="00881D54"/>
    <w:rsid w:val="008825CE"/>
    <w:rsid w:val="0088460D"/>
    <w:rsid w:val="008857AA"/>
    <w:rsid w:val="00885FA2"/>
    <w:rsid w:val="0088688E"/>
    <w:rsid w:val="00887608"/>
    <w:rsid w:val="00887ABB"/>
    <w:rsid w:val="00887FD1"/>
    <w:rsid w:val="008900AF"/>
    <w:rsid w:val="00890AD0"/>
    <w:rsid w:val="00890B66"/>
    <w:rsid w:val="00891109"/>
    <w:rsid w:val="00891BA0"/>
    <w:rsid w:val="00891F38"/>
    <w:rsid w:val="00893E72"/>
    <w:rsid w:val="00896BC2"/>
    <w:rsid w:val="008A072D"/>
    <w:rsid w:val="008A1815"/>
    <w:rsid w:val="008A1C42"/>
    <w:rsid w:val="008A2D63"/>
    <w:rsid w:val="008A3348"/>
    <w:rsid w:val="008A3889"/>
    <w:rsid w:val="008A4BAF"/>
    <w:rsid w:val="008A5CE1"/>
    <w:rsid w:val="008A5EE6"/>
    <w:rsid w:val="008A6398"/>
    <w:rsid w:val="008B08D3"/>
    <w:rsid w:val="008B19B7"/>
    <w:rsid w:val="008B19E5"/>
    <w:rsid w:val="008B1C16"/>
    <w:rsid w:val="008B2AC1"/>
    <w:rsid w:val="008B2D32"/>
    <w:rsid w:val="008B2E9A"/>
    <w:rsid w:val="008B2EB5"/>
    <w:rsid w:val="008B3ADE"/>
    <w:rsid w:val="008B44C3"/>
    <w:rsid w:val="008B5255"/>
    <w:rsid w:val="008B5613"/>
    <w:rsid w:val="008B7050"/>
    <w:rsid w:val="008B7162"/>
    <w:rsid w:val="008C1507"/>
    <w:rsid w:val="008C19A3"/>
    <w:rsid w:val="008C2501"/>
    <w:rsid w:val="008C383B"/>
    <w:rsid w:val="008C3A5F"/>
    <w:rsid w:val="008C44A7"/>
    <w:rsid w:val="008C5671"/>
    <w:rsid w:val="008C59BA"/>
    <w:rsid w:val="008C5D4D"/>
    <w:rsid w:val="008C6671"/>
    <w:rsid w:val="008C739D"/>
    <w:rsid w:val="008C7707"/>
    <w:rsid w:val="008D3273"/>
    <w:rsid w:val="008D4696"/>
    <w:rsid w:val="008D6805"/>
    <w:rsid w:val="008D6CA8"/>
    <w:rsid w:val="008D733D"/>
    <w:rsid w:val="008E0A95"/>
    <w:rsid w:val="008E14A5"/>
    <w:rsid w:val="008E2336"/>
    <w:rsid w:val="008E27A7"/>
    <w:rsid w:val="008E33F9"/>
    <w:rsid w:val="008E34A2"/>
    <w:rsid w:val="008E34AE"/>
    <w:rsid w:val="008E4D1F"/>
    <w:rsid w:val="008E78B4"/>
    <w:rsid w:val="008F047E"/>
    <w:rsid w:val="008F2841"/>
    <w:rsid w:val="008F2959"/>
    <w:rsid w:val="008F399F"/>
    <w:rsid w:val="008F39F1"/>
    <w:rsid w:val="008F432C"/>
    <w:rsid w:val="008F7ADB"/>
    <w:rsid w:val="009001B0"/>
    <w:rsid w:val="00900940"/>
    <w:rsid w:val="0090288E"/>
    <w:rsid w:val="009038F9"/>
    <w:rsid w:val="009055D6"/>
    <w:rsid w:val="00905AAB"/>
    <w:rsid w:val="009068C3"/>
    <w:rsid w:val="00910432"/>
    <w:rsid w:val="0091050C"/>
    <w:rsid w:val="00911A8D"/>
    <w:rsid w:val="009139AF"/>
    <w:rsid w:val="009148EC"/>
    <w:rsid w:val="00914CD2"/>
    <w:rsid w:val="00915EF9"/>
    <w:rsid w:val="00917A99"/>
    <w:rsid w:val="00921BFB"/>
    <w:rsid w:val="00921EF9"/>
    <w:rsid w:val="00922AFA"/>
    <w:rsid w:val="00922BF2"/>
    <w:rsid w:val="009234FD"/>
    <w:rsid w:val="00923665"/>
    <w:rsid w:val="00924258"/>
    <w:rsid w:val="00924973"/>
    <w:rsid w:val="00924ED5"/>
    <w:rsid w:val="0092631A"/>
    <w:rsid w:val="009311DF"/>
    <w:rsid w:val="009314B6"/>
    <w:rsid w:val="0093152E"/>
    <w:rsid w:val="009315A3"/>
    <w:rsid w:val="00931779"/>
    <w:rsid w:val="00931E42"/>
    <w:rsid w:val="0093252C"/>
    <w:rsid w:val="0093283A"/>
    <w:rsid w:val="0093430F"/>
    <w:rsid w:val="00935EAC"/>
    <w:rsid w:val="00937529"/>
    <w:rsid w:val="00940DF7"/>
    <w:rsid w:val="00942405"/>
    <w:rsid w:val="00942818"/>
    <w:rsid w:val="00942A02"/>
    <w:rsid w:val="00942AD5"/>
    <w:rsid w:val="00943510"/>
    <w:rsid w:val="00943A66"/>
    <w:rsid w:val="00944371"/>
    <w:rsid w:val="00944529"/>
    <w:rsid w:val="00944CB3"/>
    <w:rsid w:val="00944D10"/>
    <w:rsid w:val="009450BA"/>
    <w:rsid w:val="009454B6"/>
    <w:rsid w:val="00946929"/>
    <w:rsid w:val="00946D29"/>
    <w:rsid w:val="009474F2"/>
    <w:rsid w:val="00950E7E"/>
    <w:rsid w:val="0095625A"/>
    <w:rsid w:val="00956446"/>
    <w:rsid w:val="00957B4C"/>
    <w:rsid w:val="009603BF"/>
    <w:rsid w:val="00960F24"/>
    <w:rsid w:val="00960FAF"/>
    <w:rsid w:val="0096172B"/>
    <w:rsid w:val="00961C91"/>
    <w:rsid w:val="00962AB8"/>
    <w:rsid w:val="00962CB7"/>
    <w:rsid w:val="00962E64"/>
    <w:rsid w:val="00963AA3"/>
    <w:rsid w:val="00963B80"/>
    <w:rsid w:val="00966080"/>
    <w:rsid w:val="0096628F"/>
    <w:rsid w:val="009664DD"/>
    <w:rsid w:val="00966F48"/>
    <w:rsid w:val="0096744E"/>
    <w:rsid w:val="009704A0"/>
    <w:rsid w:val="00970792"/>
    <w:rsid w:val="00971E1A"/>
    <w:rsid w:val="00971EE1"/>
    <w:rsid w:val="00973197"/>
    <w:rsid w:val="00973E14"/>
    <w:rsid w:val="009753FB"/>
    <w:rsid w:val="00975439"/>
    <w:rsid w:val="009756E8"/>
    <w:rsid w:val="00977317"/>
    <w:rsid w:val="009802E6"/>
    <w:rsid w:val="009804C2"/>
    <w:rsid w:val="00980C11"/>
    <w:rsid w:val="00981086"/>
    <w:rsid w:val="0098257D"/>
    <w:rsid w:val="0098302F"/>
    <w:rsid w:val="009831C8"/>
    <w:rsid w:val="00983D28"/>
    <w:rsid w:val="0098474E"/>
    <w:rsid w:val="00986110"/>
    <w:rsid w:val="009869D5"/>
    <w:rsid w:val="00987232"/>
    <w:rsid w:val="00990EC7"/>
    <w:rsid w:val="00991B95"/>
    <w:rsid w:val="00991D3E"/>
    <w:rsid w:val="00992840"/>
    <w:rsid w:val="00994CC4"/>
    <w:rsid w:val="00995379"/>
    <w:rsid w:val="009968AC"/>
    <w:rsid w:val="00996911"/>
    <w:rsid w:val="00996DB9"/>
    <w:rsid w:val="009976E7"/>
    <w:rsid w:val="009A10DD"/>
    <w:rsid w:val="009A11ED"/>
    <w:rsid w:val="009A1795"/>
    <w:rsid w:val="009A1CB0"/>
    <w:rsid w:val="009A2547"/>
    <w:rsid w:val="009A4D66"/>
    <w:rsid w:val="009A63A6"/>
    <w:rsid w:val="009A65F0"/>
    <w:rsid w:val="009A67A1"/>
    <w:rsid w:val="009A7026"/>
    <w:rsid w:val="009A702B"/>
    <w:rsid w:val="009A7D0C"/>
    <w:rsid w:val="009A7F30"/>
    <w:rsid w:val="009B069B"/>
    <w:rsid w:val="009B097A"/>
    <w:rsid w:val="009B10E0"/>
    <w:rsid w:val="009B18EB"/>
    <w:rsid w:val="009B27DF"/>
    <w:rsid w:val="009B36AF"/>
    <w:rsid w:val="009B393A"/>
    <w:rsid w:val="009B5A7A"/>
    <w:rsid w:val="009B7972"/>
    <w:rsid w:val="009C0DD6"/>
    <w:rsid w:val="009C1B29"/>
    <w:rsid w:val="009C1C07"/>
    <w:rsid w:val="009C1F84"/>
    <w:rsid w:val="009C38DF"/>
    <w:rsid w:val="009C40F8"/>
    <w:rsid w:val="009C5A3E"/>
    <w:rsid w:val="009C6CC1"/>
    <w:rsid w:val="009D05F1"/>
    <w:rsid w:val="009D089E"/>
    <w:rsid w:val="009D094F"/>
    <w:rsid w:val="009D0BF3"/>
    <w:rsid w:val="009D0E88"/>
    <w:rsid w:val="009D1003"/>
    <w:rsid w:val="009D24D7"/>
    <w:rsid w:val="009D256E"/>
    <w:rsid w:val="009D2DB6"/>
    <w:rsid w:val="009D2F47"/>
    <w:rsid w:val="009D2FB9"/>
    <w:rsid w:val="009D3067"/>
    <w:rsid w:val="009D39EE"/>
    <w:rsid w:val="009D3B45"/>
    <w:rsid w:val="009D4E78"/>
    <w:rsid w:val="009D5487"/>
    <w:rsid w:val="009D55B8"/>
    <w:rsid w:val="009D674E"/>
    <w:rsid w:val="009D6791"/>
    <w:rsid w:val="009D7835"/>
    <w:rsid w:val="009D7EFC"/>
    <w:rsid w:val="009E05AC"/>
    <w:rsid w:val="009E172B"/>
    <w:rsid w:val="009E1B55"/>
    <w:rsid w:val="009E204D"/>
    <w:rsid w:val="009E253A"/>
    <w:rsid w:val="009E25F5"/>
    <w:rsid w:val="009E39C0"/>
    <w:rsid w:val="009E4CE0"/>
    <w:rsid w:val="009E5367"/>
    <w:rsid w:val="009E7B93"/>
    <w:rsid w:val="009F0349"/>
    <w:rsid w:val="009F1E76"/>
    <w:rsid w:val="009F2FEB"/>
    <w:rsid w:val="009F3268"/>
    <w:rsid w:val="009F4230"/>
    <w:rsid w:val="009F4860"/>
    <w:rsid w:val="009F5F2C"/>
    <w:rsid w:val="009F6749"/>
    <w:rsid w:val="009F6A7F"/>
    <w:rsid w:val="009F6C56"/>
    <w:rsid w:val="00A0021A"/>
    <w:rsid w:val="00A0178C"/>
    <w:rsid w:val="00A01D67"/>
    <w:rsid w:val="00A02A33"/>
    <w:rsid w:val="00A031CC"/>
    <w:rsid w:val="00A0323B"/>
    <w:rsid w:val="00A04192"/>
    <w:rsid w:val="00A04474"/>
    <w:rsid w:val="00A0762A"/>
    <w:rsid w:val="00A0776D"/>
    <w:rsid w:val="00A0778F"/>
    <w:rsid w:val="00A1004D"/>
    <w:rsid w:val="00A1182A"/>
    <w:rsid w:val="00A13DB8"/>
    <w:rsid w:val="00A13F1D"/>
    <w:rsid w:val="00A1482D"/>
    <w:rsid w:val="00A14AA1"/>
    <w:rsid w:val="00A155ED"/>
    <w:rsid w:val="00A15F37"/>
    <w:rsid w:val="00A16191"/>
    <w:rsid w:val="00A163E3"/>
    <w:rsid w:val="00A22A52"/>
    <w:rsid w:val="00A23246"/>
    <w:rsid w:val="00A24A2E"/>
    <w:rsid w:val="00A25889"/>
    <w:rsid w:val="00A2710F"/>
    <w:rsid w:val="00A3034C"/>
    <w:rsid w:val="00A325EE"/>
    <w:rsid w:val="00A338A1"/>
    <w:rsid w:val="00A349CB"/>
    <w:rsid w:val="00A34E5A"/>
    <w:rsid w:val="00A3508F"/>
    <w:rsid w:val="00A35D8A"/>
    <w:rsid w:val="00A364F7"/>
    <w:rsid w:val="00A36DDD"/>
    <w:rsid w:val="00A378ED"/>
    <w:rsid w:val="00A425BA"/>
    <w:rsid w:val="00A42EEB"/>
    <w:rsid w:val="00A430E2"/>
    <w:rsid w:val="00A4316F"/>
    <w:rsid w:val="00A44A0C"/>
    <w:rsid w:val="00A454B6"/>
    <w:rsid w:val="00A4559F"/>
    <w:rsid w:val="00A45FC0"/>
    <w:rsid w:val="00A472F8"/>
    <w:rsid w:val="00A50571"/>
    <w:rsid w:val="00A50AEA"/>
    <w:rsid w:val="00A5314F"/>
    <w:rsid w:val="00A54055"/>
    <w:rsid w:val="00A54B25"/>
    <w:rsid w:val="00A55882"/>
    <w:rsid w:val="00A5590F"/>
    <w:rsid w:val="00A569E0"/>
    <w:rsid w:val="00A56B6B"/>
    <w:rsid w:val="00A60311"/>
    <w:rsid w:val="00A60546"/>
    <w:rsid w:val="00A61107"/>
    <w:rsid w:val="00A63EEE"/>
    <w:rsid w:val="00A6445C"/>
    <w:rsid w:val="00A66F1E"/>
    <w:rsid w:val="00A6760A"/>
    <w:rsid w:val="00A676D3"/>
    <w:rsid w:val="00A679AD"/>
    <w:rsid w:val="00A711B7"/>
    <w:rsid w:val="00A7149F"/>
    <w:rsid w:val="00A72C93"/>
    <w:rsid w:val="00A72DB7"/>
    <w:rsid w:val="00A72FF3"/>
    <w:rsid w:val="00A7410C"/>
    <w:rsid w:val="00A76082"/>
    <w:rsid w:val="00A7784F"/>
    <w:rsid w:val="00A80A07"/>
    <w:rsid w:val="00A811D6"/>
    <w:rsid w:val="00A82860"/>
    <w:rsid w:val="00A82F07"/>
    <w:rsid w:val="00A832BA"/>
    <w:rsid w:val="00A8331B"/>
    <w:rsid w:val="00A84963"/>
    <w:rsid w:val="00A85048"/>
    <w:rsid w:val="00A86552"/>
    <w:rsid w:val="00A86CD7"/>
    <w:rsid w:val="00A8750A"/>
    <w:rsid w:val="00A90878"/>
    <w:rsid w:val="00A91266"/>
    <w:rsid w:val="00A9266A"/>
    <w:rsid w:val="00A9310D"/>
    <w:rsid w:val="00A9367D"/>
    <w:rsid w:val="00A950F4"/>
    <w:rsid w:val="00A9567A"/>
    <w:rsid w:val="00A96783"/>
    <w:rsid w:val="00A97337"/>
    <w:rsid w:val="00A97B08"/>
    <w:rsid w:val="00A97D41"/>
    <w:rsid w:val="00A97F5A"/>
    <w:rsid w:val="00A97F92"/>
    <w:rsid w:val="00AA253F"/>
    <w:rsid w:val="00AA25AC"/>
    <w:rsid w:val="00AA2D58"/>
    <w:rsid w:val="00AA4A27"/>
    <w:rsid w:val="00AA4C06"/>
    <w:rsid w:val="00AB0ED1"/>
    <w:rsid w:val="00AB16F3"/>
    <w:rsid w:val="00AB23B0"/>
    <w:rsid w:val="00AB2567"/>
    <w:rsid w:val="00AB365A"/>
    <w:rsid w:val="00AB3A63"/>
    <w:rsid w:val="00AB4201"/>
    <w:rsid w:val="00AB48D1"/>
    <w:rsid w:val="00AB4CFC"/>
    <w:rsid w:val="00AB58F2"/>
    <w:rsid w:val="00AB5E9F"/>
    <w:rsid w:val="00AB61EF"/>
    <w:rsid w:val="00AB689B"/>
    <w:rsid w:val="00AB7541"/>
    <w:rsid w:val="00AB7CDE"/>
    <w:rsid w:val="00AC0AAA"/>
    <w:rsid w:val="00AC1771"/>
    <w:rsid w:val="00AC1934"/>
    <w:rsid w:val="00AC277A"/>
    <w:rsid w:val="00AC41F9"/>
    <w:rsid w:val="00AC4EEC"/>
    <w:rsid w:val="00AC6C46"/>
    <w:rsid w:val="00AC6D5D"/>
    <w:rsid w:val="00AC6F64"/>
    <w:rsid w:val="00AC706B"/>
    <w:rsid w:val="00AC7487"/>
    <w:rsid w:val="00AC7B00"/>
    <w:rsid w:val="00AD03D9"/>
    <w:rsid w:val="00AD20AF"/>
    <w:rsid w:val="00AD25AD"/>
    <w:rsid w:val="00AD3A59"/>
    <w:rsid w:val="00AD3BBF"/>
    <w:rsid w:val="00AD613B"/>
    <w:rsid w:val="00AE079E"/>
    <w:rsid w:val="00AE0D0C"/>
    <w:rsid w:val="00AE1BA9"/>
    <w:rsid w:val="00AE2387"/>
    <w:rsid w:val="00AE6E19"/>
    <w:rsid w:val="00AE76A8"/>
    <w:rsid w:val="00AF09A0"/>
    <w:rsid w:val="00AF18A6"/>
    <w:rsid w:val="00AF18CA"/>
    <w:rsid w:val="00AF1CFD"/>
    <w:rsid w:val="00AF2AE5"/>
    <w:rsid w:val="00AF2B00"/>
    <w:rsid w:val="00AF3AD9"/>
    <w:rsid w:val="00AF4640"/>
    <w:rsid w:val="00AF5145"/>
    <w:rsid w:val="00AF58F3"/>
    <w:rsid w:val="00AF5ABA"/>
    <w:rsid w:val="00B0149D"/>
    <w:rsid w:val="00B04FE2"/>
    <w:rsid w:val="00B05126"/>
    <w:rsid w:val="00B05777"/>
    <w:rsid w:val="00B05B5E"/>
    <w:rsid w:val="00B06527"/>
    <w:rsid w:val="00B10C3C"/>
    <w:rsid w:val="00B11271"/>
    <w:rsid w:val="00B112A5"/>
    <w:rsid w:val="00B116FF"/>
    <w:rsid w:val="00B118CF"/>
    <w:rsid w:val="00B12833"/>
    <w:rsid w:val="00B140E9"/>
    <w:rsid w:val="00B14557"/>
    <w:rsid w:val="00B15438"/>
    <w:rsid w:val="00B17281"/>
    <w:rsid w:val="00B2131B"/>
    <w:rsid w:val="00B21BF3"/>
    <w:rsid w:val="00B222E2"/>
    <w:rsid w:val="00B230A8"/>
    <w:rsid w:val="00B2310C"/>
    <w:rsid w:val="00B23328"/>
    <w:rsid w:val="00B233EC"/>
    <w:rsid w:val="00B23B81"/>
    <w:rsid w:val="00B242B1"/>
    <w:rsid w:val="00B24E54"/>
    <w:rsid w:val="00B25994"/>
    <w:rsid w:val="00B27646"/>
    <w:rsid w:val="00B32C18"/>
    <w:rsid w:val="00B33037"/>
    <w:rsid w:val="00B33732"/>
    <w:rsid w:val="00B35C7E"/>
    <w:rsid w:val="00B36448"/>
    <w:rsid w:val="00B377F6"/>
    <w:rsid w:val="00B416B1"/>
    <w:rsid w:val="00B426A2"/>
    <w:rsid w:val="00B43376"/>
    <w:rsid w:val="00B44CCC"/>
    <w:rsid w:val="00B44EAC"/>
    <w:rsid w:val="00B465C8"/>
    <w:rsid w:val="00B472C9"/>
    <w:rsid w:val="00B47F43"/>
    <w:rsid w:val="00B506AC"/>
    <w:rsid w:val="00B50D1B"/>
    <w:rsid w:val="00B50E2C"/>
    <w:rsid w:val="00B51364"/>
    <w:rsid w:val="00B517ED"/>
    <w:rsid w:val="00B52F1D"/>
    <w:rsid w:val="00B53170"/>
    <w:rsid w:val="00B536A8"/>
    <w:rsid w:val="00B54AE6"/>
    <w:rsid w:val="00B54F8C"/>
    <w:rsid w:val="00B551CF"/>
    <w:rsid w:val="00B56D06"/>
    <w:rsid w:val="00B5765A"/>
    <w:rsid w:val="00B60C22"/>
    <w:rsid w:val="00B616A0"/>
    <w:rsid w:val="00B620CA"/>
    <w:rsid w:val="00B6232A"/>
    <w:rsid w:val="00B62B8F"/>
    <w:rsid w:val="00B6475C"/>
    <w:rsid w:val="00B649F7"/>
    <w:rsid w:val="00B667C6"/>
    <w:rsid w:val="00B66DB7"/>
    <w:rsid w:val="00B67ADB"/>
    <w:rsid w:val="00B70A7F"/>
    <w:rsid w:val="00B716B3"/>
    <w:rsid w:val="00B71C25"/>
    <w:rsid w:val="00B71D4B"/>
    <w:rsid w:val="00B7214B"/>
    <w:rsid w:val="00B73636"/>
    <w:rsid w:val="00B7370E"/>
    <w:rsid w:val="00B73C08"/>
    <w:rsid w:val="00B7439C"/>
    <w:rsid w:val="00B7657E"/>
    <w:rsid w:val="00B76793"/>
    <w:rsid w:val="00B76C42"/>
    <w:rsid w:val="00B76CBC"/>
    <w:rsid w:val="00B80C63"/>
    <w:rsid w:val="00B8390E"/>
    <w:rsid w:val="00B83CA3"/>
    <w:rsid w:val="00B84219"/>
    <w:rsid w:val="00B84275"/>
    <w:rsid w:val="00B85068"/>
    <w:rsid w:val="00B85154"/>
    <w:rsid w:val="00B85546"/>
    <w:rsid w:val="00B85D8E"/>
    <w:rsid w:val="00B87377"/>
    <w:rsid w:val="00B87EA2"/>
    <w:rsid w:val="00B913AA"/>
    <w:rsid w:val="00B91481"/>
    <w:rsid w:val="00B91B01"/>
    <w:rsid w:val="00B9205C"/>
    <w:rsid w:val="00B925BA"/>
    <w:rsid w:val="00B95673"/>
    <w:rsid w:val="00B961C8"/>
    <w:rsid w:val="00B96C2A"/>
    <w:rsid w:val="00B96FD4"/>
    <w:rsid w:val="00B97971"/>
    <w:rsid w:val="00BA04E1"/>
    <w:rsid w:val="00BA18D1"/>
    <w:rsid w:val="00BA19E0"/>
    <w:rsid w:val="00BA1F8A"/>
    <w:rsid w:val="00BA258C"/>
    <w:rsid w:val="00BA3EDB"/>
    <w:rsid w:val="00BA4441"/>
    <w:rsid w:val="00BA46B0"/>
    <w:rsid w:val="00BA47DA"/>
    <w:rsid w:val="00BA4E91"/>
    <w:rsid w:val="00BA5E59"/>
    <w:rsid w:val="00BA75F2"/>
    <w:rsid w:val="00BB0F17"/>
    <w:rsid w:val="00BB1A4D"/>
    <w:rsid w:val="00BB304B"/>
    <w:rsid w:val="00BB347F"/>
    <w:rsid w:val="00BB36ED"/>
    <w:rsid w:val="00BB50DE"/>
    <w:rsid w:val="00BB641A"/>
    <w:rsid w:val="00BB6DED"/>
    <w:rsid w:val="00BB79A4"/>
    <w:rsid w:val="00BB7A89"/>
    <w:rsid w:val="00BB7CBB"/>
    <w:rsid w:val="00BC08D4"/>
    <w:rsid w:val="00BC0CB8"/>
    <w:rsid w:val="00BC0EE4"/>
    <w:rsid w:val="00BC1B82"/>
    <w:rsid w:val="00BC1D46"/>
    <w:rsid w:val="00BC21D7"/>
    <w:rsid w:val="00BC4A61"/>
    <w:rsid w:val="00BC52EB"/>
    <w:rsid w:val="00BC5978"/>
    <w:rsid w:val="00BC5A14"/>
    <w:rsid w:val="00BD0100"/>
    <w:rsid w:val="00BD297C"/>
    <w:rsid w:val="00BD2BB6"/>
    <w:rsid w:val="00BD483C"/>
    <w:rsid w:val="00BD4931"/>
    <w:rsid w:val="00BD499A"/>
    <w:rsid w:val="00BD532D"/>
    <w:rsid w:val="00BD6F03"/>
    <w:rsid w:val="00BD6FDA"/>
    <w:rsid w:val="00BD77B5"/>
    <w:rsid w:val="00BD7A55"/>
    <w:rsid w:val="00BE00E4"/>
    <w:rsid w:val="00BE0270"/>
    <w:rsid w:val="00BE0809"/>
    <w:rsid w:val="00BE0965"/>
    <w:rsid w:val="00BE0DD9"/>
    <w:rsid w:val="00BE180E"/>
    <w:rsid w:val="00BE19CD"/>
    <w:rsid w:val="00BE21A8"/>
    <w:rsid w:val="00BE2827"/>
    <w:rsid w:val="00BE2CB6"/>
    <w:rsid w:val="00BE331A"/>
    <w:rsid w:val="00BE4444"/>
    <w:rsid w:val="00BE48B7"/>
    <w:rsid w:val="00BE53BC"/>
    <w:rsid w:val="00BE5574"/>
    <w:rsid w:val="00BE5CDB"/>
    <w:rsid w:val="00BE5DF3"/>
    <w:rsid w:val="00BE6BFF"/>
    <w:rsid w:val="00BE74B4"/>
    <w:rsid w:val="00BE74D9"/>
    <w:rsid w:val="00BF01E3"/>
    <w:rsid w:val="00BF0B84"/>
    <w:rsid w:val="00BF19A0"/>
    <w:rsid w:val="00BF2280"/>
    <w:rsid w:val="00BF4843"/>
    <w:rsid w:val="00BF4B69"/>
    <w:rsid w:val="00BF5F81"/>
    <w:rsid w:val="00BF6462"/>
    <w:rsid w:val="00BF6F8D"/>
    <w:rsid w:val="00BF7738"/>
    <w:rsid w:val="00C00471"/>
    <w:rsid w:val="00C014C6"/>
    <w:rsid w:val="00C01839"/>
    <w:rsid w:val="00C02043"/>
    <w:rsid w:val="00C04F50"/>
    <w:rsid w:val="00C05E06"/>
    <w:rsid w:val="00C06FED"/>
    <w:rsid w:val="00C0702F"/>
    <w:rsid w:val="00C076D3"/>
    <w:rsid w:val="00C1041E"/>
    <w:rsid w:val="00C1044E"/>
    <w:rsid w:val="00C10EB9"/>
    <w:rsid w:val="00C11E3B"/>
    <w:rsid w:val="00C1233D"/>
    <w:rsid w:val="00C12AFA"/>
    <w:rsid w:val="00C12E9A"/>
    <w:rsid w:val="00C1412B"/>
    <w:rsid w:val="00C15578"/>
    <w:rsid w:val="00C15648"/>
    <w:rsid w:val="00C16E21"/>
    <w:rsid w:val="00C17244"/>
    <w:rsid w:val="00C2000C"/>
    <w:rsid w:val="00C2020E"/>
    <w:rsid w:val="00C20265"/>
    <w:rsid w:val="00C20ECB"/>
    <w:rsid w:val="00C2112F"/>
    <w:rsid w:val="00C21CA1"/>
    <w:rsid w:val="00C21FB0"/>
    <w:rsid w:val="00C24142"/>
    <w:rsid w:val="00C25B6F"/>
    <w:rsid w:val="00C25CA5"/>
    <w:rsid w:val="00C2648E"/>
    <w:rsid w:val="00C27BE2"/>
    <w:rsid w:val="00C30194"/>
    <w:rsid w:val="00C30F85"/>
    <w:rsid w:val="00C31129"/>
    <w:rsid w:val="00C313E7"/>
    <w:rsid w:val="00C3210B"/>
    <w:rsid w:val="00C34EEE"/>
    <w:rsid w:val="00C3561D"/>
    <w:rsid w:val="00C3654D"/>
    <w:rsid w:val="00C369FE"/>
    <w:rsid w:val="00C410EB"/>
    <w:rsid w:val="00C4196A"/>
    <w:rsid w:val="00C41CF2"/>
    <w:rsid w:val="00C41E47"/>
    <w:rsid w:val="00C42F00"/>
    <w:rsid w:val="00C43453"/>
    <w:rsid w:val="00C44924"/>
    <w:rsid w:val="00C45C93"/>
    <w:rsid w:val="00C461EB"/>
    <w:rsid w:val="00C50077"/>
    <w:rsid w:val="00C51720"/>
    <w:rsid w:val="00C520D7"/>
    <w:rsid w:val="00C52B35"/>
    <w:rsid w:val="00C5372C"/>
    <w:rsid w:val="00C53769"/>
    <w:rsid w:val="00C55CD2"/>
    <w:rsid w:val="00C55E91"/>
    <w:rsid w:val="00C56832"/>
    <w:rsid w:val="00C57869"/>
    <w:rsid w:val="00C60DF5"/>
    <w:rsid w:val="00C60FED"/>
    <w:rsid w:val="00C627A3"/>
    <w:rsid w:val="00C64C2F"/>
    <w:rsid w:val="00C6528A"/>
    <w:rsid w:val="00C6546A"/>
    <w:rsid w:val="00C665F2"/>
    <w:rsid w:val="00C6749F"/>
    <w:rsid w:val="00C676D3"/>
    <w:rsid w:val="00C7054B"/>
    <w:rsid w:val="00C71439"/>
    <w:rsid w:val="00C72AE9"/>
    <w:rsid w:val="00C7375A"/>
    <w:rsid w:val="00C74048"/>
    <w:rsid w:val="00C74654"/>
    <w:rsid w:val="00C74775"/>
    <w:rsid w:val="00C74F0F"/>
    <w:rsid w:val="00C754A8"/>
    <w:rsid w:val="00C75F55"/>
    <w:rsid w:val="00C76725"/>
    <w:rsid w:val="00C81867"/>
    <w:rsid w:val="00C81AAE"/>
    <w:rsid w:val="00C81EBC"/>
    <w:rsid w:val="00C847AA"/>
    <w:rsid w:val="00C84C3A"/>
    <w:rsid w:val="00C86300"/>
    <w:rsid w:val="00C8679C"/>
    <w:rsid w:val="00C8685C"/>
    <w:rsid w:val="00C87645"/>
    <w:rsid w:val="00C87795"/>
    <w:rsid w:val="00C8788F"/>
    <w:rsid w:val="00C93936"/>
    <w:rsid w:val="00C948E7"/>
    <w:rsid w:val="00C963E5"/>
    <w:rsid w:val="00C967BE"/>
    <w:rsid w:val="00C96E4A"/>
    <w:rsid w:val="00C97546"/>
    <w:rsid w:val="00C975A8"/>
    <w:rsid w:val="00C97688"/>
    <w:rsid w:val="00C97773"/>
    <w:rsid w:val="00C9786B"/>
    <w:rsid w:val="00C97D39"/>
    <w:rsid w:val="00CA1482"/>
    <w:rsid w:val="00CA1957"/>
    <w:rsid w:val="00CA2159"/>
    <w:rsid w:val="00CA21E3"/>
    <w:rsid w:val="00CA2ACE"/>
    <w:rsid w:val="00CA3B1F"/>
    <w:rsid w:val="00CA3B41"/>
    <w:rsid w:val="00CA3BA7"/>
    <w:rsid w:val="00CA3D0C"/>
    <w:rsid w:val="00CA734A"/>
    <w:rsid w:val="00CA7866"/>
    <w:rsid w:val="00CA7F24"/>
    <w:rsid w:val="00CB1580"/>
    <w:rsid w:val="00CB1A38"/>
    <w:rsid w:val="00CB21B3"/>
    <w:rsid w:val="00CB4072"/>
    <w:rsid w:val="00CB484D"/>
    <w:rsid w:val="00CB517A"/>
    <w:rsid w:val="00CB61C9"/>
    <w:rsid w:val="00CB62EE"/>
    <w:rsid w:val="00CB7176"/>
    <w:rsid w:val="00CB730C"/>
    <w:rsid w:val="00CC0F4A"/>
    <w:rsid w:val="00CC0F68"/>
    <w:rsid w:val="00CC22B1"/>
    <w:rsid w:val="00CC2C93"/>
    <w:rsid w:val="00CC2DC4"/>
    <w:rsid w:val="00CC384C"/>
    <w:rsid w:val="00CC3988"/>
    <w:rsid w:val="00CC53F4"/>
    <w:rsid w:val="00CC5AF3"/>
    <w:rsid w:val="00CC68BF"/>
    <w:rsid w:val="00CC7C45"/>
    <w:rsid w:val="00CD13B1"/>
    <w:rsid w:val="00CD28EC"/>
    <w:rsid w:val="00CD2DC8"/>
    <w:rsid w:val="00CD561D"/>
    <w:rsid w:val="00CD6EF5"/>
    <w:rsid w:val="00CE052C"/>
    <w:rsid w:val="00CE20E9"/>
    <w:rsid w:val="00CE3DD3"/>
    <w:rsid w:val="00CE4053"/>
    <w:rsid w:val="00CE4954"/>
    <w:rsid w:val="00CE5016"/>
    <w:rsid w:val="00CE596E"/>
    <w:rsid w:val="00CE5FEF"/>
    <w:rsid w:val="00CF1160"/>
    <w:rsid w:val="00CF3482"/>
    <w:rsid w:val="00CF4940"/>
    <w:rsid w:val="00CF4CD4"/>
    <w:rsid w:val="00CF72AC"/>
    <w:rsid w:val="00D0011E"/>
    <w:rsid w:val="00D004E5"/>
    <w:rsid w:val="00D0136A"/>
    <w:rsid w:val="00D0142A"/>
    <w:rsid w:val="00D0150B"/>
    <w:rsid w:val="00D0280B"/>
    <w:rsid w:val="00D038D7"/>
    <w:rsid w:val="00D052E6"/>
    <w:rsid w:val="00D05DDB"/>
    <w:rsid w:val="00D073F9"/>
    <w:rsid w:val="00D07DD7"/>
    <w:rsid w:val="00D10717"/>
    <w:rsid w:val="00D1147F"/>
    <w:rsid w:val="00D13DF1"/>
    <w:rsid w:val="00D13EDA"/>
    <w:rsid w:val="00D15D74"/>
    <w:rsid w:val="00D1722E"/>
    <w:rsid w:val="00D20B08"/>
    <w:rsid w:val="00D2261D"/>
    <w:rsid w:val="00D228B8"/>
    <w:rsid w:val="00D24515"/>
    <w:rsid w:val="00D24E61"/>
    <w:rsid w:val="00D2526B"/>
    <w:rsid w:val="00D266A9"/>
    <w:rsid w:val="00D27660"/>
    <w:rsid w:val="00D30E94"/>
    <w:rsid w:val="00D31401"/>
    <w:rsid w:val="00D324DA"/>
    <w:rsid w:val="00D3266B"/>
    <w:rsid w:val="00D32A14"/>
    <w:rsid w:val="00D32B43"/>
    <w:rsid w:val="00D33571"/>
    <w:rsid w:val="00D339A1"/>
    <w:rsid w:val="00D344F3"/>
    <w:rsid w:val="00D3524B"/>
    <w:rsid w:val="00D357A4"/>
    <w:rsid w:val="00D36238"/>
    <w:rsid w:val="00D36EB1"/>
    <w:rsid w:val="00D375AE"/>
    <w:rsid w:val="00D4029D"/>
    <w:rsid w:val="00D44EDE"/>
    <w:rsid w:val="00D451A5"/>
    <w:rsid w:val="00D451C1"/>
    <w:rsid w:val="00D45283"/>
    <w:rsid w:val="00D477C3"/>
    <w:rsid w:val="00D47DE7"/>
    <w:rsid w:val="00D51271"/>
    <w:rsid w:val="00D51828"/>
    <w:rsid w:val="00D53DC5"/>
    <w:rsid w:val="00D5465D"/>
    <w:rsid w:val="00D5517C"/>
    <w:rsid w:val="00D55406"/>
    <w:rsid w:val="00D5615B"/>
    <w:rsid w:val="00D56E84"/>
    <w:rsid w:val="00D60759"/>
    <w:rsid w:val="00D6293F"/>
    <w:rsid w:val="00D662E4"/>
    <w:rsid w:val="00D670D3"/>
    <w:rsid w:val="00D67470"/>
    <w:rsid w:val="00D6792F"/>
    <w:rsid w:val="00D67B99"/>
    <w:rsid w:val="00D67FC9"/>
    <w:rsid w:val="00D709B5"/>
    <w:rsid w:val="00D729D1"/>
    <w:rsid w:val="00D73AAF"/>
    <w:rsid w:val="00D73B35"/>
    <w:rsid w:val="00D74B08"/>
    <w:rsid w:val="00D75B0B"/>
    <w:rsid w:val="00D775D2"/>
    <w:rsid w:val="00D77855"/>
    <w:rsid w:val="00D80D94"/>
    <w:rsid w:val="00D8118D"/>
    <w:rsid w:val="00D82637"/>
    <w:rsid w:val="00D83D34"/>
    <w:rsid w:val="00D85155"/>
    <w:rsid w:val="00D85F3F"/>
    <w:rsid w:val="00D86169"/>
    <w:rsid w:val="00D8652F"/>
    <w:rsid w:val="00D86BF7"/>
    <w:rsid w:val="00D875E3"/>
    <w:rsid w:val="00D91421"/>
    <w:rsid w:val="00D91CBD"/>
    <w:rsid w:val="00D926E9"/>
    <w:rsid w:val="00D92B66"/>
    <w:rsid w:val="00D9348C"/>
    <w:rsid w:val="00D93CC1"/>
    <w:rsid w:val="00D93EB9"/>
    <w:rsid w:val="00D942A3"/>
    <w:rsid w:val="00D9583F"/>
    <w:rsid w:val="00D970E9"/>
    <w:rsid w:val="00D97E49"/>
    <w:rsid w:val="00DA08BF"/>
    <w:rsid w:val="00DA12F6"/>
    <w:rsid w:val="00DA1419"/>
    <w:rsid w:val="00DA2603"/>
    <w:rsid w:val="00DA2818"/>
    <w:rsid w:val="00DA2876"/>
    <w:rsid w:val="00DA40F8"/>
    <w:rsid w:val="00DA4875"/>
    <w:rsid w:val="00DA4917"/>
    <w:rsid w:val="00DA5117"/>
    <w:rsid w:val="00DA61B6"/>
    <w:rsid w:val="00DA68C1"/>
    <w:rsid w:val="00DA71E0"/>
    <w:rsid w:val="00DA7808"/>
    <w:rsid w:val="00DB35F8"/>
    <w:rsid w:val="00DB57B7"/>
    <w:rsid w:val="00DB67E5"/>
    <w:rsid w:val="00DB68CD"/>
    <w:rsid w:val="00DB73AB"/>
    <w:rsid w:val="00DB761D"/>
    <w:rsid w:val="00DB7C28"/>
    <w:rsid w:val="00DC13F9"/>
    <w:rsid w:val="00DC1D72"/>
    <w:rsid w:val="00DC2E2C"/>
    <w:rsid w:val="00DC545A"/>
    <w:rsid w:val="00DC585F"/>
    <w:rsid w:val="00DC77F2"/>
    <w:rsid w:val="00DC78DB"/>
    <w:rsid w:val="00DC7F7D"/>
    <w:rsid w:val="00DD028A"/>
    <w:rsid w:val="00DD08C1"/>
    <w:rsid w:val="00DD19C8"/>
    <w:rsid w:val="00DD2278"/>
    <w:rsid w:val="00DD4F3E"/>
    <w:rsid w:val="00DD67A9"/>
    <w:rsid w:val="00DD75C0"/>
    <w:rsid w:val="00DD7C85"/>
    <w:rsid w:val="00DE2574"/>
    <w:rsid w:val="00DE2C5D"/>
    <w:rsid w:val="00DE58C9"/>
    <w:rsid w:val="00DE58D7"/>
    <w:rsid w:val="00DE62BC"/>
    <w:rsid w:val="00DE7572"/>
    <w:rsid w:val="00DE7BEA"/>
    <w:rsid w:val="00DE7DAF"/>
    <w:rsid w:val="00DF16FC"/>
    <w:rsid w:val="00DF19F6"/>
    <w:rsid w:val="00DF376E"/>
    <w:rsid w:val="00DF431A"/>
    <w:rsid w:val="00DF62C6"/>
    <w:rsid w:val="00DF6D21"/>
    <w:rsid w:val="00DF7C00"/>
    <w:rsid w:val="00E00BBD"/>
    <w:rsid w:val="00E01F2F"/>
    <w:rsid w:val="00E02136"/>
    <w:rsid w:val="00E02157"/>
    <w:rsid w:val="00E0219A"/>
    <w:rsid w:val="00E02370"/>
    <w:rsid w:val="00E02392"/>
    <w:rsid w:val="00E02F84"/>
    <w:rsid w:val="00E03E17"/>
    <w:rsid w:val="00E042FF"/>
    <w:rsid w:val="00E05C1A"/>
    <w:rsid w:val="00E064CA"/>
    <w:rsid w:val="00E06813"/>
    <w:rsid w:val="00E10053"/>
    <w:rsid w:val="00E111E4"/>
    <w:rsid w:val="00E13B47"/>
    <w:rsid w:val="00E15933"/>
    <w:rsid w:val="00E15B99"/>
    <w:rsid w:val="00E16FAA"/>
    <w:rsid w:val="00E171C2"/>
    <w:rsid w:val="00E20598"/>
    <w:rsid w:val="00E20664"/>
    <w:rsid w:val="00E2148E"/>
    <w:rsid w:val="00E21C56"/>
    <w:rsid w:val="00E22425"/>
    <w:rsid w:val="00E23F67"/>
    <w:rsid w:val="00E24926"/>
    <w:rsid w:val="00E24E04"/>
    <w:rsid w:val="00E2580D"/>
    <w:rsid w:val="00E2583C"/>
    <w:rsid w:val="00E2789E"/>
    <w:rsid w:val="00E27F2F"/>
    <w:rsid w:val="00E30294"/>
    <w:rsid w:val="00E315D6"/>
    <w:rsid w:val="00E3258F"/>
    <w:rsid w:val="00E330AB"/>
    <w:rsid w:val="00E3317B"/>
    <w:rsid w:val="00E3386F"/>
    <w:rsid w:val="00E341F0"/>
    <w:rsid w:val="00E350BD"/>
    <w:rsid w:val="00E3540A"/>
    <w:rsid w:val="00E35AE0"/>
    <w:rsid w:val="00E36335"/>
    <w:rsid w:val="00E373B4"/>
    <w:rsid w:val="00E37B5C"/>
    <w:rsid w:val="00E37CF8"/>
    <w:rsid w:val="00E407AC"/>
    <w:rsid w:val="00E413A5"/>
    <w:rsid w:val="00E41AF8"/>
    <w:rsid w:val="00E4296A"/>
    <w:rsid w:val="00E43380"/>
    <w:rsid w:val="00E44274"/>
    <w:rsid w:val="00E44603"/>
    <w:rsid w:val="00E44F24"/>
    <w:rsid w:val="00E455B4"/>
    <w:rsid w:val="00E46FA7"/>
    <w:rsid w:val="00E47328"/>
    <w:rsid w:val="00E479DF"/>
    <w:rsid w:val="00E505D8"/>
    <w:rsid w:val="00E50B83"/>
    <w:rsid w:val="00E51530"/>
    <w:rsid w:val="00E5252F"/>
    <w:rsid w:val="00E528C6"/>
    <w:rsid w:val="00E535BD"/>
    <w:rsid w:val="00E536CD"/>
    <w:rsid w:val="00E54596"/>
    <w:rsid w:val="00E55578"/>
    <w:rsid w:val="00E56000"/>
    <w:rsid w:val="00E56378"/>
    <w:rsid w:val="00E57457"/>
    <w:rsid w:val="00E60175"/>
    <w:rsid w:val="00E6160E"/>
    <w:rsid w:val="00E63F00"/>
    <w:rsid w:val="00E642DC"/>
    <w:rsid w:val="00E64F71"/>
    <w:rsid w:val="00E64FC2"/>
    <w:rsid w:val="00E65240"/>
    <w:rsid w:val="00E67590"/>
    <w:rsid w:val="00E67A1A"/>
    <w:rsid w:val="00E703B1"/>
    <w:rsid w:val="00E7045C"/>
    <w:rsid w:val="00E718EA"/>
    <w:rsid w:val="00E71A6E"/>
    <w:rsid w:val="00E72E55"/>
    <w:rsid w:val="00E733D4"/>
    <w:rsid w:val="00E74228"/>
    <w:rsid w:val="00E74A24"/>
    <w:rsid w:val="00E76B64"/>
    <w:rsid w:val="00E76BBE"/>
    <w:rsid w:val="00E77101"/>
    <w:rsid w:val="00E808C9"/>
    <w:rsid w:val="00E80943"/>
    <w:rsid w:val="00E81135"/>
    <w:rsid w:val="00E8148D"/>
    <w:rsid w:val="00E818C3"/>
    <w:rsid w:val="00E82DCF"/>
    <w:rsid w:val="00E84DC4"/>
    <w:rsid w:val="00E8561A"/>
    <w:rsid w:val="00E85DE8"/>
    <w:rsid w:val="00E86672"/>
    <w:rsid w:val="00E86E0C"/>
    <w:rsid w:val="00E900CF"/>
    <w:rsid w:val="00E908C6"/>
    <w:rsid w:val="00E93450"/>
    <w:rsid w:val="00E9372A"/>
    <w:rsid w:val="00E93AFD"/>
    <w:rsid w:val="00E95441"/>
    <w:rsid w:val="00E979A5"/>
    <w:rsid w:val="00E97C50"/>
    <w:rsid w:val="00EA03D8"/>
    <w:rsid w:val="00EA0DB1"/>
    <w:rsid w:val="00EA507E"/>
    <w:rsid w:val="00EA5747"/>
    <w:rsid w:val="00EA73BA"/>
    <w:rsid w:val="00EA7745"/>
    <w:rsid w:val="00EB0F28"/>
    <w:rsid w:val="00EB3B2C"/>
    <w:rsid w:val="00EB3F96"/>
    <w:rsid w:val="00EB3FA2"/>
    <w:rsid w:val="00EB4281"/>
    <w:rsid w:val="00EB4A81"/>
    <w:rsid w:val="00EB5264"/>
    <w:rsid w:val="00EB60D0"/>
    <w:rsid w:val="00EC03D2"/>
    <w:rsid w:val="00EC0719"/>
    <w:rsid w:val="00EC09D5"/>
    <w:rsid w:val="00EC202F"/>
    <w:rsid w:val="00EC25AB"/>
    <w:rsid w:val="00EC3DF9"/>
    <w:rsid w:val="00EC4F93"/>
    <w:rsid w:val="00EC5679"/>
    <w:rsid w:val="00EC5764"/>
    <w:rsid w:val="00EC5DBE"/>
    <w:rsid w:val="00EC5DE6"/>
    <w:rsid w:val="00EC6C65"/>
    <w:rsid w:val="00ED0FC6"/>
    <w:rsid w:val="00ED1C3D"/>
    <w:rsid w:val="00ED2264"/>
    <w:rsid w:val="00ED2B1D"/>
    <w:rsid w:val="00ED412E"/>
    <w:rsid w:val="00ED41A8"/>
    <w:rsid w:val="00ED44D2"/>
    <w:rsid w:val="00ED452D"/>
    <w:rsid w:val="00ED5035"/>
    <w:rsid w:val="00ED5703"/>
    <w:rsid w:val="00ED5DD6"/>
    <w:rsid w:val="00ED6AF2"/>
    <w:rsid w:val="00ED7BC1"/>
    <w:rsid w:val="00EE04D4"/>
    <w:rsid w:val="00EE0C71"/>
    <w:rsid w:val="00EE29BE"/>
    <w:rsid w:val="00EE3C34"/>
    <w:rsid w:val="00EE3CDA"/>
    <w:rsid w:val="00EF038F"/>
    <w:rsid w:val="00EF07C3"/>
    <w:rsid w:val="00EF1944"/>
    <w:rsid w:val="00EF26AE"/>
    <w:rsid w:val="00EF27B5"/>
    <w:rsid w:val="00EF493E"/>
    <w:rsid w:val="00EF607A"/>
    <w:rsid w:val="00EF6331"/>
    <w:rsid w:val="00EF6482"/>
    <w:rsid w:val="00EF71FF"/>
    <w:rsid w:val="00EF773B"/>
    <w:rsid w:val="00F00241"/>
    <w:rsid w:val="00F00777"/>
    <w:rsid w:val="00F01AED"/>
    <w:rsid w:val="00F02876"/>
    <w:rsid w:val="00F06185"/>
    <w:rsid w:val="00F064C3"/>
    <w:rsid w:val="00F109A7"/>
    <w:rsid w:val="00F10BFD"/>
    <w:rsid w:val="00F10D7E"/>
    <w:rsid w:val="00F11D60"/>
    <w:rsid w:val="00F12451"/>
    <w:rsid w:val="00F1303C"/>
    <w:rsid w:val="00F132E8"/>
    <w:rsid w:val="00F14FD4"/>
    <w:rsid w:val="00F15550"/>
    <w:rsid w:val="00F15E8D"/>
    <w:rsid w:val="00F175AF"/>
    <w:rsid w:val="00F205FB"/>
    <w:rsid w:val="00F20DD7"/>
    <w:rsid w:val="00F21CF8"/>
    <w:rsid w:val="00F22A61"/>
    <w:rsid w:val="00F2357B"/>
    <w:rsid w:val="00F236DC"/>
    <w:rsid w:val="00F2464A"/>
    <w:rsid w:val="00F247BC"/>
    <w:rsid w:val="00F2482C"/>
    <w:rsid w:val="00F25233"/>
    <w:rsid w:val="00F25CBC"/>
    <w:rsid w:val="00F25EAF"/>
    <w:rsid w:val="00F26AC0"/>
    <w:rsid w:val="00F2719D"/>
    <w:rsid w:val="00F27A13"/>
    <w:rsid w:val="00F3032E"/>
    <w:rsid w:val="00F3124A"/>
    <w:rsid w:val="00F313E8"/>
    <w:rsid w:val="00F31EFE"/>
    <w:rsid w:val="00F3277D"/>
    <w:rsid w:val="00F32822"/>
    <w:rsid w:val="00F33D35"/>
    <w:rsid w:val="00F340F0"/>
    <w:rsid w:val="00F343CC"/>
    <w:rsid w:val="00F34F38"/>
    <w:rsid w:val="00F350F7"/>
    <w:rsid w:val="00F35253"/>
    <w:rsid w:val="00F36405"/>
    <w:rsid w:val="00F36950"/>
    <w:rsid w:val="00F371E7"/>
    <w:rsid w:val="00F3733F"/>
    <w:rsid w:val="00F37625"/>
    <w:rsid w:val="00F41E87"/>
    <w:rsid w:val="00F42120"/>
    <w:rsid w:val="00F428F8"/>
    <w:rsid w:val="00F43B83"/>
    <w:rsid w:val="00F44EBF"/>
    <w:rsid w:val="00F45EB3"/>
    <w:rsid w:val="00F47502"/>
    <w:rsid w:val="00F47697"/>
    <w:rsid w:val="00F517F3"/>
    <w:rsid w:val="00F53132"/>
    <w:rsid w:val="00F531DC"/>
    <w:rsid w:val="00F53F88"/>
    <w:rsid w:val="00F54274"/>
    <w:rsid w:val="00F5456A"/>
    <w:rsid w:val="00F545FC"/>
    <w:rsid w:val="00F547FE"/>
    <w:rsid w:val="00F54E12"/>
    <w:rsid w:val="00F56446"/>
    <w:rsid w:val="00F573F1"/>
    <w:rsid w:val="00F57AF7"/>
    <w:rsid w:val="00F57CAC"/>
    <w:rsid w:val="00F61FFC"/>
    <w:rsid w:val="00F62A93"/>
    <w:rsid w:val="00F62AF9"/>
    <w:rsid w:val="00F62CDB"/>
    <w:rsid w:val="00F62F06"/>
    <w:rsid w:val="00F644AD"/>
    <w:rsid w:val="00F646BE"/>
    <w:rsid w:val="00F64FF5"/>
    <w:rsid w:val="00F66320"/>
    <w:rsid w:val="00F663A8"/>
    <w:rsid w:val="00F66A76"/>
    <w:rsid w:val="00F674BA"/>
    <w:rsid w:val="00F6767A"/>
    <w:rsid w:val="00F67E6A"/>
    <w:rsid w:val="00F70A48"/>
    <w:rsid w:val="00F70BAD"/>
    <w:rsid w:val="00F71668"/>
    <w:rsid w:val="00F73140"/>
    <w:rsid w:val="00F74364"/>
    <w:rsid w:val="00F74666"/>
    <w:rsid w:val="00F751A4"/>
    <w:rsid w:val="00F7568A"/>
    <w:rsid w:val="00F77C1A"/>
    <w:rsid w:val="00F81073"/>
    <w:rsid w:val="00F812E4"/>
    <w:rsid w:val="00F815BB"/>
    <w:rsid w:val="00F825C9"/>
    <w:rsid w:val="00F8344B"/>
    <w:rsid w:val="00F83EEA"/>
    <w:rsid w:val="00F8461A"/>
    <w:rsid w:val="00F84BEC"/>
    <w:rsid w:val="00F852BE"/>
    <w:rsid w:val="00F87CAF"/>
    <w:rsid w:val="00F87FA4"/>
    <w:rsid w:val="00F90063"/>
    <w:rsid w:val="00F90A3D"/>
    <w:rsid w:val="00F91222"/>
    <w:rsid w:val="00F92352"/>
    <w:rsid w:val="00F9267B"/>
    <w:rsid w:val="00F94ACE"/>
    <w:rsid w:val="00F94AE5"/>
    <w:rsid w:val="00F94EAF"/>
    <w:rsid w:val="00F96581"/>
    <w:rsid w:val="00F96AF2"/>
    <w:rsid w:val="00F96F50"/>
    <w:rsid w:val="00F970A7"/>
    <w:rsid w:val="00F9738D"/>
    <w:rsid w:val="00FA2228"/>
    <w:rsid w:val="00FA2A03"/>
    <w:rsid w:val="00FA57BD"/>
    <w:rsid w:val="00FA59C4"/>
    <w:rsid w:val="00FA59C6"/>
    <w:rsid w:val="00FA5A3F"/>
    <w:rsid w:val="00FA5B04"/>
    <w:rsid w:val="00FA5F7E"/>
    <w:rsid w:val="00FA6AEF"/>
    <w:rsid w:val="00FB0167"/>
    <w:rsid w:val="00FB0EBB"/>
    <w:rsid w:val="00FB13A2"/>
    <w:rsid w:val="00FB15EB"/>
    <w:rsid w:val="00FB3A29"/>
    <w:rsid w:val="00FB41AF"/>
    <w:rsid w:val="00FB47DE"/>
    <w:rsid w:val="00FB4A1C"/>
    <w:rsid w:val="00FB60CC"/>
    <w:rsid w:val="00FB60FB"/>
    <w:rsid w:val="00FB6635"/>
    <w:rsid w:val="00FB6B37"/>
    <w:rsid w:val="00FC111B"/>
    <w:rsid w:val="00FC1DE5"/>
    <w:rsid w:val="00FC206B"/>
    <w:rsid w:val="00FC23C7"/>
    <w:rsid w:val="00FC2710"/>
    <w:rsid w:val="00FC3E40"/>
    <w:rsid w:val="00FC3FB7"/>
    <w:rsid w:val="00FC4378"/>
    <w:rsid w:val="00FC52C1"/>
    <w:rsid w:val="00FC5A6D"/>
    <w:rsid w:val="00FC5B2A"/>
    <w:rsid w:val="00FC65D0"/>
    <w:rsid w:val="00FD0284"/>
    <w:rsid w:val="00FD1078"/>
    <w:rsid w:val="00FD12DB"/>
    <w:rsid w:val="00FD1306"/>
    <w:rsid w:val="00FD3713"/>
    <w:rsid w:val="00FD4587"/>
    <w:rsid w:val="00FD57E2"/>
    <w:rsid w:val="00FD6921"/>
    <w:rsid w:val="00FD77C2"/>
    <w:rsid w:val="00FE1F8E"/>
    <w:rsid w:val="00FE2ED7"/>
    <w:rsid w:val="00FE329D"/>
    <w:rsid w:val="00FE34B0"/>
    <w:rsid w:val="00FE3AFB"/>
    <w:rsid w:val="00FE3E6F"/>
    <w:rsid w:val="00FE58C5"/>
    <w:rsid w:val="00FE5ADE"/>
    <w:rsid w:val="00FE5C0B"/>
    <w:rsid w:val="00FE788D"/>
    <w:rsid w:val="00FE797F"/>
    <w:rsid w:val="00FF052C"/>
    <w:rsid w:val="00FF05CB"/>
    <w:rsid w:val="00FF1B26"/>
    <w:rsid w:val="00FF211E"/>
    <w:rsid w:val="00FF27FB"/>
    <w:rsid w:val="00FF3E5C"/>
    <w:rsid w:val="00FF4658"/>
    <w:rsid w:val="00FF556A"/>
    <w:rsid w:val="00FF609F"/>
    <w:rsid w:val="00FF6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08FD0"/>
  <w15:docId w15:val="{A3C56C42-C2BB-4C69-A941-45FEB851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2501"/>
    <w:pPr>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573F1"/>
    <w:pPr>
      <w:tabs>
        <w:tab w:val="center" w:pos="4536"/>
        <w:tab w:val="right" w:pos="9072"/>
      </w:tabs>
    </w:pPr>
  </w:style>
  <w:style w:type="character" w:customStyle="1" w:styleId="ZhlavChar">
    <w:name w:val="Záhlaví Char"/>
    <w:basedOn w:val="Standardnpsmoodstavce"/>
    <w:link w:val="Zhlav"/>
    <w:uiPriority w:val="99"/>
    <w:rsid w:val="00F573F1"/>
  </w:style>
  <w:style w:type="paragraph" w:styleId="Zpat">
    <w:name w:val="footer"/>
    <w:basedOn w:val="Normln"/>
    <w:link w:val="ZpatChar"/>
    <w:uiPriority w:val="99"/>
    <w:unhideWhenUsed/>
    <w:rsid w:val="00F573F1"/>
    <w:pPr>
      <w:tabs>
        <w:tab w:val="center" w:pos="4536"/>
        <w:tab w:val="right" w:pos="9072"/>
      </w:tabs>
    </w:pPr>
  </w:style>
  <w:style w:type="character" w:customStyle="1" w:styleId="ZpatChar">
    <w:name w:val="Zápatí Char"/>
    <w:basedOn w:val="Standardnpsmoodstavce"/>
    <w:link w:val="Zpat"/>
    <w:uiPriority w:val="99"/>
    <w:rsid w:val="00F573F1"/>
  </w:style>
  <w:style w:type="paragraph" w:customStyle="1" w:styleId="Standard">
    <w:name w:val="Standard"/>
    <w:rsid w:val="00F573F1"/>
    <w:pPr>
      <w:suppressAutoHyphens/>
      <w:autoSpaceDN w:val="0"/>
      <w:spacing w:after="0" w:line="240" w:lineRule="auto"/>
      <w:jc w:val="both"/>
      <w:textAlignment w:val="baseline"/>
    </w:pPr>
    <w:rPr>
      <w:rFonts w:ascii="Arial" w:eastAsia="Times New Roman" w:hAnsi="Arial" w:cs="Arial Unicode MS"/>
      <w:kern w:val="3"/>
      <w:sz w:val="18"/>
      <w:szCs w:val="20"/>
      <w:lang w:eastAsia="zh-CN" w:bidi="hi-IN"/>
    </w:rPr>
  </w:style>
  <w:style w:type="character" w:styleId="Hypertextovodkaz">
    <w:name w:val="Hyperlink"/>
    <w:basedOn w:val="Standardnpsmoodstavce"/>
    <w:uiPriority w:val="99"/>
    <w:rsid w:val="005A2501"/>
    <w:rPr>
      <w:rFonts w:cs="Times New Roman"/>
      <w:color w:val="0000FF"/>
      <w:u w:val="single"/>
    </w:rPr>
  </w:style>
  <w:style w:type="paragraph" w:styleId="Normlnweb">
    <w:name w:val="Normal (Web)"/>
    <w:basedOn w:val="Normln"/>
    <w:uiPriority w:val="99"/>
    <w:rsid w:val="005A2501"/>
    <w:pPr>
      <w:overflowPunct/>
      <w:autoSpaceDE/>
      <w:autoSpaceDN/>
      <w:adjustRightInd/>
      <w:spacing w:before="100" w:beforeAutospacing="1" w:after="100" w:afterAutospacing="1"/>
      <w:jc w:val="left"/>
      <w:textAlignment w:val="auto"/>
    </w:pPr>
    <w:rPr>
      <w:rFonts w:ascii="Times New Roman" w:eastAsia="Calibri" w:hAnsi="Times New Roman"/>
      <w:sz w:val="24"/>
      <w:szCs w:val="24"/>
    </w:rPr>
  </w:style>
  <w:style w:type="paragraph" w:styleId="Odstavecseseznamem">
    <w:name w:val="List Paragraph"/>
    <w:basedOn w:val="Normln"/>
    <w:uiPriority w:val="34"/>
    <w:qFormat/>
    <w:rsid w:val="00517111"/>
    <w:pPr>
      <w:ind w:left="720"/>
      <w:contextualSpacing/>
    </w:pPr>
  </w:style>
  <w:style w:type="paragraph" w:styleId="Textbubliny">
    <w:name w:val="Balloon Text"/>
    <w:basedOn w:val="Normln"/>
    <w:link w:val="TextbublinyChar"/>
    <w:uiPriority w:val="99"/>
    <w:semiHidden/>
    <w:unhideWhenUsed/>
    <w:rsid w:val="009139AF"/>
    <w:rPr>
      <w:rFonts w:cs="Arial"/>
      <w:szCs w:val="18"/>
    </w:rPr>
  </w:style>
  <w:style w:type="character" w:customStyle="1" w:styleId="TextbublinyChar">
    <w:name w:val="Text bubliny Char"/>
    <w:basedOn w:val="Standardnpsmoodstavce"/>
    <w:link w:val="Textbubliny"/>
    <w:uiPriority w:val="99"/>
    <w:semiHidden/>
    <w:rsid w:val="009139AF"/>
    <w:rPr>
      <w:rFonts w:ascii="Arial" w:eastAsia="Times New Roman" w:hAnsi="Arial" w:cs="Arial"/>
      <w:sz w:val="18"/>
      <w:szCs w:val="18"/>
      <w:lang w:eastAsia="cs-CZ"/>
    </w:rPr>
  </w:style>
  <w:style w:type="character" w:styleId="Odkaznakoment">
    <w:name w:val="annotation reference"/>
    <w:basedOn w:val="Standardnpsmoodstavce"/>
    <w:uiPriority w:val="99"/>
    <w:semiHidden/>
    <w:unhideWhenUsed/>
    <w:rsid w:val="00EA5747"/>
    <w:rPr>
      <w:sz w:val="16"/>
      <w:szCs w:val="16"/>
    </w:rPr>
  </w:style>
  <w:style w:type="paragraph" w:styleId="Textkomente">
    <w:name w:val="annotation text"/>
    <w:basedOn w:val="Normln"/>
    <w:link w:val="TextkomenteChar"/>
    <w:uiPriority w:val="99"/>
    <w:unhideWhenUsed/>
    <w:rsid w:val="00EA5747"/>
    <w:rPr>
      <w:sz w:val="20"/>
    </w:rPr>
  </w:style>
  <w:style w:type="character" w:customStyle="1" w:styleId="TextkomenteChar">
    <w:name w:val="Text komentáře Char"/>
    <w:basedOn w:val="Standardnpsmoodstavce"/>
    <w:link w:val="Textkomente"/>
    <w:uiPriority w:val="99"/>
    <w:rsid w:val="00EA574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A5747"/>
    <w:rPr>
      <w:b/>
      <w:bCs/>
    </w:rPr>
  </w:style>
  <w:style w:type="character" w:customStyle="1" w:styleId="PedmtkomenteChar">
    <w:name w:val="Předmět komentáře Char"/>
    <w:basedOn w:val="TextkomenteChar"/>
    <w:link w:val="Pedmtkomente"/>
    <w:uiPriority w:val="99"/>
    <w:semiHidden/>
    <w:rsid w:val="00EA5747"/>
    <w:rPr>
      <w:rFonts w:ascii="Arial" w:eastAsia="Times New Roman" w:hAnsi="Arial" w:cs="Times New Roman"/>
      <w:b/>
      <w:bCs/>
      <w:sz w:val="20"/>
      <w:szCs w:val="20"/>
      <w:lang w:eastAsia="cs-CZ"/>
    </w:rPr>
  </w:style>
  <w:style w:type="paragraph" w:styleId="Revize">
    <w:name w:val="Revision"/>
    <w:hidden/>
    <w:uiPriority w:val="99"/>
    <w:semiHidden/>
    <w:rsid w:val="0046651A"/>
    <w:pPr>
      <w:spacing w:after="0" w:line="240" w:lineRule="auto"/>
    </w:pPr>
    <w:rPr>
      <w:rFonts w:ascii="Arial" w:eastAsia="Times New Roman" w:hAnsi="Arial" w:cs="Times New Roman"/>
      <w:sz w:val="18"/>
      <w:szCs w:val="20"/>
      <w:lang w:eastAsia="cs-CZ"/>
    </w:rPr>
  </w:style>
  <w:style w:type="character" w:styleId="Siln">
    <w:name w:val="Strong"/>
    <w:basedOn w:val="Standardnpsmoodstavce"/>
    <w:uiPriority w:val="22"/>
    <w:qFormat/>
    <w:rsid w:val="00C12AFA"/>
    <w:rPr>
      <w:b/>
      <w:bCs/>
    </w:rPr>
  </w:style>
  <w:style w:type="paragraph" w:customStyle="1" w:styleId="THnorm">
    <w:name w:val="TH norm"/>
    <w:basedOn w:val="Normln"/>
    <w:rsid w:val="006A7BEA"/>
    <w:pPr>
      <w:tabs>
        <w:tab w:val="left" w:pos="0"/>
      </w:tabs>
      <w:overflowPunct/>
      <w:autoSpaceDE/>
      <w:autoSpaceDN/>
      <w:adjustRightInd/>
      <w:spacing w:after="120"/>
      <w:ind w:firstLine="709"/>
      <w:textAlignment w:val="auto"/>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9968AC"/>
    <w:rPr>
      <w:color w:val="605E5C"/>
      <w:shd w:val="clear" w:color="auto" w:fill="E1DFDD"/>
    </w:rPr>
  </w:style>
  <w:style w:type="character" w:styleId="Sledovanodkaz">
    <w:name w:val="FollowedHyperlink"/>
    <w:basedOn w:val="Standardnpsmoodstavce"/>
    <w:uiPriority w:val="99"/>
    <w:semiHidden/>
    <w:unhideWhenUsed/>
    <w:rsid w:val="000444EA"/>
    <w:rPr>
      <w:color w:val="954F72" w:themeColor="followedHyperlink"/>
      <w:u w:val="single"/>
    </w:rPr>
  </w:style>
  <w:style w:type="character" w:customStyle="1" w:styleId="Nevyeenzmnka2">
    <w:name w:val="Nevyřešená zmínka2"/>
    <w:basedOn w:val="Standardnpsmoodstavce"/>
    <w:uiPriority w:val="99"/>
    <w:semiHidden/>
    <w:unhideWhenUsed/>
    <w:rsid w:val="005A0ACF"/>
    <w:rPr>
      <w:color w:val="605E5C"/>
      <w:shd w:val="clear" w:color="auto" w:fill="E1DFDD"/>
    </w:rPr>
  </w:style>
  <w:style w:type="character" w:styleId="Nevyeenzmnka">
    <w:name w:val="Unresolved Mention"/>
    <w:basedOn w:val="Standardnpsmoodstavce"/>
    <w:uiPriority w:val="99"/>
    <w:semiHidden/>
    <w:unhideWhenUsed/>
    <w:rsid w:val="00BA19E0"/>
    <w:rPr>
      <w:color w:val="605E5C"/>
      <w:shd w:val="clear" w:color="auto" w:fill="E1DFDD"/>
    </w:rPr>
  </w:style>
  <w:style w:type="table" w:styleId="Mkatabulky">
    <w:name w:val="Table Grid"/>
    <w:basedOn w:val="Normlntabulka"/>
    <w:uiPriority w:val="39"/>
    <w:rsid w:val="00012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6F7BDA"/>
    <w:rPr>
      <w:sz w:val="20"/>
    </w:rPr>
  </w:style>
  <w:style w:type="character" w:customStyle="1" w:styleId="TextpoznpodarouChar">
    <w:name w:val="Text pozn. pod čarou Char"/>
    <w:basedOn w:val="Standardnpsmoodstavce"/>
    <w:link w:val="Textpoznpodarou"/>
    <w:uiPriority w:val="99"/>
    <w:semiHidden/>
    <w:rsid w:val="006F7BDA"/>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6F7BDA"/>
    <w:rPr>
      <w:vertAlign w:val="superscript"/>
    </w:rPr>
  </w:style>
  <w:style w:type="paragraph" w:customStyle="1" w:styleId="xmsonormal">
    <w:name w:val="xmsonormal"/>
    <w:basedOn w:val="Normln"/>
    <w:rsid w:val="00051022"/>
    <w:pPr>
      <w:overflowPunct/>
      <w:autoSpaceDE/>
      <w:autoSpaceDN/>
      <w:adjustRightInd/>
      <w:spacing w:before="100" w:beforeAutospacing="1" w:after="100" w:afterAutospacing="1"/>
      <w:jc w:val="left"/>
      <w:textAlignment w:val="auto"/>
    </w:pPr>
    <w:rPr>
      <w:rFonts w:ascii="Calibri" w:eastAsia="Calibri" w:hAnsi="Calibri" w:cs="Calibri"/>
      <w:sz w:val="22"/>
      <w:szCs w:val="22"/>
    </w:rPr>
  </w:style>
  <w:style w:type="character" w:customStyle="1" w:styleId="xpk-token">
    <w:name w:val="xpk-token"/>
    <w:basedOn w:val="Standardnpsmoodstavce"/>
    <w:rsid w:val="00051022"/>
  </w:style>
  <w:style w:type="paragraph" w:customStyle="1" w:styleId="xmsonormal0">
    <w:name w:val="x_msonormal"/>
    <w:basedOn w:val="Normln"/>
    <w:rsid w:val="00162D23"/>
    <w:pPr>
      <w:overflowPunct/>
      <w:autoSpaceDE/>
      <w:autoSpaceDN/>
      <w:adjustRightInd/>
      <w:jc w:val="left"/>
      <w:textAlignment w:val="auto"/>
    </w:pPr>
    <w:rPr>
      <w:rFonts w:ascii="Calibri" w:eastAsiaTheme="minorHAnsi" w:hAnsi="Calibri" w:cs="Calibri"/>
      <w:sz w:val="22"/>
      <w:szCs w:val="22"/>
    </w:rPr>
  </w:style>
  <w:style w:type="paragraph" w:styleId="Textvysvtlivek">
    <w:name w:val="endnote text"/>
    <w:basedOn w:val="Normln"/>
    <w:link w:val="TextvysvtlivekChar"/>
    <w:uiPriority w:val="99"/>
    <w:semiHidden/>
    <w:unhideWhenUsed/>
    <w:rsid w:val="00AA4A27"/>
    <w:rPr>
      <w:sz w:val="20"/>
    </w:rPr>
  </w:style>
  <w:style w:type="character" w:customStyle="1" w:styleId="TextvysvtlivekChar">
    <w:name w:val="Text vysvětlivek Char"/>
    <w:basedOn w:val="Standardnpsmoodstavce"/>
    <w:link w:val="Textvysvtlivek"/>
    <w:uiPriority w:val="99"/>
    <w:semiHidden/>
    <w:rsid w:val="00AA4A27"/>
    <w:rPr>
      <w:rFonts w:ascii="Arial" w:eastAsia="Times New Roman" w:hAnsi="Arial" w:cs="Times New Roman"/>
      <w:sz w:val="20"/>
      <w:szCs w:val="20"/>
      <w:lang w:eastAsia="cs-CZ"/>
    </w:rPr>
  </w:style>
  <w:style w:type="character" w:styleId="Odkaznavysvtlivky">
    <w:name w:val="endnote reference"/>
    <w:basedOn w:val="Standardnpsmoodstavce"/>
    <w:uiPriority w:val="99"/>
    <w:semiHidden/>
    <w:unhideWhenUsed/>
    <w:rsid w:val="00AA4A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326">
      <w:bodyDiv w:val="1"/>
      <w:marLeft w:val="0"/>
      <w:marRight w:val="0"/>
      <w:marTop w:val="0"/>
      <w:marBottom w:val="0"/>
      <w:divBdr>
        <w:top w:val="none" w:sz="0" w:space="0" w:color="auto"/>
        <w:left w:val="none" w:sz="0" w:space="0" w:color="auto"/>
        <w:bottom w:val="none" w:sz="0" w:space="0" w:color="auto"/>
        <w:right w:val="none" w:sz="0" w:space="0" w:color="auto"/>
      </w:divBdr>
    </w:div>
    <w:div w:id="5329771">
      <w:bodyDiv w:val="1"/>
      <w:marLeft w:val="0"/>
      <w:marRight w:val="0"/>
      <w:marTop w:val="0"/>
      <w:marBottom w:val="0"/>
      <w:divBdr>
        <w:top w:val="none" w:sz="0" w:space="0" w:color="auto"/>
        <w:left w:val="none" w:sz="0" w:space="0" w:color="auto"/>
        <w:bottom w:val="none" w:sz="0" w:space="0" w:color="auto"/>
        <w:right w:val="none" w:sz="0" w:space="0" w:color="auto"/>
      </w:divBdr>
      <w:divsChild>
        <w:div w:id="655306342">
          <w:marLeft w:val="360"/>
          <w:marRight w:val="0"/>
          <w:marTop w:val="200"/>
          <w:marBottom w:val="0"/>
          <w:divBdr>
            <w:top w:val="none" w:sz="0" w:space="0" w:color="auto"/>
            <w:left w:val="none" w:sz="0" w:space="0" w:color="auto"/>
            <w:bottom w:val="none" w:sz="0" w:space="0" w:color="auto"/>
            <w:right w:val="none" w:sz="0" w:space="0" w:color="auto"/>
          </w:divBdr>
        </w:div>
        <w:div w:id="783503361">
          <w:marLeft w:val="360"/>
          <w:marRight w:val="0"/>
          <w:marTop w:val="200"/>
          <w:marBottom w:val="0"/>
          <w:divBdr>
            <w:top w:val="none" w:sz="0" w:space="0" w:color="auto"/>
            <w:left w:val="none" w:sz="0" w:space="0" w:color="auto"/>
            <w:bottom w:val="none" w:sz="0" w:space="0" w:color="auto"/>
            <w:right w:val="none" w:sz="0" w:space="0" w:color="auto"/>
          </w:divBdr>
        </w:div>
        <w:div w:id="987126633">
          <w:marLeft w:val="360"/>
          <w:marRight w:val="0"/>
          <w:marTop w:val="200"/>
          <w:marBottom w:val="0"/>
          <w:divBdr>
            <w:top w:val="none" w:sz="0" w:space="0" w:color="auto"/>
            <w:left w:val="none" w:sz="0" w:space="0" w:color="auto"/>
            <w:bottom w:val="none" w:sz="0" w:space="0" w:color="auto"/>
            <w:right w:val="none" w:sz="0" w:space="0" w:color="auto"/>
          </w:divBdr>
        </w:div>
      </w:divsChild>
    </w:div>
    <w:div w:id="8140468">
      <w:bodyDiv w:val="1"/>
      <w:marLeft w:val="0"/>
      <w:marRight w:val="0"/>
      <w:marTop w:val="0"/>
      <w:marBottom w:val="0"/>
      <w:divBdr>
        <w:top w:val="none" w:sz="0" w:space="0" w:color="auto"/>
        <w:left w:val="none" w:sz="0" w:space="0" w:color="auto"/>
        <w:bottom w:val="none" w:sz="0" w:space="0" w:color="auto"/>
        <w:right w:val="none" w:sz="0" w:space="0" w:color="auto"/>
      </w:divBdr>
    </w:div>
    <w:div w:id="10764336">
      <w:bodyDiv w:val="1"/>
      <w:marLeft w:val="0"/>
      <w:marRight w:val="0"/>
      <w:marTop w:val="0"/>
      <w:marBottom w:val="0"/>
      <w:divBdr>
        <w:top w:val="none" w:sz="0" w:space="0" w:color="auto"/>
        <w:left w:val="none" w:sz="0" w:space="0" w:color="auto"/>
        <w:bottom w:val="none" w:sz="0" w:space="0" w:color="auto"/>
        <w:right w:val="none" w:sz="0" w:space="0" w:color="auto"/>
      </w:divBdr>
    </w:div>
    <w:div w:id="54865042">
      <w:bodyDiv w:val="1"/>
      <w:marLeft w:val="0"/>
      <w:marRight w:val="0"/>
      <w:marTop w:val="0"/>
      <w:marBottom w:val="0"/>
      <w:divBdr>
        <w:top w:val="none" w:sz="0" w:space="0" w:color="auto"/>
        <w:left w:val="none" w:sz="0" w:space="0" w:color="auto"/>
        <w:bottom w:val="none" w:sz="0" w:space="0" w:color="auto"/>
        <w:right w:val="none" w:sz="0" w:space="0" w:color="auto"/>
      </w:divBdr>
    </w:div>
    <w:div w:id="65881925">
      <w:bodyDiv w:val="1"/>
      <w:marLeft w:val="0"/>
      <w:marRight w:val="0"/>
      <w:marTop w:val="0"/>
      <w:marBottom w:val="0"/>
      <w:divBdr>
        <w:top w:val="none" w:sz="0" w:space="0" w:color="auto"/>
        <w:left w:val="none" w:sz="0" w:space="0" w:color="auto"/>
        <w:bottom w:val="none" w:sz="0" w:space="0" w:color="auto"/>
        <w:right w:val="none" w:sz="0" w:space="0" w:color="auto"/>
      </w:divBdr>
    </w:div>
    <w:div w:id="66729864">
      <w:bodyDiv w:val="1"/>
      <w:marLeft w:val="0"/>
      <w:marRight w:val="0"/>
      <w:marTop w:val="0"/>
      <w:marBottom w:val="0"/>
      <w:divBdr>
        <w:top w:val="none" w:sz="0" w:space="0" w:color="auto"/>
        <w:left w:val="none" w:sz="0" w:space="0" w:color="auto"/>
        <w:bottom w:val="none" w:sz="0" w:space="0" w:color="auto"/>
        <w:right w:val="none" w:sz="0" w:space="0" w:color="auto"/>
      </w:divBdr>
    </w:div>
    <w:div w:id="75367933">
      <w:bodyDiv w:val="1"/>
      <w:marLeft w:val="0"/>
      <w:marRight w:val="0"/>
      <w:marTop w:val="0"/>
      <w:marBottom w:val="0"/>
      <w:divBdr>
        <w:top w:val="none" w:sz="0" w:space="0" w:color="auto"/>
        <w:left w:val="none" w:sz="0" w:space="0" w:color="auto"/>
        <w:bottom w:val="none" w:sz="0" w:space="0" w:color="auto"/>
        <w:right w:val="none" w:sz="0" w:space="0" w:color="auto"/>
      </w:divBdr>
    </w:div>
    <w:div w:id="97651239">
      <w:bodyDiv w:val="1"/>
      <w:marLeft w:val="0"/>
      <w:marRight w:val="0"/>
      <w:marTop w:val="0"/>
      <w:marBottom w:val="0"/>
      <w:divBdr>
        <w:top w:val="none" w:sz="0" w:space="0" w:color="auto"/>
        <w:left w:val="none" w:sz="0" w:space="0" w:color="auto"/>
        <w:bottom w:val="none" w:sz="0" w:space="0" w:color="auto"/>
        <w:right w:val="none" w:sz="0" w:space="0" w:color="auto"/>
      </w:divBdr>
    </w:div>
    <w:div w:id="104077534">
      <w:bodyDiv w:val="1"/>
      <w:marLeft w:val="0"/>
      <w:marRight w:val="0"/>
      <w:marTop w:val="0"/>
      <w:marBottom w:val="0"/>
      <w:divBdr>
        <w:top w:val="none" w:sz="0" w:space="0" w:color="auto"/>
        <w:left w:val="none" w:sz="0" w:space="0" w:color="auto"/>
        <w:bottom w:val="none" w:sz="0" w:space="0" w:color="auto"/>
        <w:right w:val="none" w:sz="0" w:space="0" w:color="auto"/>
      </w:divBdr>
    </w:div>
    <w:div w:id="132212633">
      <w:bodyDiv w:val="1"/>
      <w:marLeft w:val="0"/>
      <w:marRight w:val="0"/>
      <w:marTop w:val="0"/>
      <w:marBottom w:val="0"/>
      <w:divBdr>
        <w:top w:val="none" w:sz="0" w:space="0" w:color="auto"/>
        <w:left w:val="none" w:sz="0" w:space="0" w:color="auto"/>
        <w:bottom w:val="none" w:sz="0" w:space="0" w:color="auto"/>
        <w:right w:val="none" w:sz="0" w:space="0" w:color="auto"/>
      </w:divBdr>
    </w:div>
    <w:div w:id="144977189">
      <w:bodyDiv w:val="1"/>
      <w:marLeft w:val="0"/>
      <w:marRight w:val="0"/>
      <w:marTop w:val="0"/>
      <w:marBottom w:val="0"/>
      <w:divBdr>
        <w:top w:val="none" w:sz="0" w:space="0" w:color="auto"/>
        <w:left w:val="none" w:sz="0" w:space="0" w:color="auto"/>
        <w:bottom w:val="none" w:sz="0" w:space="0" w:color="auto"/>
        <w:right w:val="none" w:sz="0" w:space="0" w:color="auto"/>
      </w:divBdr>
    </w:div>
    <w:div w:id="158036286">
      <w:bodyDiv w:val="1"/>
      <w:marLeft w:val="0"/>
      <w:marRight w:val="0"/>
      <w:marTop w:val="0"/>
      <w:marBottom w:val="0"/>
      <w:divBdr>
        <w:top w:val="none" w:sz="0" w:space="0" w:color="auto"/>
        <w:left w:val="none" w:sz="0" w:space="0" w:color="auto"/>
        <w:bottom w:val="none" w:sz="0" w:space="0" w:color="auto"/>
        <w:right w:val="none" w:sz="0" w:space="0" w:color="auto"/>
      </w:divBdr>
    </w:div>
    <w:div w:id="165872005">
      <w:bodyDiv w:val="1"/>
      <w:marLeft w:val="0"/>
      <w:marRight w:val="0"/>
      <w:marTop w:val="0"/>
      <w:marBottom w:val="0"/>
      <w:divBdr>
        <w:top w:val="none" w:sz="0" w:space="0" w:color="auto"/>
        <w:left w:val="none" w:sz="0" w:space="0" w:color="auto"/>
        <w:bottom w:val="none" w:sz="0" w:space="0" w:color="auto"/>
        <w:right w:val="none" w:sz="0" w:space="0" w:color="auto"/>
      </w:divBdr>
      <w:divsChild>
        <w:div w:id="570114465">
          <w:marLeft w:val="360"/>
          <w:marRight w:val="0"/>
          <w:marTop w:val="200"/>
          <w:marBottom w:val="0"/>
          <w:divBdr>
            <w:top w:val="none" w:sz="0" w:space="0" w:color="auto"/>
            <w:left w:val="none" w:sz="0" w:space="0" w:color="auto"/>
            <w:bottom w:val="none" w:sz="0" w:space="0" w:color="auto"/>
            <w:right w:val="none" w:sz="0" w:space="0" w:color="auto"/>
          </w:divBdr>
        </w:div>
        <w:div w:id="1910266459">
          <w:marLeft w:val="360"/>
          <w:marRight w:val="0"/>
          <w:marTop w:val="200"/>
          <w:marBottom w:val="0"/>
          <w:divBdr>
            <w:top w:val="none" w:sz="0" w:space="0" w:color="auto"/>
            <w:left w:val="none" w:sz="0" w:space="0" w:color="auto"/>
            <w:bottom w:val="none" w:sz="0" w:space="0" w:color="auto"/>
            <w:right w:val="none" w:sz="0" w:space="0" w:color="auto"/>
          </w:divBdr>
        </w:div>
        <w:div w:id="178393963">
          <w:marLeft w:val="360"/>
          <w:marRight w:val="0"/>
          <w:marTop w:val="200"/>
          <w:marBottom w:val="0"/>
          <w:divBdr>
            <w:top w:val="none" w:sz="0" w:space="0" w:color="auto"/>
            <w:left w:val="none" w:sz="0" w:space="0" w:color="auto"/>
            <w:bottom w:val="none" w:sz="0" w:space="0" w:color="auto"/>
            <w:right w:val="none" w:sz="0" w:space="0" w:color="auto"/>
          </w:divBdr>
        </w:div>
      </w:divsChild>
    </w:div>
    <w:div w:id="175731695">
      <w:bodyDiv w:val="1"/>
      <w:marLeft w:val="0"/>
      <w:marRight w:val="0"/>
      <w:marTop w:val="0"/>
      <w:marBottom w:val="0"/>
      <w:divBdr>
        <w:top w:val="none" w:sz="0" w:space="0" w:color="auto"/>
        <w:left w:val="none" w:sz="0" w:space="0" w:color="auto"/>
        <w:bottom w:val="none" w:sz="0" w:space="0" w:color="auto"/>
        <w:right w:val="none" w:sz="0" w:space="0" w:color="auto"/>
      </w:divBdr>
      <w:divsChild>
        <w:div w:id="1685135723">
          <w:marLeft w:val="288"/>
          <w:marRight w:val="0"/>
          <w:marTop w:val="360"/>
          <w:marBottom w:val="0"/>
          <w:divBdr>
            <w:top w:val="none" w:sz="0" w:space="0" w:color="auto"/>
            <w:left w:val="none" w:sz="0" w:space="0" w:color="auto"/>
            <w:bottom w:val="none" w:sz="0" w:space="0" w:color="auto"/>
            <w:right w:val="none" w:sz="0" w:space="0" w:color="auto"/>
          </w:divBdr>
        </w:div>
      </w:divsChild>
    </w:div>
    <w:div w:id="180977078">
      <w:bodyDiv w:val="1"/>
      <w:marLeft w:val="0"/>
      <w:marRight w:val="0"/>
      <w:marTop w:val="0"/>
      <w:marBottom w:val="0"/>
      <w:divBdr>
        <w:top w:val="none" w:sz="0" w:space="0" w:color="auto"/>
        <w:left w:val="none" w:sz="0" w:space="0" w:color="auto"/>
        <w:bottom w:val="none" w:sz="0" w:space="0" w:color="auto"/>
        <w:right w:val="none" w:sz="0" w:space="0" w:color="auto"/>
      </w:divBdr>
    </w:div>
    <w:div w:id="211889271">
      <w:bodyDiv w:val="1"/>
      <w:marLeft w:val="0"/>
      <w:marRight w:val="0"/>
      <w:marTop w:val="0"/>
      <w:marBottom w:val="0"/>
      <w:divBdr>
        <w:top w:val="none" w:sz="0" w:space="0" w:color="auto"/>
        <w:left w:val="none" w:sz="0" w:space="0" w:color="auto"/>
        <w:bottom w:val="none" w:sz="0" w:space="0" w:color="auto"/>
        <w:right w:val="none" w:sz="0" w:space="0" w:color="auto"/>
      </w:divBdr>
    </w:div>
    <w:div w:id="212281255">
      <w:bodyDiv w:val="1"/>
      <w:marLeft w:val="0"/>
      <w:marRight w:val="0"/>
      <w:marTop w:val="0"/>
      <w:marBottom w:val="0"/>
      <w:divBdr>
        <w:top w:val="none" w:sz="0" w:space="0" w:color="auto"/>
        <w:left w:val="none" w:sz="0" w:space="0" w:color="auto"/>
        <w:bottom w:val="none" w:sz="0" w:space="0" w:color="auto"/>
        <w:right w:val="none" w:sz="0" w:space="0" w:color="auto"/>
      </w:divBdr>
    </w:div>
    <w:div w:id="212424732">
      <w:bodyDiv w:val="1"/>
      <w:marLeft w:val="0"/>
      <w:marRight w:val="0"/>
      <w:marTop w:val="0"/>
      <w:marBottom w:val="0"/>
      <w:divBdr>
        <w:top w:val="none" w:sz="0" w:space="0" w:color="auto"/>
        <w:left w:val="none" w:sz="0" w:space="0" w:color="auto"/>
        <w:bottom w:val="none" w:sz="0" w:space="0" w:color="auto"/>
        <w:right w:val="none" w:sz="0" w:space="0" w:color="auto"/>
      </w:divBdr>
    </w:div>
    <w:div w:id="213932845">
      <w:bodyDiv w:val="1"/>
      <w:marLeft w:val="0"/>
      <w:marRight w:val="0"/>
      <w:marTop w:val="0"/>
      <w:marBottom w:val="0"/>
      <w:divBdr>
        <w:top w:val="none" w:sz="0" w:space="0" w:color="auto"/>
        <w:left w:val="none" w:sz="0" w:space="0" w:color="auto"/>
        <w:bottom w:val="none" w:sz="0" w:space="0" w:color="auto"/>
        <w:right w:val="none" w:sz="0" w:space="0" w:color="auto"/>
      </w:divBdr>
      <w:divsChild>
        <w:div w:id="417947238">
          <w:marLeft w:val="288"/>
          <w:marRight w:val="0"/>
          <w:marTop w:val="360"/>
          <w:marBottom w:val="0"/>
          <w:divBdr>
            <w:top w:val="none" w:sz="0" w:space="0" w:color="auto"/>
            <w:left w:val="none" w:sz="0" w:space="0" w:color="auto"/>
            <w:bottom w:val="none" w:sz="0" w:space="0" w:color="auto"/>
            <w:right w:val="none" w:sz="0" w:space="0" w:color="auto"/>
          </w:divBdr>
        </w:div>
        <w:div w:id="1857307784">
          <w:marLeft w:val="1080"/>
          <w:marRight w:val="0"/>
          <w:marTop w:val="360"/>
          <w:marBottom w:val="50"/>
          <w:divBdr>
            <w:top w:val="none" w:sz="0" w:space="0" w:color="auto"/>
            <w:left w:val="none" w:sz="0" w:space="0" w:color="auto"/>
            <w:bottom w:val="none" w:sz="0" w:space="0" w:color="auto"/>
            <w:right w:val="none" w:sz="0" w:space="0" w:color="auto"/>
          </w:divBdr>
        </w:div>
        <w:div w:id="116265497">
          <w:marLeft w:val="1080"/>
          <w:marRight w:val="0"/>
          <w:marTop w:val="360"/>
          <w:marBottom w:val="50"/>
          <w:divBdr>
            <w:top w:val="none" w:sz="0" w:space="0" w:color="auto"/>
            <w:left w:val="none" w:sz="0" w:space="0" w:color="auto"/>
            <w:bottom w:val="none" w:sz="0" w:space="0" w:color="auto"/>
            <w:right w:val="none" w:sz="0" w:space="0" w:color="auto"/>
          </w:divBdr>
        </w:div>
        <w:div w:id="1898468414">
          <w:marLeft w:val="288"/>
          <w:marRight w:val="0"/>
          <w:marTop w:val="360"/>
          <w:marBottom w:val="0"/>
          <w:divBdr>
            <w:top w:val="none" w:sz="0" w:space="0" w:color="auto"/>
            <w:left w:val="none" w:sz="0" w:space="0" w:color="auto"/>
            <w:bottom w:val="none" w:sz="0" w:space="0" w:color="auto"/>
            <w:right w:val="none" w:sz="0" w:space="0" w:color="auto"/>
          </w:divBdr>
        </w:div>
        <w:div w:id="1770351847">
          <w:marLeft w:val="288"/>
          <w:marRight w:val="0"/>
          <w:marTop w:val="360"/>
          <w:marBottom w:val="0"/>
          <w:divBdr>
            <w:top w:val="none" w:sz="0" w:space="0" w:color="auto"/>
            <w:left w:val="none" w:sz="0" w:space="0" w:color="auto"/>
            <w:bottom w:val="none" w:sz="0" w:space="0" w:color="auto"/>
            <w:right w:val="none" w:sz="0" w:space="0" w:color="auto"/>
          </w:divBdr>
        </w:div>
        <w:div w:id="201289034">
          <w:marLeft w:val="288"/>
          <w:marRight w:val="0"/>
          <w:marTop w:val="360"/>
          <w:marBottom w:val="0"/>
          <w:divBdr>
            <w:top w:val="none" w:sz="0" w:space="0" w:color="auto"/>
            <w:left w:val="none" w:sz="0" w:space="0" w:color="auto"/>
            <w:bottom w:val="none" w:sz="0" w:space="0" w:color="auto"/>
            <w:right w:val="none" w:sz="0" w:space="0" w:color="auto"/>
          </w:divBdr>
        </w:div>
        <w:div w:id="784738889">
          <w:marLeft w:val="288"/>
          <w:marRight w:val="0"/>
          <w:marTop w:val="360"/>
          <w:marBottom w:val="0"/>
          <w:divBdr>
            <w:top w:val="none" w:sz="0" w:space="0" w:color="auto"/>
            <w:left w:val="none" w:sz="0" w:space="0" w:color="auto"/>
            <w:bottom w:val="none" w:sz="0" w:space="0" w:color="auto"/>
            <w:right w:val="none" w:sz="0" w:space="0" w:color="auto"/>
          </w:divBdr>
        </w:div>
        <w:div w:id="961959719">
          <w:marLeft w:val="288"/>
          <w:marRight w:val="0"/>
          <w:marTop w:val="360"/>
          <w:marBottom w:val="0"/>
          <w:divBdr>
            <w:top w:val="none" w:sz="0" w:space="0" w:color="auto"/>
            <w:left w:val="none" w:sz="0" w:space="0" w:color="auto"/>
            <w:bottom w:val="none" w:sz="0" w:space="0" w:color="auto"/>
            <w:right w:val="none" w:sz="0" w:space="0" w:color="auto"/>
          </w:divBdr>
        </w:div>
      </w:divsChild>
    </w:div>
    <w:div w:id="214389258">
      <w:bodyDiv w:val="1"/>
      <w:marLeft w:val="0"/>
      <w:marRight w:val="0"/>
      <w:marTop w:val="0"/>
      <w:marBottom w:val="0"/>
      <w:divBdr>
        <w:top w:val="none" w:sz="0" w:space="0" w:color="auto"/>
        <w:left w:val="none" w:sz="0" w:space="0" w:color="auto"/>
        <w:bottom w:val="none" w:sz="0" w:space="0" w:color="auto"/>
        <w:right w:val="none" w:sz="0" w:space="0" w:color="auto"/>
      </w:divBdr>
    </w:div>
    <w:div w:id="215168246">
      <w:bodyDiv w:val="1"/>
      <w:marLeft w:val="0"/>
      <w:marRight w:val="0"/>
      <w:marTop w:val="0"/>
      <w:marBottom w:val="0"/>
      <w:divBdr>
        <w:top w:val="none" w:sz="0" w:space="0" w:color="auto"/>
        <w:left w:val="none" w:sz="0" w:space="0" w:color="auto"/>
        <w:bottom w:val="none" w:sz="0" w:space="0" w:color="auto"/>
        <w:right w:val="none" w:sz="0" w:space="0" w:color="auto"/>
      </w:divBdr>
    </w:div>
    <w:div w:id="220482590">
      <w:bodyDiv w:val="1"/>
      <w:marLeft w:val="0"/>
      <w:marRight w:val="0"/>
      <w:marTop w:val="0"/>
      <w:marBottom w:val="0"/>
      <w:divBdr>
        <w:top w:val="none" w:sz="0" w:space="0" w:color="auto"/>
        <w:left w:val="none" w:sz="0" w:space="0" w:color="auto"/>
        <w:bottom w:val="none" w:sz="0" w:space="0" w:color="auto"/>
        <w:right w:val="none" w:sz="0" w:space="0" w:color="auto"/>
      </w:divBdr>
      <w:divsChild>
        <w:div w:id="1975969">
          <w:marLeft w:val="360"/>
          <w:marRight w:val="0"/>
          <w:marTop w:val="200"/>
          <w:marBottom w:val="0"/>
          <w:divBdr>
            <w:top w:val="none" w:sz="0" w:space="0" w:color="auto"/>
            <w:left w:val="none" w:sz="0" w:space="0" w:color="auto"/>
            <w:bottom w:val="none" w:sz="0" w:space="0" w:color="auto"/>
            <w:right w:val="none" w:sz="0" w:space="0" w:color="auto"/>
          </w:divBdr>
        </w:div>
      </w:divsChild>
    </w:div>
    <w:div w:id="223495743">
      <w:bodyDiv w:val="1"/>
      <w:marLeft w:val="0"/>
      <w:marRight w:val="0"/>
      <w:marTop w:val="0"/>
      <w:marBottom w:val="0"/>
      <w:divBdr>
        <w:top w:val="none" w:sz="0" w:space="0" w:color="auto"/>
        <w:left w:val="none" w:sz="0" w:space="0" w:color="auto"/>
        <w:bottom w:val="none" w:sz="0" w:space="0" w:color="auto"/>
        <w:right w:val="none" w:sz="0" w:space="0" w:color="auto"/>
      </w:divBdr>
    </w:div>
    <w:div w:id="231698303">
      <w:bodyDiv w:val="1"/>
      <w:marLeft w:val="0"/>
      <w:marRight w:val="0"/>
      <w:marTop w:val="0"/>
      <w:marBottom w:val="0"/>
      <w:divBdr>
        <w:top w:val="none" w:sz="0" w:space="0" w:color="auto"/>
        <w:left w:val="none" w:sz="0" w:space="0" w:color="auto"/>
        <w:bottom w:val="none" w:sz="0" w:space="0" w:color="auto"/>
        <w:right w:val="none" w:sz="0" w:space="0" w:color="auto"/>
      </w:divBdr>
    </w:div>
    <w:div w:id="236210548">
      <w:bodyDiv w:val="1"/>
      <w:marLeft w:val="0"/>
      <w:marRight w:val="0"/>
      <w:marTop w:val="0"/>
      <w:marBottom w:val="0"/>
      <w:divBdr>
        <w:top w:val="none" w:sz="0" w:space="0" w:color="auto"/>
        <w:left w:val="none" w:sz="0" w:space="0" w:color="auto"/>
        <w:bottom w:val="none" w:sz="0" w:space="0" w:color="auto"/>
        <w:right w:val="none" w:sz="0" w:space="0" w:color="auto"/>
      </w:divBdr>
    </w:div>
    <w:div w:id="294987942">
      <w:bodyDiv w:val="1"/>
      <w:marLeft w:val="0"/>
      <w:marRight w:val="0"/>
      <w:marTop w:val="0"/>
      <w:marBottom w:val="0"/>
      <w:divBdr>
        <w:top w:val="none" w:sz="0" w:space="0" w:color="auto"/>
        <w:left w:val="none" w:sz="0" w:space="0" w:color="auto"/>
        <w:bottom w:val="none" w:sz="0" w:space="0" w:color="auto"/>
        <w:right w:val="none" w:sz="0" w:space="0" w:color="auto"/>
      </w:divBdr>
    </w:div>
    <w:div w:id="304507614">
      <w:bodyDiv w:val="1"/>
      <w:marLeft w:val="0"/>
      <w:marRight w:val="0"/>
      <w:marTop w:val="0"/>
      <w:marBottom w:val="0"/>
      <w:divBdr>
        <w:top w:val="none" w:sz="0" w:space="0" w:color="auto"/>
        <w:left w:val="none" w:sz="0" w:space="0" w:color="auto"/>
        <w:bottom w:val="none" w:sz="0" w:space="0" w:color="auto"/>
        <w:right w:val="none" w:sz="0" w:space="0" w:color="auto"/>
      </w:divBdr>
    </w:div>
    <w:div w:id="313801545">
      <w:bodyDiv w:val="1"/>
      <w:marLeft w:val="0"/>
      <w:marRight w:val="0"/>
      <w:marTop w:val="0"/>
      <w:marBottom w:val="0"/>
      <w:divBdr>
        <w:top w:val="none" w:sz="0" w:space="0" w:color="auto"/>
        <w:left w:val="none" w:sz="0" w:space="0" w:color="auto"/>
        <w:bottom w:val="none" w:sz="0" w:space="0" w:color="auto"/>
        <w:right w:val="none" w:sz="0" w:space="0" w:color="auto"/>
      </w:divBdr>
    </w:div>
    <w:div w:id="331490063">
      <w:bodyDiv w:val="1"/>
      <w:marLeft w:val="0"/>
      <w:marRight w:val="0"/>
      <w:marTop w:val="0"/>
      <w:marBottom w:val="0"/>
      <w:divBdr>
        <w:top w:val="none" w:sz="0" w:space="0" w:color="auto"/>
        <w:left w:val="none" w:sz="0" w:space="0" w:color="auto"/>
        <w:bottom w:val="none" w:sz="0" w:space="0" w:color="auto"/>
        <w:right w:val="none" w:sz="0" w:space="0" w:color="auto"/>
      </w:divBdr>
    </w:div>
    <w:div w:id="334265626">
      <w:bodyDiv w:val="1"/>
      <w:marLeft w:val="0"/>
      <w:marRight w:val="0"/>
      <w:marTop w:val="0"/>
      <w:marBottom w:val="0"/>
      <w:divBdr>
        <w:top w:val="none" w:sz="0" w:space="0" w:color="auto"/>
        <w:left w:val="none" w:sz="0" w:space="0" w:color="auto"/>
        <w:bottom w:val="none" w:sz="0" w:space="0" w:color="auto"/>
        <w:right w:val="none" w:sz="0" w:space="0" w:color="auto"/>
      </w:divBdr>
    </w:div>
    <w:div w:id="343899673">
      <w:bodyDiv w:val="1"/>
      <w:marLeft w:val="0"/>
      <w:marRight w:val="0"/>
      <w:marTop w:val="0"/>
      <w:marBottom w:val="0"/>
      <w:divBdr>
        <w:top w:val="none" w:sz="0" w:space="0" w:color="auto"/>
        <w:left w:val="none" w:sz="0" w:space="0" w:color="auto"/>
        <w:bottom w:val="none" w:sz="0" w:space="0" w:color="auto"/>
        <w:right w:val="none" w:sz="0" w:space="0" w:color="auto"/>
      </w:divBdr>
    </w:div>
    <w:div w:id="358311346">
      <w:bodyDiv w:val="1"/>
      <w:marLeft w:val="0"/>
      <w:marRight w:val="0"/>
      <w:marTop w:val="0"/>
      <w:marBottom w:val="0"/>
      <w:divBdr>
        <w:top w:val="none" w:sz="0" w:space="0" w:color="auto"/>
        <w:left w:val="none" w:sz="0" w:space="0" w:color="auto"/>
        <w:bottom w:val="none" w:sz="0" w:space="0" w:color="auto"/>
        <w:right w:val="none" w:sz="0" w:space="0" w:color="auto"/>
      </w:divBdr>
    </w:div>
    <w:div w:id="372461916">
      <w:bodyDiv w:val="1"/>
      <w:marLeft w:val="0"/>
      <w:marRight w:val="0"/>
      <w:marTop w:val="0"/>
      <w:marBottom w:val="0"/>
      <w:divBdr>
        <w:top w:val="none" w:sz="0" w:space="0" w:color="auto"/>
        <w:left w:val="none" w:sz="0" w:space="0" w:color="auto"/>
        <w:bottom w:val="none" w:sz="0" w:space="0" w:color="auto"/>
        <w:right w:val="none" w:sz="0" w:space="0" w:color="auto"/>
      </w:divBdr>
    </w:div>
    <w:div w:id="376399311">
      <w:bodyDiv w:val="1"/>
      <w:marLeft w:val="0"/>
      <w:marRight w:val="0"/>
      <w:marTop w:val="0"/>
      <w:marBottom w:val="0"/>
      <w:divBdr>
        <w:top w:val="none" w:sz="0" w:space="0" w:color="auto"/>
        <w:left w:val="none" w:sz="0" w:space="0" w:color="auto"/>
        <w:bottom w:val="none" w:sz="0" w:space="0" w:color="auto"/>
        <w:right w:val="none" w:sz="0" w:space="0" w:color="auto"/>
      </w:divBdr>
    </w:div>
    <w:div w:id="383871093">
      <w:bodyDiv w:val="1"/>
      <w:marLeft w:val="0"/>
      <w:marRight w:val="0"/>
      <w:marTop w:val="0"/>
      <w:marBottom w:val="0"/>
      <w:divBdr>
        <w:top w:val="none" w:sz="0" w:space="0" w:color="auto"/>
        <w:left w:val="none" w:sz="0" w:space="0" w:color="auto"/>
        <w:bottom w:val="none" w:sz="0" w:space="0" w:color="auto"/>
        <w:right w:val="none" w:sz="0" w:space="0" w:color="auto"/>
      </w:divBdr>
    </w:div>
    <w:div w:id="386539390">
      <w:bodyDiv w:val="1"/>
      <w:marLeft w:val="0"/>
      <w:marRight w:val="0"/>
      <w:marTop w:val="0"/>
      <w:marBottom w:val="0"/>
      <w:divBdr>
        <w:top w:val="none" w:sz="0" w:space="0" w:color="auto"/>
        <w:left w:val="none" w:sz="0" w:space="0" w:color="auto"/>
        <w:bottom w:val="none" w:sz="0" w:space="0" w:color="auto"/>
        <w:right w:val="none" w:sz="0" w:space="0" w:color="auto"/>
      </w:divBdr>
    </w:div>
    <w:div w:id="408618435">
      <w:bodyDiv w:val="1"/>
      <w:marLeft w:val="0"/>
      <w:marRight w:val="0"/>
      <w:marTop w:val="0"/>
      <w:marBottom w:val="0"/>
      <w:divBdr>
        <w:top w:val="none" w:sz="0" w:space="0" w:color="auto"/>
        <w:left w:val="none" w:sz="0" w:space="0" w:color="auto"/>
        <w:bottom w:val="none" w:sz="0" w:space="0" w:color="auto"/>
        <w:right w:val="none" w:sz="0" w:space="0" w:color="auto"/>
      </w:divBdr>
    </w:div>
    <w:div w:id="411201801">
      <w:bodyDiv w:val="1"/>
      <w:marLeft w:val="0"/>
      <w:marRight w:val="0"/>
      <w:marTop w:val="0"/>
      <w:marBottom w:val="0"/>
      <w:divBdr>
        <w:top w:val="none" w:sz="0" w:space="0" w:color="auto"/>
        <w:left w:val="none" w:sz="0" w:space="0" w:color="auto"/>
        <w:bottom w:val="none" w:sz="0" w:space="0" w:color="auto"/>
        <w:right w:val="none" w:sz="0" w:space="0" w:color="auto"/>
      </w:divBdr>
    </w:div>
    <w:div w:id="420875207">
      <w:bodyDiv w:val="1"/>
      <w:marLeft w:val="0"/>
      <w:marRight w:val="0"/>
      <w:marTop w:val="0"/>
      <w:marBottom w:val="0"/>
      <w:divBdr>
        <w:top w:val="none" w:sz="0" w:space="0" w:color="auto"/>
        <w:left w:val="none" w:sz="0" w:space="0" w:color="auto"/>
        <w:bottom w:val="none" w:sz="0" w:space="0" w:color="auto"/>
        <w:right w:val="none" w:sz="0" w:space="0" w:color="auto"/>
      </w:divBdr>
    </w:div>
    <w:div w:id="421756657">
      <w:bodyDiv w:val="1"/>
      <w:marLeft w:val="0"/>
      <w:marRight w:val="0"/>
      <w:marTop w:val="0"/>
      <w:marBottom w:val="0"/>
      <w:divBdr>
        <w:top w:val="none" w:sz="0" w:space="0" w:color="auto"/>
        <w:left w:val="none" w:sz="0" w:space="0" w:color="auto"/>
        <w:bottom w:val="none" w:sz="0" w:space="0" w:color="auto"/>
        <w:right w:val="none" w:sz="0" w:space="0" w:color="auto"/>
      </w:divBdr>
    </w:div>
    <w:div w:id="430663453">
      <w:bodyDiv w:val="1"/>
      <w:marLeft w:val="0"/>
      <w:marRight w:val="0"/>
      <w:marTop w:val="0"/>
      <w:marBottom w:val="0"/>
      <w:divBdr>
        <w:top w:val="none" w:sz="0" w:space="0" w:color="auto"/>
        <w:left w:val="none" w:sz="0" w:space="0" w:color="auto"/>
        <w:bottom w:val="none" w:sz="0" w:space="0" w:color="auto"/>
        <w:right w:val="none" w:sz="0" w:space="0" w:color="auto"/>
      </w:divBdr>
    </w:div>
    <w:div w:id="443963842">
      <w:bodyDiv w:val="1"/>
      <w:marLeft w:val="0"/>
      <w:marRight w:val="0"/>
      <w:marTop w:val="0"/>
      <w:marBottom w:val="0"/>
      <w:divBdr>
        <w:top w:val="none" w:sz="0" w:space="0" w:color="auto"/>
        <w:left w:val="none" w:sz="0" w:space="0" w:color="auto"/>
        <w:bottom w:val="none" w:sz="0" w:space="0" w:color="auto"/>
        <w:right w:val="none" w:sz="0" w:space="0" w:color="auto"/>
      </w:divBdr>
    </w:div>
    <w:div w:id="448546075">
      <w:bodyDiv w:val="1"/>
      <w:marLeft w:val="0"/>
      <w:marRight w:val="0"/>
      <w:marTop w:val="0"/>
      <w:marBottom w:val="0"/>
      <w:divBdr>
        <w:top w:val="none" w:sz="0" w:space="0" w:color="auto"/>
        <w:left w:val="none" w:sz="0" w:space="0" w:color="auto"/>
        <w:bottom w:val="none" w:sz="0" w:space="0" w:color="auto"/>
        <w:right w:val="none" w:sz="0" w:space="0" w:color="auto"/>
      </w:divBdr>
    </w:div>
    <w:div w:id="452287571">
      <w:bodyDiv w:val="1"/>
      <w:marLeft w:val="0"/>
      <w:marRight w:val="0"/>
      <w:marTop w:val="0"/>
      <w:marBottom w:val="0"/>
      <w:divBdr>
        <w:top w:val="none" w:sz="0" w:space="0" w:color="auto"/>
        <w:left w:val="none" w:sz="0" w:space="0" w:color="auto"/>
        <w:bottom w:val="none" w:sz="0" w:space="0" w:color="auto"/>
        <w:right w:val="none" w:sz="0" w:space="0" w:color="auto"/>
      </w:divBdr>
    </w:div>
    <w:div w:id="507059065">
      <w:bodyDiv w:val="1"/>
      <w:marLeft w:val="0"/>
      <w:marRight w:val="0"/>
      <w:marTop w:val="0"/>
      <w:marBottom w:val="0"/>
      <w:divBdr>
        <w:top w:val="none" w:sz="0" w:space="0" w:color="auto"/>
        <w:left w:val="none" w:sz="0" w:space="0" w:color="auto"/>
        <w:bottom w:val="none" w:sz="0" w:space="0" w:color="auto"/>
        <w:right w:val="none" w:sz="0" w:space="0" w:color="auto"/>
      </w:divBdr>
    </w:div>
    <w:div w:id="512230630">
      <w:bodyDiv w:val="1"/>
      <w:marLeft w:val="0"/>
      <w:marRight w:val="0"/>
      <w:marTop w:val="0"/>
      <w:marBottom w:val="0"/>
      <w:divBdr>
        <w:top w:val="none" w:sz="0" w:space="0" w:color="auto"/>
        <w:left w:val="none" w:sz="0" w:space="0" w:color="auto"/>
        <w:bottom w:val="none" w:sz="0" w:space="0" w:color="auto"/>
        <w:right w:val="none" w:sz="0" w:space="0" w:color="auto"/>
      </w:divBdr>
    </w:div>
    <w:div w:id="513692315">
      <w:bodyDiv w:val="1"/>
      <w:marLeft w:val="0"/>
      <w:marRight w:val="0"/>
      <w:marTop w:val="0"/>
      <w:marBottom w:val="0"/>
      <w:divBdr>
        <w:top w:val="none" w:sz="0" w:space="0" w:color="auto"/>
        <w:left w:val="none" w:sz="0" w:space="0" w:color="auto"/>
        <w:bottom w:val="none" w:sz="0" w:space="0" w:color="auto"/>
        <w:right w:val="none" w:sz="0" w:space="0" w:color="auto"/>
      </w:divBdr>
    </w:div>
    <w:div w:id="530805065">
      <w:bodyDiv w:val="1"/>
      <w:marLeft w:val="0"/>
      <w:marRight w:val="0"/>
      <w:marTop w:val="0"/>
      <w:marBottom w:val="0"/>
      <w:divBdr>
        <w:top w:val="none" w:sz="0" w:space="0" w:color="auto"/>
        <w:left w:val="none" w:sz="0" w:space="0" w:color="auto"/>
        <w:bottom w:val="none" w:sz="0" w:space="0" w:color="auto"/>
        <w:right w:val="none" w:sz="0" w:space="0" w:color="auto"/>
      </w:divBdr>
    </w:div>
    <w:div w:id="541747342">
      <w:bodyDiv w:val="1"/>
      <w:marLeft w:val="0"/>
      <w:marRight w:val="0"/>
      <w:marTop w:val="0"/>
      <w:marBottom w:val="0"/>
      <w:divBdr>
        <w:top w:val="none" w:sz="0" w:space="0" w:color="auto"/>
        <w:left w:val="none" w:sz="0" w:space="0" w:color="auto"/>
        <w:bottom w:val="none" w:sz="0" w:space="0" w:color="auto"/>
        <w:right w:val="none" w:sz="0" w:space="0" w:color="auto"/>
      </w:divBdr>
    </w:div>
    <w:div w:id="547766773">
      <w:bodyDiv w:val="1"/>
      <w:marLeft w:val="0"/>
      <w:marRight w:val="0"/>
      <w:marTop w:val="0"/>
      <w:marBottom w:val="0"/>
      <w:divBdr>
        <w:top w:val="none" w:sz="0" w:space="0" w:color="auto"/>
        <w:left w:val="none" w:sz="0" w:space="0" w:color="auto"/>
        <w:bottom w:val="none" w:sz="0" w:space="0" w:color="auto"/>
        <w:right w:val="none" w:sz="0" w:space="0" w:color="auto"/>
      </w:divBdr>
    </w:div>
    <w:div w:id="558173341">
      <w:bodyDiv w:val="1"/>
      <w:marLeft w:val="0"/>
      <w:marRight w:val="0"/>
      <w:marTop w:val="0"/>
      <w:marBottom w:val="0"/>
      <w:divBdr>
        <w:top w:val="none" w:sz="0" w:space="0" w:color="auto"/>
        <w:left w:val="none" w:sz="0" w:space="0" w:color="auto"/>
        <w:bottom w:val="none" w:sz="0" w:space="0" w:color="auto"/>
        <w:right w:val="none" w:sz="0" w:space="0" w:color="auto"/>
      </w:divBdr>
    </w:div>
    <w:div w:id="566258281">
      <w:bodyDiv w:val="1"/>
      <w:marLeft w:val="0"/>
      <w:marRight w:val="0"/>
      <w:marTop w:val="0"/>
      <w:marBottom w:val="0"/>
      <w:divBdr>
        <w:top w:val="none" w:sz="0" w:space="0" w:color="auto"/>
        <w:left w:val="none" w:sz="0" w:space="0" w:color="auto"/>
        <w:bottom w:val="none" w:sz="0" w:space="0" w:color="auto"/>
        <w:right w:val="none" w:sz="0" w:space="0" w:color="auto"/>
      </w:divBdr>
    </w:div>
    <w:div w:id="615522263">
      <w:bodyDiv w:val="1"/>
      <w:marLeft w:val="0"/>
      <w:marRight w:val="0"/>
      <w:marTop w:val="0"/>
      <w:marBottom w:val="0"/>
      <w:divBdr>
        <w:top w:val="none" w:sz="0" w:space="0" w:color="auto"/>
        <w:left w:val="none" w:sz="0" w:space="0" w:color="auto"/>
        <w:bottom w:val="none" w:sz="0" w:space="0" w:color="auto"/>
        <w:right w:val="none" w:sz="0" w:space="0" w:color="auto"/>
      </w:divBdr>
    </w:div>
    <w:div w:id="624774902">
      <w:bodyDiv w:val="1"/>
      <w:marLeft w:val="0"/>
      <w:marRight w:val="0"/>
      <w:marTop w:val="0"/>
      <w:marBottom w:val="0"/>
      <w:divBdr>
        <w:top w:val="none" w:sz="0" w:space="0" w:color="auto"/>
        <w:left w:val="none" w:sz="0" w:space="0" w:color="auto"/>
        <w:bottom w:val="none" w:sz="0" w:space="0" w:color="auto"/>
        <w:right w:val="none" w:sz="0" w:space="0" w:color="auto"/>
      </w:divBdr>
    </w:div>
    <w:div w:id="664868437">
      <w:bodyDiv w:val="1"/>
      <w:marLeft w:val="0"/>
      <w:marRight w:val="0"/>
      <w:marTop w:val="0"/>
      <w:marBottom w:val="0"/>
      <w:divBdr>
        <w:top w:val="none" w:sz="0" w:space="0" w:color="auto"/>
        <w:left w:val="none" w:sz="0" w:space="0" w:color="auto"/>
        <w:bottom w:val="none" w:sz="0" w:space="0" w:color="auto"/>
        <w:right w:val="none" w:sz="0" w:space="0" w:color="auto"/>
      </w:divBdr>
    </w:div>
    <w:div w:id="704403528">
      <w:bodyDiv w:val="1"/>
      <w:marLeft w:val="0"/>
      <w:marRight w:val="0"/>
      <w:marTop w:val="0"/>
      <w:marBottom w:val="0"/>
      <w:divBdr>
        <w:top w:val="none" w:sz="0" w:space="0" w:color="auto"/>
        <w:left w:val="none" w:sz="0" w:space="0" w:color="auto"/>
        <w:bottom w:val="none" w:sz="0" w:space="0" w:color="auto"/>
        <w:right w:val="none" w:sz="0" w:space="0" w:color="auto"/>
      </w:divBdr>
    </w:div>
    <w:div w:id="746734854">
      <w:bodyDiv w:val="1"/>
      <w:marLeft w:val="0"/>
      <w:marRight w:val="0"/>
      <w:marTop w:val="0"/>
      <w:marBottom w:val="0"/>
      <w:divBdr>
        <w:top w:val="none" w:sz="0" w:space="0" w:color="auto"/>
        <w:left w:val="none" w:sz="0" w:space="0" w:color="auto"/>
        <w:bottom w:val="none" w:sz="0" w:space="0" w:color="auto"/>
        <w:right w:val="none" w:sz="0" w:space="0" w:color="auto"/>
      </w:divBdr>
      <w:divsChild>
        <w:div w:id="1120420196">
          <w:marLeft w:val="360"/>
          <w:marRight w:val="0"/>
          <w:marTop w:val="200"/>
          <w:marBottom w:val="0"/>
          <w:divBdr>
            <w:top w:val="none" w:sz="0" w:space="0" w:color="auto"/>
            <w:left w:val="none" w:sz="0" w:space="0" w:color="auto"/>
            <w:bottom w:val="none" w:sz="0" w:space="0" w:color="auto"/>
            <w:right w:val="none" w:sz="0" w:space="0" w:color="auto"/>
          </w:divBdr>
        </w:div>
      </w:divsChild>
    </w:div>
    <w:div w:id="759524415">
      <w:bodyDiv w:val="1"/>
      <w:marLeft w:val="0"/>
      <w:marRight w:val="0"/>
      <w:marTop w:val="0"/>
      <w:marBottom w:val="0"/>
      <w:divBdr>
        <w:top w:val="none" w:sz="0" w:space="0" w:color="auto"/>
        <w:left w:val="none" w:sz="0" w:space="0" w:color="auto"/>
        <w:bottom w:val="none" w:sz="0" w:space="0" w:color="auto"/>
        <w:right w:val="none" w:sz="0" w:space="0" w:color="auto"/>
      </w:divBdr>
    </w:div>
    <w:div w:id="783886223">
      <w:bodyDiv w:val="1"/>
      <w:marLeft w:val="0"/>
      <w:marRight w:val="0"/>
      <w:marTop w:val="0"/>
      <w:marBottom w:val="0"/>
      <w:divBdr>
        <w:top w:val="none" w:sz="0" w:space="0" w:color="auto"/>
        <w:left w:val="none" w:sz="0" w:space="0" w:color="auto"/>
        <w:bottom w:val="none" w:sz="0" w:space="0" w:color="auto"/>
        <w:right w:val="none" w:sz="0" w:space="0" w:color="auto"/>
      </w:divBdr>
    </w:div>
    <w:div w:id="786193410">
      <w:bodyDiv w:val="1"/>
      <w:marLeft w:val="0"/>
      <w:marRight w:val="0"/>
      <w:marTop w:val="0"/>
      <w:marBottom w:val="0"/>
      <w:divBdr>
        <w:top w:val="none" w:sz="0" w:space="0" w:color="auto"/>
        <w:left w:val="none" w:sz="0" w:space="0" w:color="auto"/>
        <w:bottom w:val="none" w:sz="0" w:space="0" w:color="auto"/>
        <w:right w:val="none" w:sz="0" w:space="0" w:color="auto"/>
      </w:divBdr>
    </w:div>
    <w:div w:id="806968104">
      <w:bodyDiv w:val="1"/>
      <w:marLeft w:val="0"/>
      <w:marRight w:val="0"/>
      <w:marTop w:val="0"/>
      <w:marBottom w:val="0"/>
      <w:divBdr>
        <w:top w:val="none" w:sz="0" w:space="0" w:color="auto"/>
        <w:left w:val="none" w:sz="0" w:space="0" w:color="auto"/>
        <w:bottom w:val="none" w:sz="0" w:space="0" w:color="auto"/>
        <w:right w:val="none" w:sz="0" w:space="0" w:color="auto"/>
      </w:divBdr>
    </w:div>
    <w:div w:id="816918479">
      <w:bodyDiv w:val="1"/>
      <w:marLeft w:val="0"/>
      <w:marRight w:val="0"/>
      <w:marTop w:val="0"/>
      <w:marBottom w:val="0"/>
      <w:divBdr>
        <w:top w:val="none" w:sz="0" w:space="0" w:color="auto"/>
        <w:left w:val="none" w:sz="0" w:space="0" w:color="auto"/>
        <w:bottom w:val="none" w:sz="0" w:space="0" w:color="auto"/>
        <w:right w:val="none" w:sz="0" w:space="0" w:color="auto"/>
      </w:divBdr>
    </w:div>
    <w:div w:id="817648807">
      <w:bodyDiv w:val="1"/>
      <w:marLeft w:val="0"/>
      <w:marRight w:val="0"/>
      <w:marTop w:val="0"/>
      <w:marBottom w:val="0"/>
      <w:divBdr>
        <w:top w:val="none" w:sz="0" w:space="0" w:color="auto"/>
        <w:left w:val="none" w:sz="0" w:space="0" w:color="auto"/>
        <w:bottom w:val="none" w:sz="0" w:space="0" w:color="auto"/>
        <w:right w:val="none" w:sz="0" w:space="0" w:color="auto"/>
      </w:divBdr>
    </w:div>
    <w:div w:id="822359253">
      <w:bodyDiv w:val="1"/>
      <w:marLeft w:val="0"/>
      <w:marRight w:val="0"/>
      <w:marTop w:val="0"/>
      <w:marBottom w:val="0"/>
      <w:divBdr>
        <w:top w:val="none" w:sz="0" w:space="0" w:color="auto"/>
        <w:left w:val="none" w:sz="0" w:space="0" w:color="auto"/>
        <w:bottom w:val="none" w:sz="0" w:space="0" w:color="auto"/>
        <w:right w:val="none" w:sz="0" w:space="0" w:color="auto"/>
      </w:divBdr>
    </w:div>
    <w:div w:id="832257858">
      <w:bodyDiv w:val="1"/>
      <w:marLeft w:val="0"/>
      <w:marRight w:val="0"/>
      <w:marTop w:val="0"/>
      <w:marBottom w:val="0"/>
      <w:divBdr>
        <w:top w:val="none" w:sz="0" w:space="0" w:color="auto"/>
        <w:left w:val="none" w:sz="0" w:space="0" w:color="auto"/>
        <w:bottom w:val="none" w:sz="0" w:space="0" w:color="auto"/>
        <w:right w:val="none" w:sz="0" w:space="0" w:color="auto"/>
      </w:divBdr>
    </w:div>
    <w:div w:id="832260493">
      <w:bodyDiv w:val="1"/>
      <w:marLeft w:val="0"/>
      <w:marRight w:val="0"/>
      <w:marTop w:val="0"/>
      <w:marBottom w:val="0"/>
      <w:divBdr>
        <w:top w:val="none" w:sz="0" w:space="0" w:color="auto"/>
        <w:left w:val="none" w:sz="0" w:space="0" w:color="auto"/>
        <w:bottom w:val="none" w:sz="0" w:space="0" w:color="auto"/>
        <w:right w:val="none" w:sz="0" w:space="0" w:color="auto"/>
      </w:divBdr>
    </w:div>
    <w:div w:id="860356969">
      <w:bodyDiv w:val="1"/>
      <w:marLeft w:val="0"/>
      <w:marRight w:val="0"/>
      <w:marTop w:val="0"/>
      <w:marBottom w:val="0"/>
      <w:divBdr>
        <w:top w:val="none" w:sz="0" w:space="0" w:color="auto"/>
        <w:left w:val="none" w:sz="0" w:space="0" w:color="auto"/>
        <w:bottom w:val="none" w:sz="0" w:space="0" w:color="auto"/>
        <w:right w:val="none" w:sz="0" w:space="0" w:color="auto"/>
      </w:divBdr>
    </w:div>
    <w:div w:id="881332576">
      <w:bodyDiv w:val="1"/>
      <w:marLeft w:val="0"/>
      <w:marRight w:val="0"/>
      <w:marTop w:val="0"/>
      <w:marBottom w:val="0"/>
      <w:divBdr>
        <w:top w:val="none" w:sz="0" w:space="0" w:color="auto"/>
        <w:left w:val="none" w:sz="0" w:space="0" w:color="auto"/>
        <w:bottom w:val="none" w:sz="0" w:space="0" w:color="auto"/>
        <w:right w:val="none" w:sz="0" w:space="0" w:color="auto"/>
      </w:divBdr>
    </w:div>
    <w:div w:id="943684580">
      <w:bodyDiv w:val="1"/>
      <w:marLeft w:val="0"/>
      <w:marRight w:val="0"/>
      <w:marTop w:val="0"/>
      <w:marBottom w:val="0"/>
      <w:divBdr>
        <w:top w:val="none" w:sz="0" w:space="0" w:color="auto"/>
        <w:left w:val="none" w:sz="0" w:space="0" w:color="auto"/>
        <w:bottom w:val="none" w:sz="0" w:space="0" w:color="auto"/>
        <w:right w:val="none" w:sz="0" w:space="0" w:color="auto"/>
      </w:divBdr>
    </w:div>
    <w:div w:id="944657113">
      <w:bodyDiv w:val="1"/>
      <w:marLeft w:val="0"/>
      <w:marRight w:val="0"/>
      <w:marTop w:val="0"/>
      <w:marBottom w:val="0"/>
      <w:divBdr>
        <w:top w:val="none" w:sz="0" w:space="0" w:color="auto"/>
        <w:left w:val="none" w:sz="0" w:space="0" w:color="auto"/>
        <w:bottom w:val="none" w:sz="0" w:space="0" w:color="auto"/>
        <w:right w:val="none" w:sz="0" w:space="0" w:color="auto"/>
      </w:divBdr>
      <w:divsChild>
        <w:div w:id="174616939">
          <w:marLeft w:val="360"/>
          <w:marRight w:val="0"/>
          <w:marTop w:val="200"/>
          <w:marBottom w:val="0"/>
          <w:divBdr>
            <w:top w:val="none" w:sz="0" w:space="0" w:color="auto"/>
            <w:left w:val="none" w:sz="0" w:space="0" w:color="auto"/>
            <w:bottom w:val="none" w:sz="0" w:space="0" w:color="auto"/>
            <w:right w:val="none" w:sz="0" w:space="0" w:color="auto"/>
          </w:divBdr>
        </w:div>
      </w:divsChild>
    </w:div>
    <w:div w:id="952442645">
      <w:bodyDiv w:val="1"/>
      <w:marLeft w:val="0"/>
      <w:marRight w:val="0"/>
      <w:marTop w:val="0"/>
      <w:marBottom w:val="0"/>
      <w:divBdr>
        <w:top w:val="none" w:sz="0" w:space="0" w:color="auto"/>
        <w:left w:val="none" w:sz="0" w:space="0" w:color="auto"/>
        <w:bottom w:val="none" w:sz="0" w:space="0" w:color="auto"/>
        <w:right w:val="none" w:sz="0" w:space="0" w:color="auto"/>
      </w:divBdr>
    </w:div>
    <w:div w:id="968975400">
      <w:bodyDiv w:val="1"/>
      <w:marLeft w:val="0"/>
      <w:marRight w:val="0"/>
      <w:marTop w:val="0"/>
      <w:marBottom w:val="0"/>
      <w:divBdr>
        <w:top w:val="none" w:sz="0" w:space="0" w:color="auto"/>
        <w:left w:val="none" w:sz="0" w:space="0" w:color="auto"/>
        <w:bottom w:val="none" w:sz="0" w:space="0" w:color="auto"/>
        <w:right w:val="none" w:sz="0" w:space="0" w:color="auto"/>
      </w:divBdr>
      <w:divsChild>
        <w:div w:id="1350522814">
          <w:marLeft w:val="0"/>
          <w:marRight w:val="150"/>
          <w:marTop w:val="0"/>
          <w:marBottom w:val="0"/>
          <w:divBdr>
            <w:top w:val="single" w:sz="2" w:space="0" w:color="000000"/>
            <w:left w:val="single" w:sz="2" w:space="0" w:color="000000"/>
            <w:bottom w:val="single" w:sz="2" w:space="0" w:color="000000"/>
            <w:right w:val="single" w:sz="2" w:space="0" w:color="000000"/>
          </w:divBdr>
          <w:divsChild>
            <w:div w:id="419184993">
              <w:marLeft w:val="0"/>
              <w:marRight w:val="0"/>
              <w:marTop w:val="0"/>
              <w:marBottom w:val="0"/>
              <w:divBdr>
                <w:top w:val="single" w:sz="2" w:space="0" w:color="000000"/>
                <w:left w:val="single" w:sz="2" w:space="0" w:color="000000"/>
                <w:bottom w:val="single" w:sz="2" w:space="0" w:color="000000"/>
                <w:right w:val="single" w:sz="2" w:space="0" w:color="000000"/>
              </w:divBdr>
              <w:divsChild>
                <w:div w:id="1983074791">
                  <w:marLeft w:val="0"/>
                  <w:marRight w:val="0"/>
                  <w:marTop w:val="0"/>
                  <w:marBottom w:val="0"/>
                  <w:divBdr>
                    <w:top w:val="single" w:sz="2" w:space="0" w:color="000000"/>
                    <w:left w:val="single" w:sz="2" w:space="0" w:color="000000"/>
                    <w:bottom w:val="single" w:sz="2" w:space="0" w:color="000000"/>
                    <w:right w:val="single" w:sz="2" w:space="0" w:color="000000"/>
                  </w:divBdr>
                  <w:divsChild>
                    <w:div w:id="914239938">
                      <w:marLeft w:val="0"/>
                      <w:marRight w:val="0"/>
                      <w:marTop w:val="0"/>
                      <w:marBottom w:val="0"/>
                      <w:divBdr>
                        <w:top w:val="single" w:sz="2" w:space="0" w:color="000000"/>
                        <w:left w:val="single" w:sz="2" w:space="0" w:color="000000"/>
                        <w:bottom w:val="single" w:sz="2" w:space="0" w:color="000000"/>
                        <w:right w:val="single" w:sz="2" w:space="0" w:color="000000"/>
                      </w:divBdr>
                      <w:divsChild>
                        <w:div w:id="929580508">
                          <w:marLeft w:val="0"/>
                          <w:marRight w:val="0"/>
                          <w:marTop w:val="0"/>
                          <w:marBottom w:val="0"/>
                          <w:divBdr>
                            <w:top w:val="none" w:sz="0" w:space="0" w:color="auto"/>
                            <w:left w:val="none" w:sz="0" w:space="0" w:color="auto"/>
                            <w:bottom w:val="none" w:sz="0" w:space="0" w:color="auto"/>
                            <w:right w:val="none" w:sz="0" w:space="0" w:color="auto"/>
                          </w:divBdr>
                          <w:divsChild>
                            <w:div w:id="201949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58825838">
          <w:marLeft w:val="0"/>
          <w:marRight w:val="0"/>
          <w:marTop w:val="0"/>
          <w:marBottom w:val="0"/>
          <w:divBdr>
            <w:top w:val="single" w:sz="2" w:space="0" w:color="000000"/>
            <w:left w:val="single" w:sz="2" w:space="0" w:color="000000"/>
            <w:bottom w:val="single" w:sz="2" w:space="8" w:color="000000"/>
            <w:right w:val="single" w:sz="2" w:space="0" w:color="000000"/>
          </w:divBdr>
          <w:divsChild>
            <w:div w:id="2075395400">
              <w:marLeft w:val="0"/>
              <w:marRight w:val="0"/>
              <w:marTop w:val="0"/>
              <w:marBottom w:val="0"/>
              <w:divBdr>
                <w:top w:val="single" w:sz="2" w:space="0" w:color="000000"/>
                <w:left w:val="single" w:sz="2" w:space="0" w:color="000000"/>
                <w:bottom w:val="single" w:sz="2" w:space="0" w:color="000000"/>
                <w:right w:val="single" w:sz="2" w:space="0" w:color="000000"/>
              </w:divBdr>
              <w:divsChild>
                <w:div w:id="201989819">
                  <w:marLeft w:val="0"/>
                  <w:marRight w:val="0"/>
                  <w:marTop w:val="0"/>
                  <w:marBottom w:val="30"/>
                  <w:divBdr>
                    <w:top w:val="single" w:sz="2" w:space="0" w:color="000000"/>
                    <w:left w:val="single" w:sz="2" w:space="0" w:color="000000"/>
                    <w:bottom w:val="single" w:sz="2" w:space="0" w:color="000000"/>
                    <w:right w:val="single" w:sz="2" w:space="0" w:color="000000"/>
                  </w:divBdr>
                  <w:divsChild>
                    <w:div w:id="1779834749">
                      <w:marLeft w:val="0"/>
                      <w:marRight w:val="0"/>
                      <w:marTop w:val="0"/>
                      <w:marBottom w:val="0"/>
                      <w:divBdr>
                        <w:top w:val="single" w:sz="2" w:space="0" w:color="000000"/>
                        <w:left w:val="single" w:sz="2" w:space="0" w:color="000000"/>
                        <w:bottom w:val="single" w:sz="2" w:space="0" w:color="000000"/>
                        <w:right w:val="single" w:sz="2" w:space="0" w:color="000000"/>
                      </w:divBdr>
                      <w:divsChild>
                        <w:div w:id="70584360">
                          <w:marLeft w:val="0"/>
                          <w:marRight w:val="0"/>
                          <w:marTop w:val="0"/>
                          <w:marBottom w:val="0"/>
                          <w:divBdr>
                            <w:top w:val="single" w:sz="2" w:space="0" w:color="000000"/>
                            <w:left w:val="single" w:sz="2" w:space="0" w:color="000000"/>
                            <w:bottom w:val="single" w:sz="2" w:space="0" w:color="000000"/>
                            <w:right w:val="single" w:sz="2" w:space="0" w:color="000000"/>
                          </w:divBdr>
                          <w:divsChild>
                            <w:div w:id="1392079576">
                              <w:marLeft w:val="0"/>
                              <w:marRight w:val="0"/>
                              <w:marTop w:val="0"/>
                              <w:marBottom w:val="0"/>
                              <w:divBdr>
                                <w:top w:val="single" w:sz="2" w:space="0" w:color="000000"/>
                                <w:left w:val="single" w:sz="2" w:space="0" w:color="000000"/>
                                <w:bottom w:val="single" w:sz="2" w:space="0" w:color="000000"/>
                                <w:right w:val="single" w:sz="2" w:space="0" w:color="000000"/>
                              </w:divBdr>
                              <w:divsChild>
                                <w:div w:id="1962956154">
                                  <w:marLeft w:val="0"/>
                                  <w:marRight w:val="0"/>
                                  <w:marTop w:val="0"/>
                                  <w:marBottom w:val="0"/>
                                  <w:divBdr>
                                    <w:top w:val="single" w:sz="2" w:space="0" w:color="000000"/>
                                    <w:left w:val="single" w:sz="2" w:space="0" w:color="000000"/>
                                    <w:bottom w:val="single" w:sz="2" w:space="0" w:color="000000"/>
                                    <w:right w:val="single" w:sz="2" w:space="0" w:color="000000"/>
                                  </w:divBdr>
                                  <w:divsChild>
                                    <w:div w:id="1719091966">
                                      <w:marLeft w:val="0"/>
                                      <w:marRight w:val="0"/>
                                      <w:marTop w:val="0"/>
                                      <w:marBottom w:val="0"/>
                                      <w:divBdr>
                                        <w:top w:val="single" w:sz="2" w:space="0" w:color="000000"/>
                                        <w:left w:val="single" w:sz="2" w:space="0" w:color="000000"/>
                                        <w:bottom w:val="single" w:sz="2" w:space="0" w:color="000000"/>
                                        <w:right w:val="single" w:sz="2" w:space="0" w:color="000000"/>
                                      </w:divBdr>
                                      <w:divsChild>
                                        <w:div w:id="204455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9860268">
                                      <w:marLeft w:val="75"/>
                                      <w:marRight w:val="0"/>
                                      <w:marTop w:val="0"/>
                                      <w:marBottom w:val="0"/>
                                      <w:divBdr>
                                        <w:top w:val="single" w:sz="2" w:space="0" w:color="000000"/>
                                        <w:left w:val="single" w:sz="2" w:space="0" w:color="000000"/>
                                        <w:bottom w:val="single" w:sz="2" w:space="0" w:color="000000"/>
                                        <w:right w:val="single" w:sz="2" w:space="0" w:color="000000"/>
                                      </w:divBdr>
                                      <w:divsChild>
                                        <w:div w:id="854464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22902919">
                              <w:marLeft w:val="0"/>
                              <w:marRight w:val="0"/>
                              <w:marTop w:val="0"/>
                              <w:marBottom w:val="0"/>
                              <w:divBdr>
                                <w:top w:val="single" w:sz="2" w:space="0" w:color="000000"/>
                                <w:left w:val="single" w:sz="2" w:space="4" w:color="000000"/>
                                <w:bottom w:val="single" w:sz="2" w:space="0" w:color="000000"/>
                                <w:right w:val="single" w:sz="2" w:space="4" w:color="000000"/>
                              </w:divBdr>
                            </w:div>
                          </w:divsChild>
                        </w:div>
                      </w:divsChild>
                    </w:div>
                  </w:divsChild>
                </w:div>
              </w:divsChild>
            </w:div>
            <w:div w:id="596210244">
              <w:marLeft w:val="0"/>
              <w:marRight w:val="0"/>
              <w:marTop w:val="0"/>
              <w:marBottom w:val="0"/>
              <w:divBdr>
                <w:top w:val="single" w:sz="2" w:space="0" w:color="000000"/>
                <w:left w:val="single" w:sz="2" w:space="0" w:color="000000"/>
                <w:bottom w:val="single" w:sz="2" w:space="0" w:color="000000"/>
                <w:right w:val="single" w:sz="2" w:space="0" w:color="000000"/>
              </w:divBdr>
              <w:divsChild>
                <w:div w:id="1702171599">
                  <w:marLeft w:val="0"/>
                  <w:marRight w:val="0"/>
                  <w:marTop w:val="0"/>
                  <w:marBottom w:val="0"/>
                  <w:divBdr>
                    <w:top w:val="single" w:sz="2" w:space="0" w:color="000000"/>
                    <w:left w:val="single" w:sz="2" w:space="0" w:color="000000"/>
                    <w:bottom w:val="single" w:sz="2" w:space="0" w:color="000000"/>
                    <w:right w:val="single" w:sz="2" w:space="0" w:color="000000"/>
                  </w:divBdr>
                  <w:divsChild>
                    <w:div w:id="555556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2033238">
                  <w:marLeft w:val="0"/>
                  <w:marRight w:val="0"/>
                  <w:marTop w:val="0"/>
                  <w:marBottom w:val="0"/>
                  <w:divBdr>
                    <w:top w:val="single" w:sz="2" w:space="0" w:color="000000"/>
                    <w:left w:val="single" w:sz="2" w:space="0" w:color="000000"/>
                    <w:bottom w:val="single" w:sz="2" w:space="0" w:color="000000"/>
                    <w:right w:val="single" w:sz="2" w:space="0" w:color="000000"/>
                  </w:divBdr>
                  <w:divsChild>
                    <w:div w:id="1143278826">
                      <w:marLeft w:val="0"/>
                      <w:marRight w:val="0"/>
                      <w:marTop w:val="0"/>
                      <w:marBottom w:val="0"/>
                      <w:divBdr>
                        <w:top w:val="single" w:sz="2" w:space="0" w:color="000000"/>
                        <w:left w:val="single" w:sz="2" w:space="0" w:color="000000"/>
                        <w:bottom w:val="single" w:sz="2" w:space="0" w:color="000000"/>
                        <w:right w:val="single" w:sz="2" w:space="0" w:color="000000"/>
                      </w:divBdr>
                      <w:divsChild>
                        <w:div w:id="1894271443">
                          <w:marLeft w:val="0"/>
                          <w:marRight w:val="0"/>
                          <w:marTop w:val="150"/>
                          <w:marBottom w:val="0"/>
                          <w:divBdr>
                            <w:top w:val="single" w:sz="2" w:space="0" w:color="000000"/>
                            <w:left w:val="single" w:sz="2" w:space="0" w:color="000000"/>
                            <w:bottom w:val="single" w:sz="2" w:space="0" w:color="000000"/>
                            <w:right w:val="single" w:sz="2" w:space="0" w:color="000000"/>
                          </w:divBdr>
                          <w:divsChild>
                            <w:div w:id="1464040857">
                              <w:marLeft w:val="0"/>
                              <w:marRight w:val="0"/>
                              <w:marTop w:val="0"/>
                              <w:marBottom w:val="0"/>
                              <w:divBdr>
                                <w:top w:val="single" w:sz="2" w:space="0" w:color="000000"/>
                                <w:left w:val="single" w:sz="2" w:space="0" w:color="000000"/>
                                <w:bottom w:val="single" w:sz="2" w:space="0" w:color="000000"/>
                                <w:right w:val="single" w:sz="2" w:space="0" w:color="000000"/>
                              </w:divBdr>
                              <w:divsChild>
                                <w:div w:id="1662074022">
                                  <w:marLeft w:val="0"/>
                                  <w:marRight w:val="0"/>
                                  <w:marTop w:val="0"/>
                                  <w:marBottom w:val="0"/>
                                  <w:divBdr>
                                    <w:top w:val="single" w:sz="2" w:space="0" w:color="000000"/>
                                    <w:left w:val="single" w:sz="2" w:space="0" w:color="000000"/>
                                    <w:bottom w:val="single" w:sz="2" w:space="0" w:color="000000"/>
                                    <w:right w:val="single" w:sz="2" w:space="0" w:color="000000"/>
                                  </w:divBdr>
                                  <w:divsChild>
                                    <w:div w:id="1497575823">
                                      <w:marLeft w:val="0"/>
                                      <w:marRight w:val="0"/>
                                      <w:marTop w:val="0"/>
                                      <w:marBottom w:val="0"/>
                                      <w:divBdr>
                                        <w:top w:val="single" w:sz="2" w:space="0" w:color="000000"/>
                                        <w:left w:val="single" w:sz="2" w:space="0" w:color="000000"/>
                                        <w:bottom w:val="single" w:sz="2" w:space="0" w:color="000000"/>
                                        <w:right w:val="single" w:sz="2" w:space="0" w:color="000000"/>
                                      </w:divBdr>
                                      <w:divsChild>
                                        <w:div w:id="172844713">
                                          <w:marLeft w:val="0"/>
                                          <w:marRight w:val="0"/>
                                          <w:marTop w:val="0"/>
                                          <w:marBottom w:val="0"/>
                                          <w:divBdr>
                                            <w:top w:val="single" w:sz="2" w:space="0" w:color="000000"/>
                                            <w:left w:val="single" w:sz="2" w:space="0" w:color="000000"/>
                                            <w:bottom w:val="single" w:sz="2" w:space="0" w:color="000000"/>
                                            <w:right w:val="single" w:sz="2" w:space="0" w:color="000000"/>
                                          </w:divBdr>
                                          <w:divsChild>
                                            <w:div w:id="145826655">
                                              <w:marLeft w:val="0"/>
                                              <w:marRight w:val="0"/>
                                              <w:marTop w:val="0"/>
                                              <w:marBottom w:val="0"/>
                                              <w:divBdr>
                                                <w:top w:val="single" w:sz="2" w:space="0" w:color="000000"/>
                                                <w:left w:val="single" w:sz="2" w:space="0" w:color="000000"/>
                                                <w:bottom w:val="single" w:sz="2" w:space="0" w:color="000000"/>
                                                <w:right w:val="single" w:sz="2" w:space="0" w:color="000000"/>
                                              </w:divBdr>
                                              <w:divsChild>
                                                <w:div w:id="1208638256">
                                                  <w:marLeft w:val="0"/>
                                                  <w:marRight w:val="0"/>
                                                  <w:marTop w:val="0"/>
                                                  <w:marBottom w:val="0"/>
                                                  <w:divBdr>
                                                    <w:top w:val="single" w:sz="2" w:space="0" w:color="000000"/>
                                                    <w:left w:val="single" w:sz="2" w:space="8" w:color="000000"/>
                                                    <w:bottom w:val="single" w:sz="2" w:space="0" w:color="000000"/>
                                                    <w:right w:val="single" w:sz="2" w:space="8" w:color="000000"/>
                                                  </w:divBdr>
                                                  <w:divsChild>
                                                    <w:div w:id="19284640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4856711">
                                                  <w:marLeft w:val="0"/>
                                                  <w:marRight w:val="0"/>
                                                  <w:marTop w:val="0"/>
                                                  <w:marBottom w:val="0"/>
                                                  <w:divBdr>
                                                    <w:top w:val="single" w:sz="2" w:space="0" w:color="000000"/>
                                                    <w:left w:val="single" w:sz="2" w:space="8" w:color="000000"/>
                                                    <w:bottom w:val="single" w:sz="2" w:space="0" w:color="000000"/>
                                                    <w:right w:val="single" w:sz="2" w:space="0" w:color="000000"/>
                                                  </w:divBdr>
                                                  <w:divsChild>
                                                    <w:div w:id="19040207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02988206">
                                          <w:marLeft w:val="0"/>
                                          <w:marRight w:val="0"/>
                                          <w:marTop w:val="75"/>
                                          <w:marBottom w:val="0"/>
                                          <w:divBdr>
                                            <w:top w:val="single" w:sz="2" w:space="0" w:color="000000"/>
                                            <w:left w:val="single" w:sz="2" w:space="0" w:color="000000"/>
                                            <w:bottom w:val="single" w:sz="2" w:space="0" w:color="000000"/>
                                            <w:right w:val="single" w:sz="2" w:space="0" w:color="000000"/>
                                          </w:divBdr>
                                          <w:divsChild>
                                            <w:div w:id="1491291521">
                                              <w:marLeft w:val="0"/>
                                              <w:marRight w:val="0"/>
                                              <w:marTop w:val="0"/>
                                              <w:marBottom w:val="0"/>
                                              <w:divBdr>
                                                <w:top w:val="single" w:sz="2" w:space="0" w:color="000000"/>
                                                <w:left w:val="single" w:sz="2" w:space="0" w:color="000000"/>
                                                <w:bottom w:val="single" w:sz="2" w:space="0" w:color="000000"/>
                                                <w:right w:val="single" w:sz="2" w:space="0" w:color="000000"/>
                                              </w:divBdr>
                                              <w:divsChild>
                                                <w:div w:id="354237189">
                                                  <w:marLeft w:val="0"/>
                                                  <w:marRight w:val="0"/>
                                                  <w:marTop w:val="0"/>
                                                  <w:marBottom w:val="0"/>
                                                  <w:divBdr>
                                                    <w:top w:val="single" w:sz="2" w:space="0" w:color="000000"/>
                                                    <w:left w:val="single" w:sz="2" w:space="8" w:color="000000"/>
                                                    <w:bottom w:val="single" w:sz="2" w:space="0" w:color="000000"/>
                                                    <w:right w:val="single" w:sz="2" w:space="8" w:color="000000"/>
                                                  </w:divBdr>
                                                  <w:divsChild>
                                                    <w:div w:id="1014647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2356615">
                                                  <w:marLeft w:val="0"/>
                                                  <w:marRight w:val="0"/>
                                                  <w:marTop w:val="0"/>
                                                  <w:marBottom w:val="0"/>
                                                  <w:divBdr>
                                                    <w:top w:val="single" w:sz="2" w:space="0" w:color="000000"/>
                                                    <w:left w:val="single" w:sz="2" w:space="8" w:color="000000"/>
                                                    <w:bottom w:val="single" w:sz="2" w:space="0" w:color="000000"/>
                                                    <w:right w:val="single" w:sz="2" w:space="0" w:color="000000"/>
                                                  </w:divBdr>
                                                  <w:divsChild>
                                                    <w:div w:id="11109319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64566048">
                                          <w:marLeft w:val="0"/>
                                          <w:marRight w:val="0"/>
                                          <w:marTop w:val="75"/>
                                          <w:marBottom w:val="0"/>
                                          <w:divBdr>
                                            <w:top w:val="single" w:sz="2" w:space="0" w:color="000000"/>
                                            <w:left w:val="single" w:sz="2" w:space="0" w:color="000000"/>
                                            <w:bottom w:val="single" w:sz="2" w:space="0" w:color="000000"/>
                                            <w:right w:val="single" w:sz="2" w:space="0" w:color="000000"/>
                                          </w:divBdr>
                                          <w:divsChild>
                                            <w:div w:id="1746099576">
                                              <w:marLeft w:val="0"/>
                                              <w:marRight w:val="0"/>
                                              <w:marTop w:val="0"/>
                                              <w:marBottom w:val="0"/>
                                              <w:divBdr>
                                                <w:top w:val="single" w:sz="2" w:space="0" w:color="000000"/>
                                                <w:left w:val="single" w:sz="2" w:space="0" w:color="000000"/>
                                                <w:bottom w:val="single" w:sz="2" w:space="0" w:color="000000"/>
                                                <w:right w:val="single" w:sz="2" w:space="0" w:color="000000"/>
                                              </w:divBdr>
                                              <w:divsChild>
                                                <w:div w:id="2134010985">
                                                  <w:marLeft w:val="0"/>
                                                  <w:marRight w:val="0"/>
                                                  <w:marTop w:val="0"/>
                                                  <w:marBottom w:val="0"/>
                                                  <w:divBdr>
                                                    <w:top w:val="single" w:sz="2" w:space="0" w:color="000000"/>
                                                    <w:left w:val="single" w:sz="2" w:space="8" w:color="000000"/>
                                                    <w:bottom w:val="single" w:sz="2" w:space="0" w:color="000000"/>
                                                    <w:right w:val="single" w:sz="2" w:space="8" w:color="000000"/>
                                                  </w:divBdr>
                                                  <w:divsChild>
                                                    <w:div w:id="1329213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777583">
                                                  <w:marLeft w:val="0"/>
                                                  <w:marRight w:val="0"/>
                                                  <w:marTop w:val="0"/>
                                                  <w:marBottom w:val="0"/>
                                                  <w:divBdr>
                                                    <w:top w:val="single" w:sz="2" w:space="0" w:color="000000"/>
                                                    <w:left w:val="single" w:sz="2" w:space="8" w:color="000000"/>
                                                    <w:bottom w:val="single" w:sz="2" w:space="0" w:color="000000"/>
                                                    <w:right w:val="single" w:sz="2" w:space="0" w:color="000000"/>
                                                  </w:divBdr>
                                                  <w:divsChild>
                                                    <w:div w:id="479616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0835978">
                                          <w:marLeft w:val="0"/>
                                          <w:marRight w:val="0"/>
                                          <w:marTop w:val="150"/>
                                          <w:marBottom w:val="0"/>
                                          <w:divBdr>
                                            <w:top w:val="single" w:sz="2" w:space="0" w:color="000000"/>
                                            <w:left w:val="single" w:sz="2" w:space="0" w:color="000000"/>
                                            <w:bottom w:val="single" w:sz="2" w:space="0" w:color="000000"/>
                                            <w:right w:val="single" w:sz="2" w:space="0" w:color="000000"/>
                                          </w:divBdr>
                                          <w:divsChild>
                                            <w:div w:id="4275831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998969751">
      <w:bodyDiv w:val="1"/>
      <w:marLeft w:val="0"/>
      <w:marRight w:val="0"/>
      <w:marTop w:val="0"/>
      <w:marBottom w:val="0"/>
      <w:divBdr>
        <w:top w:val="none" w:sz="0" w:space="0" w:color="auto"/>
        <w:left w:val="none" w:sz="0" w:space="0" w:color="auto"/>
        <w:bottom w:val="none" w:sz="0" w:space="0" w:color="auto"/>
        <w:right w:val="none" w:sz="0" w:space="0" w:color="auto"/>
      </w:divBdr>
    </w:div>
    <w:div w:id="1005596062">
      <w:bodyDiv w:val="1"/>
      <w:marLeft w:val="0"/>
      <w:marRight w:val="0"/>
      <w:marTop w:val="0"/>
      <w:marBottom w:val="0"/>
      <w:divBdr>
        <w:top w:val="none" w:sz="0" w:space="0" w:color="auto"/>
        <w:left w:val="none" w:sz="0" w:space="0" w:color="auto"/>
        <w:bottom w:val="none" w:sz="0" w:space="0" w:color="auto"/>
        <w:right w:val="none" w:sz="0" w:space="0" w:color="auto"/>
      </w:divBdr>
    </w:div>
    <w:div w:id="1007630827">
      <w:bodyDiv w:val="1"/>
      <w:marLeft w:val="0"/>
      <w:marRight w:val="0"/>
      <w:marTop w:val="0"/>
      <w:marBottom w:val="0"/>
      <w:divBdr>
        <w:top w:val="none" w:sz="0" w:space="0" w:color="auto"/>
        <w:left w:val="none" w:sz="0" w:space="0" w:color="auto"/>
        <w:bottom w:val="none" w:sz="0" w:space="0" w:color="auto"/>
        <w:right w:val="none" w:sz="0" w:space="0" w:color="auto"/>
      </w:divBdr>
    </w:div>
    <w:div w:id="1014117436">
      <w:bodyDiv w:val="1"/>
      <w:marLeft w:val="0"/>
      <w:marRight w:val="0"/>
      <w:marTop w:val="0"/>
      <w:marBottom w:val="0"/>
      <w:divBdr>
        <w:top w:val="none" w:sz="0" w:space="0" w:color="auto"/>
        <w:left w:val="none" w:sz="0" w:space="0" w:color="auto"/>
        <w:bottom w:val="none" w:sz="0" w:space="0" w:color="auto"/>
        <w:right w:val="none" w:sz="0" w:space="0" w:color="auto"/>
      </w:divBdr>
    </w:div>
    <w:div w:id="1034380407">
      <w:bodyDiv w:val="1"/>
      <w:marLeft w:val="0"/>
      <w:marRight w:val="0"/>
      <w:marTop w:val="0"/>
      <w:marBottom w:val="0"/>
      <w:divBdr>
        <w:top w:val="none" w:sz="0" w:space="0" w:color="auto"/>
        <w:left w:val="none" w:sz="0" w:space="0" w:color="auto"/>
        <w:bottom w:val="none" w:sz="0" w:space="0" w:color="auto"/>
        <w:right w:val="none" w:sz="0" w:space="0" w:color="auto"/>
      </w:divBdr>
    </w:div>
    <w:div w:id="1048455468">
      <w:bodyDiv w:val="1"/>
      <w:marLeft w:val="0"/>
      <w:marRight w:val="0"/>
      <w:marTop w:val="0"/>
      <w:marBottom w:val="0"/>
      <w:divBdr>
        <w:top w:val="none" w:sz="0" w:space="0" w:color="auto"/>
        <w:left w:val="none" w:sz="0" w:space="0" w:color="auto"/>
        <w:bottom w:val="none" w:sz="0" w:space="0" w:color="auto"/>
        <w:right w:val="none" w:sz="0" w:space="0" w:color="auto"/>
      </w:divBdr>
    </w:div>
    <w:div w:id="1063288314">
      <w:bodyDiv w:val="1"/>
      <w:marLeft w:val="0"/>
      <w:marRight w:val="0"/>
      <w:marTop w:val="0"/>
      <w:marBottom w:val="0"/>
      <w:divBdr>
        <w:top w:val="none" w:sz="0" w:space="0" w:color="auto"/>
        <w:left w:val="none" w:sz="0" w:space="0" w:color="auto"/>
        <w:bottom w:val="none" w:sz="0" w:space="0" w:color="auto"/>
        <w:right w:val="none" w:sz="0" w:space="0" w:color="auto"/>
      </w:divBdr>
    </w:div>
    <w:div w:id="1065756110">
      <w:bodyDiv w:val="1"/>
      <w:marLeft w:val="0"/>
      <w:marRight w:val="0"/>
      <w:marTop w:val="0"/>
      <w:marBottom w:val="0"/>
      <w:divBdr>
        <w:top w:val="none" w:sz="0" w:space="0" w:color="auto"/>
        <w:left w:val="none" w:sz="0" w:space="0" w:color="auto"/>
        <w:bottom w:val="none" w:sz="0" w:space="0" w:color="auto"/>
        <w:right w:val="none" w:sz="0" w:space="0" w:color="auto"/>
      </w:divBdr>
    </w:div>
    <w:div w:id="1066416294">
      <w:bodyDiv w:val="1"/>
      <w:marLeft w:val="0"/>
      <w:marRight w:val="0"/>
      <w:marTop w:val="0"/>
      <w:marBottom w:val="0"/>
      <w:divBdr>
        <w:top w:val="none" w:sz="0" w:space="0" w:color="auto"/>
        <w:left w:val="none" w:sz="0" w:space="0" w:color="auto"/>
        <w:bottom w:val="none" w:sz="0" w:space="0" w:color="auto"/>
        <w:right w:val="none" w:sz="0" w:space="0" w:color="auto"/>
      </w:divBdr>
    </w:div>
    <w:div w:id="1074622778">
      <w:bodyDiv w:val="1"/>
      <w:marLeft w:val="0"/>
      <w:marRight w:val="0"/>
      <w:marTop w:val="0"/>
      <w:marBottom w:val="0"/>
      <w:divBdr>
        <w:top w:val="none" w:sz="0" w:space="0" w:color="auto"/>
        <w:left w:val="none" w:sz="0" w:space="0" w:color="auto"/>
        <w:bottom w:val="none" w:sz="0" w:space="0" w:color="auto"/>
        <w:right w:val="none" w:sz="0" w:space="0" w:color="auto"/>
      </w:divBdr>
    </w:div>
    <w:div w:id="1090395961">
      <w:bodyDiv w:val="1"/>
      <w:marLeft w:val="0"/>
      <w:marRight w:val="0"/>
      <w:marTop w:val="0"/>
      <w:marBottom w:val="0"/>
      <w:divBdr>
        <w:top w:val="none" w:sz="0" w:space="0" w:color="auto"/>
        <w:left w:val="none" w:sz="0" w:space="0" w:color="auto"/>
        <w:bottom w:val="none" w:sz="0" w:space="0" w:color="auto"/>
        <w:right w:val="none" w:sz="0" w:space="0" w:color="auto"/>
      </w:divBdr>
    </w:div>
    <w:div w:id="1093933032">
      <w:bodyDiv w:val="1"/>
      <w:marLeft w:val="0"/>
      <w:marRight w:val="0"/>
      <w:marTop w:val="0"/>
      <w:marBottom w:val="0"/>
      <w:divBdr>
        <w:top w:val="none" w:sz="0" w:space="0" w:color="auto"/>
        <w:left w:val="none" w:sz="0" w:space="0" w:color="auto"/>
        <w:bottom w:val="none" w:sz="0" w:space="0" w:color="auto"/>
        <w:right w:val="none" w:sz="0" w:space="0" w:color="auto"/>
      </w:divBdr>
    </w:div>
    <w:div w:id="1094859030">
      <w:bodyDiv w:val="1"/>
      <w:marLeft w:val="0"/>
      <w:marRight w:val="0"/>
      <w:marTop w:val="0"/>
      <w:marBottom w:val="0"/>
      <w:divBdr>
        <w:top w:val="none" w:sz="0" w:space="0" w:color="auto"/>
        <w:left w:val="none" w:sz="0" w:space="0" w:color="auto"/>
        <w:bottom w:val="none" w:sz="0" w:space="0" w:color="auto"/>
        <w:right w:val="none" w:sz="0" w:space="0" w:color="auto"/>
      </w:divBdr>
    </w:div>
    <w:div w:id="1142767651">
      <w:bodyDiv w:val="1"/>
      <w:marLeft w:val="0"/>
      <w:marRight w:val="0"/>
      <w:marTop w:val="0"/>
      <w:marBottom w:val="0"/>
      <w:divBdr>
        <w:top w:val="none" w:sz="0" w:space="0" w:color="auto"/>
        <w:left w:val="none" w:sz="0" w:space="0" w:color="auto"/>
        <w:bottom w:val="none" w:sz="0" w:space="0" w:color="auto"/>
        <w:right w:val="none" w:sz="0" w:space="0" w:color="auto"/>
      </w:divBdr>
    </w:div>
    <w:div w:id="1149251152">
      <w:bodyDiv w:val="1"/>
      <w:marLeft w:val="0"/>
      <w:marRight w:val="0"/>
      <w:marTop w:val="0"/>
      <w:marBottom w:val="0"/>
      <w:divBdr>
        <w:top w:val="none" w:sz="0" w:space="0" w:color="auto"/>
        <w:left w:val="none" w:sz="0" w:space="0" w:color="auto"/>
        <w:bottom w:val="none" w:sz="0" w:space="0" w:color="auto"/>
        <w:right w:val="none" w:sz="0" w:space="0" w:color="auto"/>
      </w:divBdr>
    </w:div>
    <w:div w:id="1154027908">
      <w:bodyDiv w:val="1"/>
      <w:marLeft w:val="0"/>
      <w:marRight w:val="0"/>
      <w:marTop w:val="0"/>
      <w:marBottom w:val="0"/>
      <w:divBdr>
        <w:top w:val="none" w:sz="0" w:space="0" w:color="auto"/>
        <w:left w:val="none" w:sz="0" w:space="0" w:color="auto"/>
        <w:bottom w:val="none" w:sz="0" w:space="0" w:color="auto"/>
        <w:right w:val="none" w:sz="0" w:space="0" w:color="auto"/>
      </w:divBdr>
    </w:div>
    <w:div w:id="1166476524">
      <w:bodyDiv w:val="1"/>
      <w:marLeft w:val="0"/>
      <w:marRight w:val="0"/>
      <w:marTop w:val="0"/>
      <w:marBottom w:val="0"/>
      <w:divBdr>
        <w:top w:val="none" w:sz="0" w:space="0" w:color="auto"/>
        <w:left w:val="none" w:sz="0" w:space="0" w:color="auto"/>
        <w:bottom w:val="none" w:sz="0" w:space="0" w:color="auto"/>
        <w:right w:val="none" w:sz="0" w:space="0" w:color="auto"/>
      </w:divBdr>
    </w:div>
    <w:div w:id="1174028343">
      <w:bodyDiv w:val="1"/>
      <w:marLeft w:val="0"/>
      <w:marRight w:val="0"/>
      <w:marTop w:val="0"/>
      <w:marBottom w:val="0"/>
      <w:divBdr>
        <w:top w:val="none" w:sz="0" w:space="0" w:color="auto"/>
        <w:left w:val="none" w:sz="0" w:space="0" w:color="auto"/>
        <w:bottom w:val="none" w:sz="0" w:space="0" w:color="auto"/>
        <w:right w:val="none" w:sz="0" w:space="0" w:color="auto"/>
      </w:divBdr>
    </w:div>
    <w:div w:id="1178081212">
      <w:bodyDiv w:val="1"/>
      <w:marLeft w:val="0"/>
      <w:marRight w:val="0"/>
      <w:marTop w:val="0"/>
      <w:marBottom w:val="0"/>
      <w:divBdr>
        <w:top w:val="none" w:sz="0" w:space="0" w:color="auto"/>
        <w:left w:val="none" w:sz="0" w:space="0" w:color="auto"/>
        <w:bottom w:val="none" w:sz="0" w:space="0" w:color="auto"/>
        <w:right w:val="none" w:sz="0" w:space="0" w:color="auto"/>
      </w:divBdr>
      <w:divsChild>
        <w:div w:id="810363461">
          <w:marLeft w:val="360"/>
          <w:marRight w:val="0"/>
          <w:marTop w:val="200"/>
          <w:marBottom w:val="0"/>
          <w:divBdr>
            <w:top w:val="none" w:sz="0" w:space="0" w:color="auto"/>
            <w:left w:val="none" w:sz="0" w:space="0" w:color="auto"/>
            <w:bottom w:val="none" w:sz="0" w:space="0" w:color="auto"/>
            <w:right w:val="none" w:sz="0" w:space="0" w:color="auto"/>
          </w:divBdr>
        </w:div>
        <w:div w:id="597561776">
          <w:marLeft w:val="360"/>
          <w:marRight w:val="0"/>
          <w:marTop w:val="200"/>
          <w:marBottom w:val="0"/>
          <w:divBdr>
            <w:top w:val="none" w:sz="0" w:space="0" w:color="auto"/>
            <w:left w:val="none" w:sz="0" w:space="0" w:color="auto"/>
            <w:bottom w:val="none" w:sz="0" w:space="0" w:color="auto"/>
            <w:right w:val="none" w:sz="0" w:space="0" w:color="auto"/>
          </w:divBdr>
        </w:div>
        <w:div w:id="1840803065">
          <w:marLeft w:val="360"/>
          <w:marRight w:val="0"/>
          <w:marTop w:val="200"/>
          <w:marBottom w:val="0"/>
          <w:divBdr>
            <w:top w:val="none" w:sz="0" w:space="0" w:color="auto"/>
            <w:left w:val="none" w:sz="0" w:space="0" w:color="auto"/>
            <w:bottom w:val="none" w:sz="0" w:space="0" w:color="auto"/>
            <w:right w:val="none" w:sz="0" w:space="0" w:color="auto"/>
          </w:divBdr>
        </w:div>
      </w:divsChild>
    </w:div>
    <w:div w:id="1184320010">
      <w:bodyDiv w:val="1"/>
      <w:marLeft w:val="0"/>
      <w:marRight w:val="0"/>
      <w:marTop w:val="0"/>
      <w:marBottom w:val="0"/>
      <w:divBdr>
        <w:top w:val="none" w:sz="0" w:space="0" w:color="auto"/>
        <w:left w:val="none" w:sz="0" w:space="0" w:color="auto"/>
        <w:bottom w:val="none" w:sz="0" w:space="0" w:color="auto"/>
        <w:right w:val="none" w:sz="0" w:space="0" w:color="auto"/>
      </w:divBdr>
    </w:div>
    <w:div w:id="1200707317">
      <w:bodyDiv w:val="1"/>
      <w:marLeft w:val="0"/>
      <w:marRight w:val="0"/>
      <w:marTop w:val="0"/>
      <w:marBottom w:val="0"/>
      <w:divBdr>
        <w:top w:val="none" w:sz="0" w:space="0" w:color="auto"/>
        <w:left w:val="none" w:sz="0" w:space="0" w:color="auto"/>
        <w:bottom w:val="none" w:sz="0" w:space="0" w:color="auto"/>
        <w:right w:val="none" w:sz="0" w:space="0" w:color="auto"/>
      </w:divBdr>
    </w:div>
    <w:div w:id="1208109095">
      <w:bodyDiv w:val="1"/>
      <w:marLeft w:val="0"/>
      <w:marRight w:val="0"/>
      <w:marTop w:val="0"/>
      <w:marBottom w:val="0"/>
      <w:divBdr>
        <w:top w:val="none" w:sz="0" w:space="0" w:color="auto"/>
        <w:left w:val="none" w:sz="0" w:space="0" w:color="auto"/>
        <w:bottom w:val="none" w:sz="0" w:space="0" w:color="auto"/>
        <w:right w:val="none" w:sz="0" w:space="0" w:color="auto"/>
      </w:divBdr>
    </w:div>
    <w:div w:id="1209335892">
      <w:bodyDiv w:val="1"/>
      <w:marLeft w:val="0"/>
      <w:marRight w:val="0"/>
      <w:marTop w:val="0"/>
      <w:marBottom w:val="0"/>
      <w:divBdr>
        <w:top w:val="none" w:sz="0" w:space="0" w:color="auto"/>
        <w:left w:val="none" w:sz="0" w:space="0" w:color="auto"/>
        <w:bottom w:val="none" w:sz="0" w:space="0" w:color="auto"/>
        <w:right w:val="none" w:sz="0" w:space="0" w:color="auto"/>
      </w:divBdr>
    </w:div>
    <w:div w:id="1233589226">
      <w:bodyDiv w:val="1"/>
      <w:marLeft w:val="0"/>
      <w:marRight w:val="0"/>
      <w:marTop w:val="0"/>
      <w:marBottom w:val="0"/>
      <w:divBdr>
        <w:top w:val="none" w:sz="0" w:space="0" w:color="auto"/>
        <w:left w:val="none" w:sz="0" w:space="0" w:color="auto"/>
        <w:bottom w:val="none" w:sz="0" w:space="0" w:color="auto"/>
        <w:right w:val="none" w:sz="0" w:space="0" w:color="auto"/>
      </w:divBdr>
    </w:div>
    <w:div w:id="1234389943">
      <w:bodyDiv w:val="1"/>
      <w:marLeft w:val="0"/>
      <w:marRight w:val="0"/>
      <w:marTop w:val="0"/>
      <w:marBottom w:val="0"/>
      <w:divBdr>
        <w:top w:val="none" w:sz="0" w:space="0" w:color="auto"/>
        <w:left w:val="none" w:sz="0" w:space="0" w:color="auto"/>
        <w:bottom w:val="none" w:sz="0" w:space="0" w:color="auto"/>
        <w:right w:val="none" w:sz="0" w:space="0" w:color="auto"/>
      </w:divBdr>
      <w:divsChild>
        <w:div w:id="991954521">
          <w:marLeft w:val="360"/>
          <w:marRight w:val="0"/>
          <w:marTop w:val="200"/>
          <w:marBottom w:val="0"/>
          <w:divBdr>
            <w:top w:val="none" w:sz="0" w:space="0" w:color="auto"/>
            <w:left w:val="none" w:sz="0" w:space="0" w:color="auto"/>
            <w:bottom w:val="none" w:sz="0" w:space="0" w:color="auto"/>
            <w:right w:val="none" w:sz="0" w:space="0" w:color="auto"/>
          </w:divBdr>
        </w:div>
        <w:div w:id="2089380503">
          <w:marLeft w:val="360"/>
          <w:marRight w:val="0"/>
          <w:marTop w:val="200"/>
          <w:marBottom w:val="0"/>
          <w:divBdr>
            <w:top w:val="none" w:sz="0" w:space="0" w:color="auto"/>
            <w:left w:val="none" w:sz="0" w:space="0" w:color="auto"/>
            <w:bottom w:val="none" w:sz="0" w:space="0" w:color="auto"/>
            <w:right w:val="none" w:sz="0" w:space="0" w:color="auto"/>
          </w:divBdr>
        </w:div>
        <w:div w:id="16002883">
          <w:marLeft w:val="360"/>
          <w:marRight w:val="0"/>
          <w:marTop w:val="200"/>
          <w:marBottom w:val="0"/>
          <w:divBdr>
            <w:top w:val="none" w:sz="0" w:space="0" w:color="auto"/>
            <w:left w:val="none" w:sz="0" w:space="0" w:color="auto"/>
            <w:bottom w:val="none" w:sz="0" w:space="0" w:color="auto"/>
            <w:right w:val="none" w:sz="0" w:space="0" w:color="auto"/>
          </w:divBdr>
        </w:div>
        <w:div w:id="1818842063">
          <w:marLeft w:val="360"/>
          <w:marRight w:val="0"/>
          <w:marTop w:val="200"/>
          <w:marBottom w:val="0"/>
          <w:divBdr>
            <w:top w:val="none" w:sz="0" w:space="0" w:color="auto"/>
            <w:left w:val="none" w:sz="0" w:space="0" w:color="auto"/>
            <w:bottom w:val="none" w:sz="0" w:space="0" w:color="auto"/>
            <w:right w:val="none" w:sz="0" w:space="0" w:color="auto"/>
          </w:divBdr>
        </w:div>
      </w:divsChild>
    </w:div>
    <w:div w:id="1246841300">
      <w:bodyDiv w:val="1"/>
      <w:marLeft w:val="0"/>
      <w:marRight w:val="0"/>
      <w:marTop w:val="0"/>
      <w:marBottom w:val="0"/>
      <w:divBdr>
        <w:top w:val="none" w:sz="0" w:space="0" w:color="auto"/>
        <w:left w:val="none" w:sz="0" w:space="0" w:color="auto"/>
        <w:bottom w:val="none" w:sz="0" w:space="0" w:color="auto"/>
        <w:right w:val="none" w:sz="0" w:space="0" w:color="auto"/>
      </w:divBdr>
    </w:div>
    <w:div w:id="1251349081">
      <w:bodyDiv w:val="1"/>
      <w:marLeft w:val="0"/>
      <w:marRight w:val="0"/>
      <w:marTop w:val="0"/>
      <w:marBottom w:val="0"/>
      <w:divBdr>
        <w:top w:val="none" w:sz="0" w:space="0" w:color="auto"/>
        <w:left w:val="none" w:sz="0" w:space="0" w:color="auto"/>
        <w:bottom w:val="none" w:sz="0" w:space="0" w:color="auto"/>
        <w:right w:val="none" w:sz="0" w:space="0" w:color="auto"/>
      </w:divBdr>
    </w:div>
    <w:div w:id="1253078867">
      <w:bodyDiv w:val="1"/>
      <w:marLeft w:val="0"/>
      <w:marRight w:val="0"/>
      <w:marTop w:val="0"/>
      <w:marBottom w:val="0"/>
      <w:divBdr>
        <w:top w:val="none" w:sz="0" w:space="0" w:color="auto"/>
        <w:left w:val="none" w:sz="0" w:space="0" w:color="auto"/>
        <w:bottom w:val="none" w:sz="0" w:space="0" w:color="auto"/>
        <w:right w:val="none" w:sz="0" w:space="0" w:color="auto"/>
      </w:divBdr>
    </w:div>
    <w:div w:id="1268585387">
      <w:bodyDiv w:val="1"/>
      <w:marLeft w:val="0"/>
      <w:marRight w:val="0"/>
      <w:marTop w:val="0"/>
      <w:marBottom w:val="0"/>
      <w:divBdr>
        <w:top w:val="none" w:sz="0" w:space="0" w:color="auto"/>
        <w:left w:val="none" w:sz="0" w:space="0" w:color="auto"/>
        <w:bottom w:val="none" w:sz="0" w:space="0" w:color="auto"/>
        <w:right w:val="none" w:sz="0" w:space="0" w:color="auto"/>
      </w:divBdr>
    </w:div>
    <w:div w:id="1283875638">
      <w:bodyDiv w:val="1"/>
      <w:marLeft w:val="0"/>
      <w:marRight w:val="0"/>
      <w:marTop w:val="0"/>
      <w:marBottom w:val="0"/>
      <w:divBdr>
        <w:top w:val="none" w:sz="0" w:space="0" w:color="auto"/>
        <w:left w:val="none" w:sz="0" w:space="0" w:color="auto"/>
        <w:bottom w:val="none" w:sz="0" w:space="0" w:color="auto"/>
        <w:right w:val="none" w:sz="0" w:space="0" w:color="auto"/>
      </w:divBdr>
    </w:div>
    <w:div w:id="1285237181">
      <w:bodyDiv w:val="1"/>
      <w:marLeft w:val="0"/>
      <w:marRight w:val="0"/>
      <w:marTop w:val="0"/>
      <w:marBottom w:val="0"/>
      <w:divBdr>
        <w:top w:val="none" w:sz="0" w:space="0" w:color="auto"/>
        <w:left w:val="none" w:sz="0" w:space="0" w:color="auto"/>
        <w:bottom w:val="none" w:sz="0" w:space="0" w:color="auto"/>
        <w:right w:val="none" w:sz="0" w:space="0" w:color="auto"/>
      </w:divBdr>
    </w:div>
    <w:div w:id="1324624702">
      <w:bodyDiv w:val="1"/>
      <w:marLeft w:val="0"/>
      <w:marRight w:val="0"/>
      <w:marTop w:val="0"/>
      <w:marBottom w:val="0"/>
      <w:divBdr>
        <w:top w:val="none" w:sz="0" w:space="0" w:color="auto"/>
        <w:left w:val="none" w:sz="0" w:space="0" w:color="auto"/>
        <w:bottom w:val="none" w:sz="0" w:space="0" w:color="auto"/>
        <w:right w:val="none" w:sz="0" w:space="0" w:color="auto"/>
      </w:divBdr>
    </w:div>
    <w:div w:id="1366446254">
      <w:bodyDiv w:val="1"/>
      <w:marLeft w:val="0"/>
      <w:marRight w:val="0"/>
      <w:marTop w:val="0"/>
      <w:marBottom w:val="0"/>
      <w:divBdr>
        <w:top w:val="none" w:sz="0" w:space="0" w:color="auto"/>
        <w:left w:val="none" w:sz="0" w:space="0" w:color="auto"/>
        <w:bottom w:val="none" w:sz="0" w:space="0" w:color="auto"/>
        <w:right w:val="none" w:sz="0" w:space="0" w:color="auto"/>
      </w:divBdr>
    </w:div>
    <w:div w:id="1368138656">
      <w:bodyDiv w:val="1"/>
      <w:marLeft w:val="0"/>
      <w:marRight w:val="0"/>
      <w:marTop w:val="0"/>
      <w:marBottom w:val="0"/>
      <w:divBdr>
        <w:top w:val="none" w:sz="0" w:space="0" w:color="auto"/>
        <w:left w:val="none" w:sz="0" w:space="0" w:color="auto"/>
        <w:bottom w:val="none" w:sz="0" w:space="0" w:color="auto"/>
        <w:right w:val="none" w:sz="0" w:space="0" w:color="auto"/>
      </w:divBdr>
    </w:div>
    <w:div w:id="1373380894">
      <w:bodyDiv w:val="1"/>
      <w:marLeft w:val="0"/>
      <w:marRight w:val="0"/>
      <w:marTop w:val="0"/>
      <w:marBottom w:val="0"/>
      <w:divBdr>
        <w:top w:val="none" w:sz="0" w:space="0" w:color="auto"/>
        <w:left w:val="none" w:sz="0" w:space="0" w:color="auto"/>
        <w:bottom w:val="none" w:sz="0" w:space="0" w:color="auto"/>
        <w:right w:val="none" w:sz="0" w:space="0" w:color="auto"/>
      </w:divBdr>
    </w:div>
    <w:div w:id="1399672845">
      <w:bodyDiv w:val="1"/>
      <w:marLeft w:val="0"/>
      <w:marRight w:val="0"/>
      <w:marTop w:val="0"/>
      <w:marBottom w:val="0"/>
      <w:divBdr>
        <w:top w:val="none" w:sz="0" w:space="0" w:color="auto"/>
        <w:left w:val="none" w:sz="0" w:space="0" w:color="auto"/>
        <w:bottom w:val="none" w:sz="0" w:space="0" w:color="auto"/>
        <w:right w:val="none" w:sz="0" w:space="0" w:color="auto"/>
      </w:divBdr>
    </w:div>
    <w:div w:id="1402143847">
      <w:bodyDiv w:val="1"/>
      <w:marLeft w:val="0"/>
      <w:marRight w:val="0"/>
      <w:marTop w:val="0"/>
      <w:marBottom w:val="0"/>
      <w:divBdr>
        <w:top w:val="none" w:sz="0" w:space="0" w:color="auto"/>
        <w:left w:val="none" w:sz="0" w:space="0" w:color="auto"/>
        <w:bottom w:val="none" w:sz="0" w:space="0" w:color="auto"/>
        <w:right w:val="none" w:sz="0" w:space="0" w:color="auto"/>
      </w:divBdr>
    </w:div>
    <w:div w:id="1411075325">
      <w:bodyDiv w:val="1"/>
      <w:marLeft w:val="0"/>
      <w:marRight w:val="0"/>
      <w:marTop w:val="0"/>
      <w:marBottom w:val="0"/>
      <w:divBdr>
        <w:top w:val="none" w:sz="0" w:space="0" w:color="auto"/>
        <w:left w:val="none" w:sz="0" w:space="0" w:color="auto"/>
        <w:bottom w:val="none" w:sz="0" w:space="0" w:color="auto"/>
        <w:right w:val="none" w:sz="0" w:space="0" w:color="auto"/>
      </w:divBdr>
    </w:div>
    <w:div w:id="1421179395">
      <w:bodyDiv w:val="1"/>
      <w:marLeft w:val="0"/>
      <w:marRight w:val="0"/>
      <w:marTop w:val="0"/>
      <w:marBottom w:val="0"/>
      <w:divBdr>
        <w:top w:val="none" w:sz="0" w:space="0" w:color="auto"/>
        <w:left w:val="none" w:sz="0" w:space="0" w:color="auto"/>
        <w:bottom w:val="none" w:sz="0" w:space="0" w:color="auto"/>
        <w:right w:val="none" w:sz="0" w:space="0" w:color="auto"/>
      </w:divBdr>
    </w:div>
    <w:div w:id="1424909206">
      <w:bodyDiv w:val="1"/>
      <w:marLeft w:val="0"/>
      <w:marRight w:val="0"/>
      <w:marTop w:val="0"/>
      <w:marBottom w:val="0"/>
      <w:divBdr>
        <w:top w:val="none" w:sz="0" w:space="0" w:color="auto"/>
        <w:left w:val="none" w:sz="0" w:space="0" w:color="auto"/>
        <w:bottom w:val="none" w:sz="0" w:space="0" w:color="auto"/>
        <w:right w:val="none" w:sz="0" w:space="0" w:color="auto"/>
      </w:divBdr>
    </w:div>
    <w:div w:id="1436707664">
      <w:bodyDiv w:val="1"/>
      <w:marLeft w:val="0"/>
      <w:marRight w:val="0"/>
      <w:marTop w:val="0"/>
      <w:marBottom w:val="0"/>
      <w:divBdr>
        <w:top w:val="none" w:sz="0" w:space="0" w:color="auto"/>
        <w:left w:val="none" w:sz="0" w:space="0" w:color="auto"/>
        <w:bottom w:val="none" w:sz="0" w:space="0" w:color="auto"/>
        <w:right w:val="none" w:sz="0" w:space="0" w:color="auto"/>
      </w:divBdr>
    </w:div>
    <w:div w:id="1441560953">
      <w:bodyDiv w:val="1"/>
      <w:marLeft w:val="0"/>
      <w:marRight w:val="0"/>
      <w:marTop w:val="0"/>
      <w:marBottom w:val="0"/>
      <w:divBdr>
        <w:top w:val="none" w:sz="0" w:space="0" w:color="auto"/>
        <w:left w:val="none" w:sz="0" w:space="0" w:color="auto"/>
        <w:bottom w:val="none" w:sz="0" w:space="0" w:color="auto"/>
        <w:right w:val="none" w:sz="0" w:space="0" w:color="auto"/>
      </w:divBdr>
    </w:div>
    <w:div w:id="1453863550">
      <w:bodyDiv w:val="1"/>
      <w:marLeft w:val="0"/>
      <w:marRight w:val="0"/>
      <w:marTop w:val="0"/>
      <w:marBottom w:val="0"/>
      <w:divBdr>
        <w:top w:val="none" w:sz="0" w:space="0" w:color="auto"/>
        <w:left w:val="none" w:sz="0" w:space="0" w:color="auto"/>
        <w:bottom w:val="none" w:sz="0" w:space="0" w:color="auto"/>
        <w:right w:val="none" w:sz="0" w:space="0" w:color="auto"/>
      </w:divBdr>
    </w:div>
    <w:div w:id="1483740881">
      <w:bodyDiv w:val="1"/>
      <w:marLeft w:val="0"/>
      <w:marRight w:val="0"/>
      <w:marTop w:val="0"/>
      <w:marBottom w:val="0"/>
      <w:divBdr>
        <w:top w:val="none" w:sz="0" w:space="0" w:color="auto"/>
        <w:left w:val="none" w:sz="0" w:space="0" w:color="auto"/>
        <w:bottom w:val="none" w:sz="0" w:space="0" w:color="auto"/>
        <w:right w:val="none" w:sz="0" w:space="0" w:color="auto"/>
      </w:divBdr>
    </w:div>
    <w:div w:id="1513955578">
      <w:bodyDiv w:val="1"/>
      <w:marLeft w:val="0"/>
      <w:marRight w:val="0"/>
      <w:marTop w:val="0"/>
      <w:marBottom w:val="0"/>
      <w:divBdr>
        <w:top w:val="none" w:sz="0" w:space="0" w:color="auto"/>
        <w:left w:val="none" w:sz="0" w:space="0" w:color="auto"/>
        <w:bottom w:val="none" w:sz="0" w:space="0" w:color="auto"/>
        <w:right w:val="none" w:sz="0" w:space="0" w:color="auto"/>
      </w:divBdr>
    </w:div>
    <w:div w:id="1530332780">
      <w:bodyDiv w:val="1"/>
      <w:marLeft w:val="0"/>
      <w:marRight w:val="0"/>
      <w:marTop w:val="0"/>
      <w:marBottom w:val="0"/>
      <w:divBdr>
        <w:top w:val="none" w:sz="0" w:space="0" w:color="auto"/>
        <w:left w:val="none" w:sz="0" w:space="0" w:color="auto"/>
        <w:bottom w:val="none" w:sz="0" w:space="0" w:color="auto"/>
        <w:right w:val="none" w:sz="0" w:space="0" w:color="auto"/>
      </w:divBdr>
    </w:div>
    <w:div w:id="1534071791">
      <w:bodyDiv w:val="1"/>
      <w:marLeft w:val="0"/>
      <w:marRight w:val="0"/>
      <w:marTop w:val="0"/>
      <w:marBottom w:val="0"/>
      <w:divBdr>
        <w:top w:val="none" w:sz="0" w:space="0" w:color="auto"/>
        <w:left w:val="none" w:sz="0" w:space="0" w:color="auto"/>
        <w:bottom w:val="none" w:sz="0" w:space="0" w:color="auto"/>
        <w:right w:val="none" w:sz="0" w:space="0" w:color="auto"/>
      </w:divBdr>
    </w:div>
    <w:div w:id="1535385158">
      <w:bodyDiv w:val="1"/>
      <w:marLeft w:val="0"/>
      <w:marRight w:val="0"/>
      <w:marTop w:val="0"/>
      <w:marBottom w:val="0"/>
      <w:divBdr>
        <w:top w:val="none" w:sz="0" w:space="0" w:color="auto"/>
        <w:left w:val="none" w:sz="0" w:space="0" w:color="auto"/>
        <w:bottom w:val="none" w:sz="0" w:space="0" w:color="auto"/>
        <w:right w:val="none" w:sz="0" w:space="0" w:color="auto"/>
      </w:divBdr>
    </w:div>
    <w:div w:id="1536308343">
      <w:bodyDiv w:val="1"/>
      <w:marLeft w:val="0"/>
      <w:marRight w:val="0"/>
      <w:marTop w:val="0"/>
      <w:marBottom w:val="0"/>
      <w:divBdr>
        <w:top w:val="none" w:sz="0" w:space="0" w:color="auto"/>
        <w:left w:val="none" w:sz="0" w:space="0" w:color="auto"/>
        <w:bottom w:val="none" w:sz="0" w:space="0" w:color="auto"/>
        <w:right w:val="none" w:sz="0" w:space="0" w:color="auto"/>
      </w:divBdr>
    </w:div>
    <w:div w:id="1568108159">
      <w:bodyDiv w:val="1"/>
      <w:marLeft w:val="0"/>
      <w:marRight w:val="0"/>
      <w:marTop w:val="0"/>
      <w:marBottom w:val="0"/>
      <w:divBdr>
        <w:top w:val="none" w:sz="0" w:space="0" w:color="auto"/>
        <w:left w:val="none" w:sz="0" w:space="0" w:color="auto"/>
        <w:bottom w:val="none" w:sz="0" w:space="0" w:color="auto"/>
        <w:right w:val="none" w:sz="0" w:space="0" w:color="auto"/>
      </w:divBdr>
    </w:div>
    <w:div w:id="1585534784">
      <w:bodyDiv w:val="1"/>
      <w:marLeft w:val="0"/>
      <w:marRight w:val="0"/>
      <w:marTop w:val="0"/>
      <w:marBottom w:val="0"/>
      <w:divBdr>
        <w:top w:val="none" w:sz="0" w:space="0" w:color="auto"/>
        <w:left w:val="none" w:sz="0" w:space="0" w:color="auto"/>
        <w:bottom w:val="none" w:sz="0" w:space="0" w:color="auto"/>
        <w:right w:val="none" w:sz="0" w:space="0" w:color="auto"/>
      </w:divBdr>
    </w:div>
    <w:div w:id="1586260126">
      <w:bodyDiv w:val="1"/>
      <w:marLeft w:val="0"/>
      <w:marRight w:val="0"/>
      <w:marTop w:val="0"/>
      <w:marBottom w:val="0"/>
      <w:divBdr>
        <w:top w:val="none" w:sz="0" w:space="0" w:color="auto"/>
        <w:left w:val="none" w:sz="0" w:space="0" w:color="auto"/>
        <w:bottom w:val="none" w:sz="0" w:space="0" w:color="auto"/>
        <w:right w:val="none" w:sz="0" w:space="0" w:color="auto"/>
      </w:divBdr>
    </w:div>
    <w:div w:id="1591236043">
      <w:bodyDiv w:val="1"/>
      <w:marLeft w:val="0"/>
      <w:marRight w:val="0"/>
      <w:marTop w:val="0"/>
      <w:marBottom w:val="0"/>
      <w:divBdr>
        <w:top w:val="none" w:sz="0" w:space="0" w:color="auto"/>
        <w:left w:val="none" w:sz="0" w:space="0" w:color="auto"/>
        <w:bottom w:val="none" w:sz="0" w:space="0" w:color="auto"/>
        <w:right w:val="none" w:sz="0" w:space="0" w:color="auto"/>
      </w:divBdr>
    </w:div>
    <w:div w:id="1608003995">
      <w:bodyDiv w:val="1"/>
      <w:marLeft w:val="0"/>
      <w:marRight w:val="0"/>
      <w:marTop w:val="0"/>
      <w:marBottom w:val="0"/>
      <w:divBdr>
        <w:top w:val="none" w:sz="0" w:space="0" w:color="auto"/>
        <w:left w:val="none" w:sz="0" w:space="0" w:color="auto"/>
        <w:bottom w:val="none" w:sz="0" w:space="0" w:color="auto"/>
        <w:right w:val="none" w:sz="0" w:space="0" w:color="auto"/>
      </w:divBdr>
    </w:div>
    <w:div w:id="1610316242">
      <w:bodyDiv w:val="1"/>
      <w:marLeft w:val="0"/>
      <w:marRight w:val="0"/>
      <w:marTop w:val="0"/>
      <w:marBottom w:val="0"/>
      <w:divBdr>
        <w:top w:val="none" w:sz="0" w:space="0" w:color="auto"/>
        <w:left w:val="none" w:sz="0" w:space="0" w:color="auto"/>
        <w:bottom w:val="none" w:sz="0" w:space="0" w:color="auto"/>
        <w:right w:val="none" w:sz="0" w:space="0" w:color="auto"/>
      </w:divBdr>
    </w:div>
    <w:div w:id="1625690487">
      <w:bodyDiv w:val="1"/>
      <w:marLeft w:val="0"/>
      <w:marRight w:val="0"/>
      <w:marTop w:val="0"/>
      <w:marBottom w:val="0"/>
      <w:divBdr>
        <w:top w:val="none" w:sz="0" w:space="0" w:color="auto"/>
        <w:left w:val="none" w:sz="0" w:space="0" w:color="auto"/>
        <w:bottom w:val="none" w:sz="0" w:space="0" w:color="auto"/>
        <w:right w:val="none" w:sz="0" w:space="0" w:color="auto"/>
      </w:divBdr>
    </w:div>
    <w:div w:id="1652515071">
      <w:bodyDiv w:val="1"/>
      <w:marLeft w:val="0"/>
      <w:marRight w:val="0"/>
      <w:marTop w:val="0"/>
      <w:marBottom w:val="0"/>
      <w:divBdr>
        <w:top w:val="none" w:sz="0" w:space="0" w:color="auto"/>
        <w:left w:val="none" w:sz="0" w:space="0" w:color="auto"/>
        <w:bottom w:val="none" w:sz="0" w:space="0" w:color="auto"/>
        <w:right w:val="none" w:sz="0" w:space="0" w:color="auto"/>
      </w:divBdr>
    </w:div>
    <w:div w:id="1672639719">
      <w:bodyDiv w:val="1"/>
      <w:marLeft w:val="0"/>
      <w:marRight w:val="0"/>
      <w:marTop w:val="0"/>
      <w:marBottom w:val="0"/>
      <w:divBdr>
        <w:top w:val="none" w:sz="0" w:space="0" w:color="auto"/>
        <w:left w:val="none" w:sz="0" w:space="0" w:color="auto"/>
        <w:bottom w:val="none" w:sz="0" w:space="0" w:color="auto"/>
        <w:right w:val="none" w:sz="0" w:space="0" w:color="auto"/>
      </w:divBdr>
    </w:div>
    <w:div w:id="1685783644">
      <w:bodyDiv w:val="1"/>
      <w:marLeft w:val="0"/>
      <w:marRight w:val="0"/>
      <w:marTop w:val="0"/>
      <w:marBottom w:val="0"/>
      <w:divBdr>
        <w:top w:val="none" w:sz="0" w:space="0" w:color="auto"/>
        <w:left w:val="none" w:sz="0" w:space="0" w:color="auto"/>
        <w:bottom w:val="none" w:sz="0" w:space="0" w:color="auto"/>
        <w:right w:val="none" w:sz="0" w:space="0" w:color="auto"/>
      </w:divBdr>
    </w:div>
    <w:div w:id="1718161714">
      <w:bodyDiv w:val="1"/>
      <w:marLeft w:val="0"/>
      <w:marRight w:val="0"/>
      <w:marTop w:val="0"/>
      <w:marBottom w:val="0"/>
      <w:divBdr>
        <w:top w:val="none" w:sz="0" w:space="0" w:color="auto"/>
        <w:left w:val="none" w:sz="0" w:space="0" w:color="auto"/>
        <w:bottom w:val="none" w:sz="0" w:space="0" w:color="auto"/>
        <w:right w:val="none" w:sz="0" w:space="0" w:color="auto"/>
      </w:divBdr>
      <w:divsChild>
        <w:div w:id="2128498270">
          <w:marLeft w:val="547"/>
          <w:marRight w:val="0"/>
          <w:marTop w:val="200"/>
          <w:marBottom w:val="0"/>
          <w:divBdr>
            <w:top w:val="none" w:sz="0" w:space="0" w:color="auto"/>
            <w:left w:val="none" w:sz="0" w:space="0" w:color="auto"/>
            <w:bottom w:val="none" w:sz="0" w:space="0" w:color="auto"/>
            <w:right w:val="none" w:sz="0" w:space="0" w:color="auto"/>
          </w:divBdr>
        </w:div>
        <w:div w:id="1115370626">
          <w:marLeft w:val="547"/>
          <w:marRight w:val="0"/>
          <w:marTop w:val="200"/>
          <w:marBottom w:val="0"/>
          <w:divBdr>
            <w:top w:val="none" w:sz="0" w:space="0" w:color="auto"/>
            <w:left w:val="none" w:sz="0" w:space="0" w:color="auto"/>
            <w:bottom w:val="none" w:sz="0" w:space="0" w:color="auto"/>
            <w:right w:val="none" w:sz="0" w:space="0" w:color="auto"/>
          </w:divBdr>
        </w:div>
        <w:div w:id="412707738">
          <w:marLeft w:val="547"/>
          <w:marRight w:val="0"/>
          <w:marTop w:val="200"/>
          <w:marBottom w:val="0"/>
          <w:divBdr>
            <w:top w:val="none" w:sz="0" w:space="0" w:color="auto"/>
            <w:left w:val="none" w:sz="0" w:space="0" w:color="auto"/>
            <w:bottom w:val="none" w:sz="0" w:space="0" w:color="auto"/>
            <w:right w:val="none" w:sz="0" w:space="0" w:color="auto"/>
          </w:divBdr>
        </w:div>
        <w:div w:id="1107702886">
          <w:marLeft w:val="547"/>
          <w:marRight w:val="0"/>
          <w:marTop w:val="200"/>
          <w:marBottom w:val="0"/>
          <w:divBdr>
            <w:top w:val="none" w:sz="0" w:space="0" w:color="auto"/>
            <w:left w:val="none" w:sz="0" w:space="0" w:color="auto"/>
            <w:bottom w:val="none" w:sz="0" w:space="0" w:color="auto"/>
            <w:right w:val="none" w:sz="0" w:space="0" w:color="auto"/>
          </w:divBdr>
        </w:div>
        <w:div w:id="2005350507">
          <w:marLeft w:val="547"/>
          <w:marRight w:val="0"/>
          <w:marTop w:val="200"/>
          <w:marBottom w:val="0"/>
          <w:divBdr>
            <w:top w:val="none" w:sz="0" w:space="0" w:color="auto"/>
            <w:left w:val="none" w:sz="0" w:space="0" w:color="auto"/>
            <w:bottom w:val="none" w:sz="0" w:space="0" w:color="auto"/>
            <w:right w:val="none" w:sz="0" w:space="0" w:color="auto"/>
          </w:divBdr>
        </w:div>
        <w:div w:id="1819225086">
          <w:marLeft w:val="547"/>
          <w:marRight w:val="0"/>
          <w:marTop w:val="200"/>
          <w:marBottom w:val="0"/>
          <w:divBdr>
            <w:top w:val="none" w:sz="0" w:space="0" w:color="auto"/>
            <w:left w:val="none" w:sz="0" w:space="0" w:color="auto"/>
            <w:bottom w:val="none" w:sz="0" w:space="0" w:color="auto"/>
            <w:right w:val="none" w:sz="0" w:space="0" w:color="auto"/>
          </w:divBdr>
        </w:div>
        <w:div w:id="314721304">
          <w:marLeft w:val="547"/>
          <w:marRight w:val="0"/>
          <w:marTop w:val="200"/>
          <w:marBottom w:val="0"/>
          <w:divBdr>
            <w:top w:val="none" w:sz="0" w:space="0" w:color="auto"/>
            <w:left w:val="none" w:sz="0" w:space="0" w:color="auto"/>
            <w:bottom w:val="none" w:sz="0" w:space="0" w:color="auto"/>
            <w:right w:val="none" w:sz="0" w:space="0" w:color="auto"/>
          </w:divBdr>
        </w:div>
      </w:divsChild>
    </w:div>
    <w:div w:id="1737510226">
      <w:bodyDiv w:val="1"/>
      <w:marLeft w:val="0"/>
      <w:marRight w:val="0"/>
      <w:marTop w:val="0"/>
      <w:marBottom w:val="0"/>
      <w:divBdr>
        <w:top w:val="none" w:sz="0" w:space="0" w:color="auto"/>
        <w:left w:val="none" w:sz="0" w:space="0" w:color="auto"/>
        <w:bottom w:val="none" w:sz="0" w:space="0" w:color="auto"/>
        <w:right w:val="none" w:sz="0" w:space="0" w:color="auto"/>
      </w:divBdr>
    </w:div>
    <w:div w:id="1750931508">
      <w:bodyDiv w:val="1"/>
      <w:marLeft w:val="0"/>
      <w:marRight w:val="0"/>
      <w:marTop w:val="0"/>
      <w:marBottom w:val="0"/>
      <w:divBdr>
        <w:top w:val="none" w:sz="0" w:space="0" w:color="auto"/>
        <w:left w:val="none" w:sz="0" w:space="0" w:color="auto"/>
        <w:bottom w:val="none" w:sz="0" w:space="0" w:color="auto"/>
        <w:right w:val="none" w:sz="0" w:space="0" w:color="auto"/>
      </w:divBdr>
      <w:divsChild>
        <w:div w:id="409543285">
          <w:marLeft w:val="547"/>
          <w:marRight w:val="0"/>
          <w:marTop w:val="0"/>
          <w:marBottom w:val="0"/>
          <w:divBdr>
            <w:top w:val="none" w:sz="0" w:space="0" w:color="auto"/>
            <w:left w:val="none" w:sz="0" w:space="0" w:color="auto"/>
            <w:bottom w:val="none" w:sz="0" w:space="0" w:color="auto"/>
            <w:right w:val="none" w:sz="0" w:space="0" w:color="auto"/>
          </w:divBdr>
        </w:div>
      </w:divsChild>
    </w:div>
    <w:div w:id="1759474541">
      <w:bodyDiv w:val="1"/>
      <w:marLeft w:val="0"/>
      <w:marRight w:val="0"/>
      <w:marTop w:val="0"/>
      <w:marBottom w:val="0"/>
      <w:divBdr>
        <w:top w:val="none" w:sz="0" w:space="0" w:color="auto"/>
        <w:left w:val="none" w:sz="0" w:space="0" w:color="auto"/>
        <w:bottom w:val="none" w:sz="0" w:space="0" w:color="auto"/>
        <w:right w:val="none" w:sz="0" w:space="0" w:color="auto"/>
      </w:divBdr>
    </w:div>
    <w:div w:id="1786845925">
      <w:bodyDiv w:val="1"/>
      <w:marLeft w:val="0"/>
      <w:marRight w:val="0"/>
      <w:marTop w:val="0"/>
      <w:marBottom w:val="0"/>
      <w:divBdr>
        <w:top w:val="none" w:sz="0" w:space="0" w:color="auto"/>
        <w:left w:val="none" w:sz="0" w:space="0" w:color="auto"/>
        <w:bottom w:val="none" w:sz="0" w:space="0" w:color="auto"/>
        <w:right w:val="none" w:sz="0" w:space="0" w:color="auto"/>
      </w:divBdr>
    </w:div>
    <w:div w:id="1879589351">
      <w:bodyDiv w:val="1"/>
      <w:marLeft w:val="0"/>
      <w:marRight w:val="0"/>
      <w:marTop w:val="0"/>
      <w:marBottom w:val="0"/>
      <w:divBdr>
        <w:top w:val="none" w:sz="0" w:space="0" w:color="auto"/>
        <w:left w:val="none" w:sz="0" w:space="0" w:color="auto"/>
        <w:bottom w:val="none" w:sz="0" w:space="0" w:color="auto"/>
        <w:right w:val="none" w:sz="0" w:space="0" w:color="auto"/>
      </w:divBdr>
    </w:div>
    <w:div w:id="1884058316">
      <w:bodyDiv w:val="1"/>
      <w:marLeft w:val="0"/>
      <w:marRight w:val="0"/>
      <w:marTop w:val="0"/>
      <w:marBottom w:val="0"/>
      <w:divBdr>
        <w:top w:val="none" w:sz="0" w:space="0" w:color="auto"/>
        <w:left w:val="none" w:sz="0" w:space="0" w:color="auto"/>
        <w:bottom w:val="none" w:sz="0" w:space="0" w:color="auto"/>
        <w:right w:val="none" w:sz="0" w:space="0" w:color="auto"/>
      </w:divBdr>
    </w:div>
    <w:div w:id="1889797145">
      <w:bodyDiv w:val="1"/>
      <w:marLeft w:val="0"/>
      <w:marRight w:val="0"/>
      <w:marTop w:val="0"/>
      <w:marBottom w:val="0"/>
      <w:divBdr>
        <w:top w:val="none" w:sz="0" w:space="0" w:color="auto"/>
        <w:left w:val="none" w:sz="0" w:space="0" w:color="auto"/>
        <w:bottom w:val="none" w:sz="0" w:space="0" w:color="auto"/>
        <w:right w:val="none" w:sz="0" w:space="0" w:color="auto"/>
      </w:divBdr>
    </w:div>
    <w:div w:id="1900895321">
      <w:bodyDiv w:val="1"/>
      <w:marLeft w:val="0"/>
      <w:marRight w:val="0"/>
      <w:marTop w:val="0"/>
      <w:marBottom w:val="0"/>
      <w:divBdr>
        <w:top w:val="none" w:sz="0" w:space="0" w:color="auto"/>
        <w:left w:val="none" w:sz="0" w:space="0" w:color="auto"/>
        <w:bottom w:val="none" w:sz="0" w:space="0" w:color="auto"/>
        <w:right w:val="none" w:sz="0" w:space="0" w:color="auto"/>
      </w:divBdr>
    </w:div>
    <w:div w:id="1920940718">
      <w:bodyDiv w:val="1"/>
      <w:marLeft w:val="0"/>
      <w:marRight w:val="0"/>
      <w:marTop w:val="0"/>
      <w:marBottom w:val="0"/>
      <w:divBdr>
        <w:top w:val="none" w:sz="0" w:space="0" w:color="auto"/>
        <w:left w:val="none" w:sz="0" w:space="0" w:color="auto"/>
        <w:bottom w:val="none" w:sz="0" w:space="0" w:color="auto"/>
        <w:right w:val="none" w:sz="0" w:space="0" w:color="auto"/>
      </w:divBdr>
    </w:div>
    <w:div w:id="1938127327">
      <w:bodyDiv w:val="1"/>
      <w:marLeft w:val="0"/>
      <w:marRight w:val="0"/>
      <w:marTop w:val="0"/>
      <w:marBottom w:val="0"/>
      <w:divBdr>
        <w:top w:val="none" w:sz="0" w:space="0" w:color="auto"/>
        <w:left w:val="none" w:sz="0" w:space="0" w:color="auto"/>
        <w:bottom w:val="none" w:sz="0" w:space="0" w:color="auto"/>
        <w:right w:val="none" w:sz="0" w:space="0" w:color="auto"/>
      </w:divBdr>
    </w:div>
    <w:div w:id="1944532815">
      <w:bodyDiv w:val="1"/>
      <w:marLeft w:val="0"/>
      <w:marRight w:val="0"/>
      <w:marTop w:val="0"/>
      <w:marBottom w:val="0"/>
      <w:divBdr>
        <w:top w:val="none" w:sz="0" w:space="0" w:color="auto"/>
        <w:left w:val="none" w:sz="0" w:space="0" w:color="auto"/>
        <w:bottom w:val="none" w:sz="0" w:space="0" w:color="auto"/>
        <w:right w:val="none" w:sz="0" w:space="0" w:color="auto"/>
      </w:divBdr>
    </w:div>
    <w:div w:id="1964920720">
      <w:bodyDiv w:val="1"/>
      <w:marLeft w:val="0"/>
      <w:marRight w:val="0"/>
      <w:marTop w:val="0"/>
      <w:marBottom w:val="0"/>
      <w:divBdr>
        <w:top w:val="none" w:sz="0" w:space="0" w:color="auto"/>
        <w:left w:val="none" w:sz="0" w:space="0" w:color="auto"/>
        <w:bottom w:val="none" w:sz="0" w:space="0" w:color="auto"/>
        <w:right w:val="none" w:sz="0" w:space="0" w:color="auto"/>
      </w:divBdr>
    </w:div>
    <w:div w:id="1981573451">
      <w:bodyDiv w:val="1"/>
      <w:marLeft w:val="0"/>
      <w:marRight w:val="0"/>
      <w:marTop w:val="0"/>
      <w:marBottom w:val="0"/>
      <w:divBdr>
        <w:top w:val="none" w:sz="0" w:space="0" w:color="auto"/>
        <w:left w:val="none" w:sz="0" w:space="0" w:color="auto"/>
        <w:bottom w:val="none" w:sz="0" w:space="0" w:color="auto"/>
        <w:right w:val="none" w:sz="0" w:space="0" w:color="auto"/>
      </w:divBdr>
    </w:div>
    <w:div w:id="1988048669">
      <w:bodyDiv w:val="1"/>
      <w:marLeft w:val="0"/>
      <w:marRight w:val="0"/>
      <w:marTop w:val="0"/>
      <w:marBottom w:val="0"/>
      <w:divBdr>
        <w:top w:val="none" w:sz="0" w:space="0" w:color="auto"/>
        <w:left w:val="none" w:sz="0" w:space="0" w:color="auto"/>
        <w:bottom w:val="none" w:sz="0" w:space="0" w:color="auto"/>
        <w:right w:val="none" w:sz="0" w:space="0" w:color="auto"/>
      </w:divBdr>
    </w:div>
    <w:div w:id="2002464024">
      <w:bodyDiv w:val="1"/>
      <w:marLeft w:val="0"/>
      <w:marRight w:val="0"/>
      <w:marTop w:val="0"/>
      <w:marBottom w:val="0"/>
      <w:divBdr>
        <w:top w:val="none" w:sz="0" w:space="0" w:color="auto"/>
        <w:left w:val="none" w:sz="0" w:space="0" w:color="auto"/>
        <w:bottom w:val="none" w:sz="0" w:space="0" w:color="auto"/>
        <w:right w:val="none" w:sz="0" w:space="0" w:color="auto"/>
      </w:divBdr>
    </w:div>
    <w:div w:id="2006467231">
      <w:bodyDiv w:val="1"/>
      <w:marLeft w:val="0"/>
      <w:marRight w:val="0"/>
      <w:marTop w:val="0"/>
      <w:marBottom w:val="0"/>
      <w:divBdr>
        <w:top w:val="none" w:sz="0" w:space="0" w:color="auto"/>
        <w:left w:val="none" w:sz="0" w:space="0" w:color="auto"/>
        <w:bottom w:val="none" w:sz="0" w:space="0" w:color="auto"/>
        <w:right w:val="none" w:sz="0" w:space="0" w:color="auto"/>
      </w:divBdr>
    </w:div>
    <w:div w:id="2016418330">
      <w:bodyDiv w:val="1"/>
      <w:marLeft w:val="0"/>
      <w:marRight w:val="0"/>
      <w:marTop w:val="0"/>
      <w:marBottom w:val="0"/>
      <w:divBdr>
        <w:top w:val="none" w:sz="0" w:space="0" w:color="auto"/>
        <w:left w:val="none" w:sz="0" w:space="0" w:color="auto"/>
        <w:bottom w:val="none" w:sz="0" w:space="0" w:color="auto"/>
        <w:right w:val="none" w:sz="0" w:space="0" w:color="auto"/>
      </w:divBdr>
    </w:div>
    <w:div w:id="2032954125">
      <w:bodyDiv w:val="1"/>
      <w:marLeft w:val="0"/>
      <w:marRight w:val="0"/>
      <w:marTop w:val="0"/>
      <w:marBottom w:val="0"/>
      <w:divBdr>
        <w:top w:val="none" w:sz="0" w:space="0" w:color="auto"/>
        <w:left w:val="none" w:sz="0" w:space="0" w:color="auto"/>
        <w:bottom w:val="none" w:sz="0" w:space="0" w:color="auto"/>
        <w:right w:val="none" w:sz="0" w:space="0" w:color="auto"/>
      </w:divBdr>
    </w:div>
    <w:div w:id="2051300818">
      <w:bodyDiv w:val="1"/>
      <w:marLeft w:val="0"/>
      <w:marRight w:val="0"/>
      <w:marTop w:val="0"/>
      <w:marBottom w:val="0"/>
      <w:divBdr>
        <w:top w:val="none" w:sz="0" w:space="0" w:color="auto"/>
        <w:left w:val="none" w:sz="0" w:space="0" w:color="auto"/>
        <w:bottom w:val="none" w:sz="0" w:space="0" w:color="auto"/>
        <w:right w:val="none" w:sz="0" w:space="0" w:color="auto"/>
      </w:divBdr>
    </w:div>
    <w:div w:id="2071464247">
      <w:bodyDiv w:val="1"/>
      <w:marLeft w:val="0"/>
      <w:marRight w:val="0"/>
      <w:marTop w:val="0"/>
      <w:marBottom w:val="0"/>
      <w:divBdr>
        <w:top w:val="none" w:sz="0" w:space="0" w:color="auto"/>
        <w:left w:val="none" w:sz="0" w:space="0" w:color="auto"/>
        <w:bottom w:val="none" w:sz="0" w:space="0" w:color="auto"/>
        <w:right w:val="none" w:sz="0" w:space="0" w:color="auto"/>
      </w:divBdr>
    </w:div>
    <w:div w:id="2076471330">
      <w:bodyDiv w:val="1"/>
      <w:marLeft w:val="0"/>
      <w:marRight w:val="0"/>
      <w:marTop w:val="0"/>
      <w:marBottom w:val="0"/>
      <w:divBdr>
        <w:top w:val="none" w:sz="0" w:space="0" w:color="auto"/>
        <w:left w:val="none" w:sz="0" w:space="0" w:color="auto"/>
        <w:bottom w:val="none" w:sz="0" w:space="0" w:color="auto"/>
        <w:right w:val="none" w:sz="0" w:space="0" w:color="auto"/>
      </w:divBdr>
    </w:div>
    <w:div w:id="2077163629">
      <w:bodyDiv w:val="1"/>
      <w:marLeft w:val="0"/>
      <w:marRight w:val="0"/>
      <w:marTop w:val="0"/>
      <w:marBottom w:val="0"/>
      <w:divBdr>
        <w:top w:val="none" w:sz="0" w:space="0" w:color="auto"/>
        <w:left w:val="none" w:sz="0" w:space="0" w:color="auto"/>
        <w:bottom w:val="none" w:sz="0" w:space="0" w:color="auto"/>
        <w:right w:val="none" w:sz="0" w:space="0" w:color="auto"/>
      </w:divBdr>
    </w:div>
    <w:div w:id="2083524829">
      <w:bodyDiv w:val="1"/>
      <w:marLeft w:val="0"/>
      <w:marRight w:val="0"/>
      <w:marTop w:val="0"/>
      <w:marBottom w:val="0"/>
      <w:divBdr>
        <w:top w:val="none" w:sz="0" w:space="0" w:color="auto"/>
        <w:left w:val="none" w:sz="0" w:space="0" w:color="auto"/>
        <w:bottom w:val="none" w:sz="0" w:space="0" w:color="auto"/>
        <w:right w:val="none" w:sz="0" w:space="0" w:color="auto"/>
      </w:divBdr>
    </w:div>
    <w:div w:id="2121292041">
      <w:bodyDiv w:val="1"/>
      <w:marLeft w:val="0"/>
      <w:marRight w:val="0"/>
      <w:marTop w:val="0"/>
      <w:marBottom w:val="0"/>
      <w:divBdr>
        <w:top w:val="none" w:sz="0" w:space="0" w:color="auto"/>
        <w:left w:val="none" w:sz="0" w:space="0" w:color="auto"/>
        <w:bottom w:val="none" w:sz="0" w:space="0" w:color="auto"/>
        <w:right w:val="none" w:sz="0" w:space="0" w:color="auto"/>
      </w:divBdr>
    </w:div>
    <w:div w:id="2123260324">
      <w:bodyDiv w:val="1"/>
      <w:marLeft w:val="0"/>
      <w:marRight w:val="0"/>
      <w:marTop w:val="0"/>
      <w:marBottom w:val="0"/>
      <w:divBdr>
        <w:top w:val="none" w:sz="0" w:space="0" w:color="auto"/>
        <w:left w:val="none" w:sz="0" w:space="0" w:color="auto"/>
        <w:bottom w:val="none" w:sz="0" w:space="0" w:color="auto"/>
        <w:right w:val="none" w:sz="0" w:space="0" w:color="auto"/>
      </w:divBdr>
    </w:div>
    <w:div w:id="2132819564">
      <w:bodyDiv w:val="1"/>
      <w:marLeft w:val="0"/>
      <w:marRight w:val="0"/>
      <w:marTop w:val="0"/>
      <w:marBottom w:val="0"/>
      <w:divBdr>
        <w:top w:val="none" w:sz="0" w:space="0" w:color="auto"/>
        <w:left w:val="none" w:sz="0" w:space="0" w:color="auto"/>
        <w:bottom w:val="none" w:sz="0" w:space="0" w:color="auto"/>
        <w:right w:val="none" w:sz="0" w:space="0" w:color="auto"/>
      </w:divBdr>
    </w:div>
    <w:div w:id="214650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baonlin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baonline.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amonitor.cz/kategorie/cba-hypomonito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baonline.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Vlastní 1">
      <a:majorFont>
        <a:latin typeface="Calibri Light"/>
        <a:ea typeface=""/>
        <a:cs typeface=""/>
      </a:majorFont>
      <a:minorFont>
        <a:latin typeface="Calibri Ligh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9F6F5-D843-4129-900A-FD170C2A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1084</Words>
  <Characters>6401</Characters>
  <Application>Microsoft Office Word</Application>
  <DocSecurity>0</DocSecurity>
  <Lines>53</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vlachova</dc:creator>
  <cp:lastModifiedBy>Duffek, Adam (ČBA)</cp:lastModifiedBy>
  <cp:revision>3</cp:revision>
  <cp:lastPrinted>2024-08-12T11:42:00Z</cp:lastPrinted>
  <dcterms:created xsi:type="dcterms:W3CDTF">2024-08-12T13:19:00Z</dcterms:created>
  <dcterms:modified xsi:type="dcterms:W3CDTF">2024-08-12T13:39:00Z</dcterms:modified>
</cp:coreProperties>
</file>