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549" w14:textId="2B153FEB" w:rsidR="0001227F" w:rsidRPr="00616069" w:rsidRDefault="0001227F" w:rsidP="0001227F">
      <w:pPr>
        <w:rPr>
          <w:rFonts w:ascii="Calibri" w:hAnsi="Calibri" w:cs="Calibri"/>
          <w:b/>
          <w:color w:val="13576B"/>
          <w:sz w:val="32"/>
          <w:szCs w:val="32"/>
        </w:rPr>
      </w:pPr>
      <w:bookmarkStart w:id="0" w:name="_Hlk111121205"/>
      <w:bookmarkStart w:id="1" w:name="_Hlk116472656"/>
      <w:r w:rsidRPr="00616069">
        <w:rPr>
          <w:rFonts w:ascii="Calibri" w:hAnsi="Calibri" w:cs="Calibri"/>
          <w:b/>
          <w:color w:val="13576B"/>
          <w:sz w:val="32"/>
          <w:szCs w:val="32"/>
        </w:rPr>
        <w:t xml:space="preserve">ČBA </w:t>
      </w:r>
      <w:proofErr w:type="spellStart"/>
      <w:r w:rsidRPr="00616069">
        <w:rPr>
          <w:rFonts w:ascii="Calibri" w:hAnsi="Calibri" w:cs="Calibri"/>
          <w:b/>
          <w:color w:val="13576B"/>
          <w:sz w:val="32"/>
          <w:szCs w:val="32"/>
        </w:rPr>
        <w:t>Hypomonitor</w:t>
      </w:r>
      <w:proofErr w:type="spellEnd"/>
      <w:r w:rsidR="008B5255" w:rsidRPr="00616069">
        <w:rPr>
          <w:rFonts w:ascii="Calibri" w:hAnsi="Calibri" w:cs="Calibri"/>
          <w:b/>
          <w:color w:val="13576B"/>
          <w:sz w:val="32"/>
          <w:szCs w:val="32"/>
        </w:rPr>
        <w:t>:</w:t>
      </w:r>
      <w:r w:rsidR="005E4132" w:rsidRPr="00616069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7C12F0" w:rsidRPr="00616069">
        <w:rPr>
          <w:rFonts w:ascii="Calibri" w:hAnsi="Calibri" w:cs="Calibri"/>
          <w:b/>
          <w:color w:val="13576B"/>
          <w:sz w:val="32"/>
          <w:szCs w:val="32"/>
        </w:rPr>
        <w:t xml:space="preserve">Hypoteční trh </w:t>
      </w:r>
      <w:r w:rsidR="00797D07" w:rsidRPr="00616069">
        <w:rPr>
          <w:rFonts w:ascii="Calibri" w:hAnsi="Calibri" w:cs="Calibri"/>
          <w:b/>
          <w:color w:val="13576B"/>
          <w:sz w:val="32"/>
          <w:szCs w:val="32"/>
        </w:rPr>
        <w:t xml:space="preserve">v únoru ožil, </w:t>
      </w:r>
      <w:r w:rsidR="00DE7DAF">
        <w:rPr>
          <w:rFonts w:ascii="Calibri" w:hAnsi="Calibri" w:cs="Calibri"/>
          <w:b/>
          <w:color w:val="13576B"/>
          <w:sz w:val="32"/>
          <w:szCs w:val="32"/>
        </w:rPr>
        <w:t>průměrná</w:t>
      </w:r>
      <w:r w:rsidR="00DE7DAF" w:rsidRPr="00616069">
        <w:rPr>
          <w:rFonts w:ascii="Calibri" w:hAnsi="Calibri" w:cs="Calibri"/>
          <w:b/>
          <w:color w:val="13576B"/>
          <w:sz w:val="32"/>
          <w:szCs w:val="32"/>
        </w:rPr>
        <w:t xml:space="preserve"> </w:t>
      </w:r>
      <w:r w:rsidR="00797D07" w:rsidRPr="00616069">
        <w:rPr>
          <w:rFonts w:ascii="Calibri" w:hAnsi="Calibri" w:cs="Calibri"/>
          <w:b/>
          <w:color w:val="13576B"/>
          <w:sz w:val="32"/>
          <w:szCs w:val="32"/>
        </w:rPr>
        <w:t>sazba pokles</w:t>
      </w:r>
      <w:r w:rsidR="00DE7DAF">
        <w:rPr>
          <w:rFonts w:ascii="Calibri" w:hAnsi="Calibri" w:cs="Calibri"/>
          <w:b/>
          <w:color w:val="13576B"/>
          <w:sz w:val="32"/>
          <w:szCs w:val="32"/>
        </w:rPr>
        <w:t>l</w:t>
      </w:r>
      <w:r w:rsidR="00797D07" w:rsidRPr="00616069">
        <w:rPr>
          <w:rFonts w:ascii="Calibri" w:hAnsi="Calibri" w:cs="Calibri"/>
          <w:b/>
          <w:color w:val="13576B"/>
          <w:sz w:val="32"/>
          <w:szCs w:val="32"/>
        </w:rPr>
        <w:t>a na 5,36 %</w:t>
      </w:r>
      <w:r w:rsidR="001259D2" w:rsidRPr="00616069">
        <w:rPr>
          <w:rFonts w:ascii="Calibri" w:hAnsi="Calibri" w:cs="Calibri"/>
          <w:b/>
          <w:color w:val="13576B"/>
          <w:sz w:val="32"/>
          <w:szCs w:val="32"/>
        </w:rPr>
        <w:t>, je nejníž od června 2022.</w:t>
      </w:r>
    </w:p>
    <w:bookmarkEnd w:id="0"/>
    <w:p w14:paraId="5E7258BB" w14:textId="77777777" w:rsidR="0001227F" w:rsidRPr="00616069" w:rsidRDefault="0001227F" w:rsidP="0001227F">
      <w:pPr>
        <w:rPr>
          <w:rFonts w:ascii="Calibri" w:hAnsi="Calibri" w:cs="Calibri"/>
          <w:b/>
          <w:bCs/>
        </w:rPr>
      </w:pPr>
    </w:p>
    <w:p w14:paraId="44CE3940" w14:textId="41ACBF48" w:rsidR="0001227F" w:rsidRPr="00616069" w:rsidRDefault="000C12F1" w:rsidP="0001227F">
      <w:pPr>
        <w:rPr>
          <w:rFonts w:ascii="Calibri" w:hAnsi="Calibri" w:cs="Calibri"/>
          <w:b/>
          <w:color w:val="13576B"/>
          <w:sz w:val="22"/>
          <w:szCs w:val="22"/>
        </w:rPr>
      </w:pPr>
      <w:bookmarkStart w:id="2" w:name="_Hlk111121194"/>
      <w:r w:rsidRPr="00616069">
        <w:rPr>
          <w:rFonts w:ascii="Calibri" w:hAnsi="Calibri" w:cs="Calibri"/>
          <w:b/>
          <w:color w:val="13576B"/>
          <w:sz w:val="22"/>
          <w:szCs w:val="22"/>
        </w:rPr>
        <w:t>Praha, 1</w:t>
      </w:r>
      <w:r w:rsidR="007E2A76" w:rsidRPr="00616069">
        <w:rPr>
          <w:rFonts w:ascii="Calibri" w:hAnsi="Calibri" w:cs="Calibri"/>
          <w:b/>
          <w:color w:val="13576B"/>
          <w:sz w:val="22"/>
          <w:szCs w:val="22"/>
        </w:rPr>
        <w:t>4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.</w:t>
      </w:r>
      <w:r w:rsidR="00B96FD4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797D07" w:rsidRPr="00616069">
        <w:rPr>
          <w:rFonts w:ascii="Calibri" w:hAnsi="Calibri" w:cs="Calibri"/>
          <w:b/>
          <w:color w:val="13576B"/>
          <w:sz w:val="22"/>
          <w:szCs w:val="22"/>
        </w:rPr>
        <w:t>března</w:t>
      </w:r>
      <w:r w:rsidR="007E2A76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>202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4</w:t>
      </w:r>
      <w:r w:rsidRPr="00616069">
        <w:rPr>
          <w:rFonts w:ascii="Calibri" w:hAnsi="Calibri" w:cs="Calibri"/>
          <w:b/>
          <w:color w:val="13576B"/>
          <w:sz w:val="22"/>
          <w:szCs w:val="22"/>
        </w:rPr>
        <w:t xml:space="preserve"> – </w:t>
      </w:r>
      <w:bookmarkEnd w:id="2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Banky a stavební spořitelny poskytly </w:t>
      </w:r>
      <w:r w:rsidR="00BC1D46" w:rsidRPr="00616069">
        <w:rPr>
          <w:rFonts w:ascii="Calibri" w:hAnsi="Calibri" w:cs="Calibri"/>
          <w:b/>
          <w:color w:val="13576B"/>
          <w:sz w:val="22"/>
          <w:szCs w:val="22"/>
        </w:rPr>
        <w:t>v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7908E2" w:rsidRPr="00616069">
        <w:rPr>
          <w:rFonts w:ascii="Calibri" w:hAnsi="Calibri" w:cs="Calibri"/>
          <w:b/>
          <w:color w:val="13576B"/>
          <w:sz w:val="22"/>
          <w:szCs w:val="22"/>
        </w:rPr>
        <w:t>únoru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letošního roku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hypoteční úvěry </w:t>
      </w:r>
      <w:r w:rsidR="009B18EB" w:rsidRPr="00616069">
        <w:rPr>
          <w:rFonts w:ascii="Calibri" w:hAnsi="Calibri" w:cs="Calibri"/>
          <w:b/>
          <w:color w:val="13576B"/>
          <w:sz w:val="22"/>
          <w:szCs w:val="22"/>
        </w:rPr>
        <w:t>z</w:t>
      </w:r>
      <w:r w:rsidR="00A42EEB" w:rsidRPr="00616069">
        <w:rPr>
          <w:rFonts w:ascii="Calibri" w:hAnsi="Calibri" w:cs="Calibri"/>
          <w:b/>
          <w:color w:val="13576B"/>
          <w:sz w:val="22"/>
          <w:szCs w:val="22"/>
        </w:rPr>
        <w:t>a</w:t>
      </w:r>
      <w:r w:rsidR="00124EF9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7908E2" w:rsidRPr="00616069">
        <w:rPr>
          <w:rFonts w:ascii="Calibri" w:hAnsi="Calibri" w:cs="Calibri"/>
          <w:b/>
          <w:color w:val="5B9BD5" w:themeColor="accent1"/>
          <w:sz w:val="22"/>
          <w:szCs w:val="22"/>
        </w:rPr>
        <w:t>15,8</w:t>
      </w:r>
      <w:r w:rsidR="00280F92" w:rsidRPr="00616069">
        <w:rPr>
          <w:rFonts w:ascii="Calibri" w:hAnsi="Calibri" w:cs="Calibri"/>
          <w:b/>
          <w:color w:val="5B9BD5" w:themeColor="accent1"/>
          <w:sz w:val="22"/>
          <w:szCs w:val="22"/>
        </w:rPr>
        <w:t> </w:t>
      </w:r>
      <w:r w:rsidR="00CA3B1F" w:rsidRPr="00616069">
        <w:rPr>
          <w:rFonts w:ascii="Calibri" w:hAnsi="Calibri" w:cs="Calibri"/>
          <w:b/>
          <w:color w:val="5B9BD5" w:themeColor="accent1"/>
          <w:sz w:val="22"/>
          <w:szCs w:val="22"/>
        </w:rPr>
        <w:t>mld.</w:t>
      </w:r>
      <w:r w:rsidR="00280F92" w:rsidRPr="00616069">
        <w:rPr>
          <w:rFonts w:ascii="Calibri" w:hAnsi="Calibri" w:cs="Calibri"/>
          <w:b/>
          <w:color w:val="5B9BD5" w:themeColor="accent1"/>
          <w:sz w:val="22"/>
          <w:szCs w:val="22"/>
        </w:rPr>
        <w:t> </w:t>
      </w:r>
      <w:r w:rsidR="00CA3B1F" w:rsidRPr="00616069">
        <w:rPr>
          <w:rFonts w:ascii="Calibri" w:hAnsi="Calibri" w:cs="Calibri"/>
          <w:b/>
          <w:color w:val="5B9BD5" w:themeColor="accent1"/>
          <w:sz w:val="22"/>
          <w:szCs w:val="22"/>
        </w:rPr>
        <w:t xml:space="preserve">Kč. </w:t>
      </w:r>
      <w:r w:rsidR="006002FC" w:rsidRPr="00616069">
        <w:rPr>
          <w:rFonts w:ascii="Calibri" w:hAnsi="Calibri" w:cs="Calibri"/>
          <w:b/>
          <w:color w:val="13576B"/>
          <w:sz w:val="22"/>
          <w:szCs w:val="22"/>
        </w:rPr>
        <w:t>Meziměsíčně objem poskytnutých hypoték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oproti </w:t>
      </w:r>
      <w:r w:rsidR="007908E2" w:rsidRPr="00616069">
        <w:rPr>
          <w:rFonts w:ascii="Calibri" w:hAnsi="Calibri" w:cs="Calibri"/>
          <w:b/>
          <w:color w:val="13576B"/>
          <w:sz w:val="22"/>
          <w:szCs w:val="22"/>
        </w:rPr>
        <w:t>lednu vzrostl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o</w:t>
      </w:r>
      <w:r w:rsidR="001259D2" w:rsidRPr="00616069">
        <w:rPr>
          <w:rFonts w:ascii="Calibri" w:hAnsi="Calibri" w:cs="Calibri"/>
          <w:b/>
          <w:color w:val="13576B"/>
          <w:sz w:val="22"/>
          <w:szCs w:val="22"/>
        </w:rPr>
        <w:t xml:space="preserve"> více než 20 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%</w:t>
      </w:r>
      <w:r w:rsidR="00B97971" w:rsidRPr="00616069">
        <w:rPr>
          <w:rFonts w:ascii="Calibri" w:hAnsi="Calibri" w:cs="Calibri"/>
          <w:b/>
          <w:color w:val="13576B"/>
          <w:sz w:val="22"/>
          <w:szCs w:val="22"/>
        </w:rPr>
        <w:t xml:space="preserve">. Nárůst </w:t>
      </w:r>
      <w:r w:rsidR="001259D2" w:rsidRPr="00616069">
        <w:rPr>
          <w:rFonts w:ascii="Calibri" w:hAnsi="Calibri" w:cs="Calibri"/>
          <w:b/>
          <w:color w:val="13576B"/>
          <w:sz w:val="22"/>
          <w:szCs w:val="22"/>
        </w:rPr>
        <w:t xml:space="preserve">únorové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aktivity na hypotečním trhu </w:t>
      </w:r>
      <w:r w:rsidR="00B97971" w:rsidRPr="00616069">
        <w:rPr>
          <w:rFonts w:ascii="Calibri" w:hAnsi="Calibri" w:cs="Calibri"/>
          <w:b/>
          <w:color w:val="13576B"/>
          <w:sz w:val="22"/>
          <w:szCs w:val="22"/>
        </w:rPr>
        <w:t xml:space="preserve">oproti lednu však bývá běžný, nicméně i po zohlednění tohoto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sezónního vlivu </w:t>
      </w:r>
      <w:r w:rsidR="00B97971" w:rsidRPr="00616069">
        <w:rPr>
          <w:rFonts w:ascii="Calibri" w:hAnsi="Calibri" w:cs="Calibri"/>
          <w:b/>
          <w:color w:val="13576B"/>
          <w:sz w:val="22"/>
          <w:szCs w:val="22"/>
        </w:rPr>
        <w:t xml:space="preserve">činil letošní meziměsíční nárůst bezmála 10 %. </w:t>
      </w:r>
      <w:r w:rsidR="009A702B" w:rsidRPr="00616069">
        <w:rPr>
          <w:rFonts w:ascii="Calibri" w:hAnsi="Calibri" w:cs="Calibri"/>
          <w:b/>
          <w:color w:val="13576B"/>
          <w:sz w:val="22"/>
          <w:szCs w:val="22"/>
        </w:rPr>
        <w:t>Z meziročního pohledu byl objem poskytnutých hypoték v</w:t>
      </w:r>
      <w:r w:rsidR="007C591A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>únoru</w:t>
      </w:r>
      <w:r w:rsidR="007C591A" w:rsidRPr="00616069">
        <w:rPr>
          <w:rFonts w:ascii="Calibri" w:hAnsi="Calibri" w:cs="Calibri"/>
          <w:b/>
          <w:color w:val="13576B"/>
          <w:sz w:val="22"/>
          <w:szCs w:val="22"/>
        </w:rPr>
        <w:t xml:space="preserve"> obdobně jako před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>ešlý</w:t>
      </w:r>
      <w:r w:rsidR="007C591A" w:rsidRPr="00616069">
        <w:rPr>
          <w:rFonts w:ascii="Calibri" w:hAnsi="Calibri" w:cs="Calibri"/>
          <w:b/>
          <w:color w:val="13576B"/>
          <w:sz w:val="22"/>
          <w:szCs w:val="22"/>
        </w:rPr>
        <w:t xml:space="preserve"> měsíc </w:t>
      </w:r>
      <w:r w:rsidR="00E20598" w:rsidRPr="00616069">
        <w:rPr>
          <w:rFonts w:ascii="Calibri" w:hAnsi="Calibri" w:cs="Calibri"/>
          <w:b/>
          <w:color w:val="13576B"/>
          <w:sz w:val="22"/>
          <w:szCs w:val="22"/>
        </w:rPr>
        <w:t xml:space="preserve">dvojnásobný, </w:t>
      </w:r>
      <w:r w:rsidR="007C591A" w:rsidRPr="00616069">
        <w:rPr>
          <w:rFonts w:ascii="Calibri" w:hAnsi="Calibri" w:cs="Calibri"/>
          <w:b/>
          <w:color w:val="13576B"/>
          <w:sz w:val="22"/>
          <w:szCs w:val="22"/>
        </w:rPr>
        <w:t xml:space="preserve">což souvisí 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 xml:space="preserve">především </w:t>
      </w:r>
      <w:r w:rsidR="007C591A" w:rsidRPr="00616069">
        <w:rPr>
          <w:rFonts w:ascii="Calibri" w:hAnsi="Calibri" w:cs="Calibri"/>
          <w:b/>
          <w:color w:val="13576B"/>
          <w:sz w:val="22"/>
          <w:szCs w:val="22"/>
        </w:rPr>
        <w:t>s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e stále</w:t>
      </w:r>
      <w:r w:rsidR="007C591A" w:rsidRPr="00616069">
        <w:rPr>
          <w:rFonts w:ascii="Calibri" w:hAnsi="Calibri" w:cs="Calibri"/>
          <w:b/>
          <w:color w:val="13576B"/>
          <w:sz w:val="22"/>
          <w:szCs w:val="22"/>
        </w:rPr>
        <w:t xml:space="preserve"> nízkou srovnávací základnou 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začátku minulého roku. Průměrná hypoteční sazba</w:t>
      </w:r>
      <w:r w:rsidR="008E27A7" w:rsidRPr="00616069">
        <w:rPr>
          <w:rFonts w:ascii="Calibri" w:hAnsi="Calibri" w:cs="Calibri"/>
          <w:b/>
          <w:color w:val="13576B"/>
          <w:sz w:val="22"/>
          <w:szCs w:val="22"/>
        </w:rPr>
        <w:t xml:space="preserve"> u nových úvěrů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v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 únoru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zrychlila svůj pokles a snížila se z 5,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>54</w:t>
      </w:r>
      <w:r w:rsidR="008B7162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% na 5,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>36</w:t>
      </w:r>
      <w:r w:rsidR="008B7162" w:rsidRPr="00616069">
        <w:rPr>
          <w:rFonts w:ascii="Calibri" w:hAnsi="Calibri" w:cs="Calibri"/>
          <w:b/>
          <w:color w:val="13576B"/>
          <w:sz w:val="22"/>
          <w:szCs w:val="22"/>
        </w:rPr>
        <w:t> 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%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>, což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je 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 xml:space="preserve">nejnižší hodnota od 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>čer</w:t>
      </w:r>
      <w:r w:rsidR="00616069">
        <w:rPr>
          <w:rFonts w:ascii="Calibri" w:hAnsi="Calibri" w:cs="Calibri"/>
          <w:b/>
          <w:color w:val="13576B"/>
          <w:sz w:val="22"/>
          <w:szCs w:val="22"/>
        </w:rPr>
        <w:t>v</w:t>
      </w:r>
      <w:r w:rsidR="004A31A7" w:rsidRPr="00616069">
        <w:rPr>
          <w:rFonts w:ascii="Calibri" w:hAnsi="Calibri" w:cs="Calibri"/>
          <w:b/>
          <w:color w:val="13576B"/>
          <w:sz w:val="22"/>
          <w:szCs w:val="22"/>
        </w:rPr>
        <w:t xml:space="preserve">na </w:t>
      </w:r>
      <w:r w:rsidR="008E4D1F" w:rsidRPr="00616069">
        <w:rPr>
          <w:rFonts w:ascii="Calibri" w:hAnsi="Calibri" w:cs="Calibri"/>
          <w:b/>
          <w:color w:val="13576B"/>
          <w:sz w:val="22"/>
          <w:szCs w:val="22"/>
        </w:rPr>
        <w:t>roku 2022</w:t>
      </w:r>
      <w:r w:rsidR="006F3620" w:rsidRPr="00616069">
        <w:rPr>
          <w:rFonts w:ascii="Calibri" w:hAnsi="Calibri" w:cs="Calibri"/>
          <w:b/>
          <w:color w:val="13576B"/>
          <w:sz w:val="22"/>
          <w:szCs w:val="22"/>
        </w:rPr>
        <w:t xml:space="preserve">.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Uvedené informace plynou z</w:t>
      </w:r>
      <w:r w:rsidR="0082687A" w:rsidRPr="00616069">
        <w:rPr>
          <w:rFonts w:ascii="Calibri" w:hAnsi="Calibri" w:cs="Calibri"/>
          <w:b/>
          <w:color w:val="13576B"/>
          <w:sz w:val="22"/>
          <w:szCs w:val="22"/>
        </w:rPr>
        <w:t xml:space="preserve"> údajů </w:t>
      </w:r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 xml:space="preserve">ČBA </w:t>
      </w:r>
      <w:proofErr w:type="spellStart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Hypomonitoru</w:t>
      </w:r>
      <w:proofErr w:type="spellEnd"/>
      <w:r w:rsidR="00CA3B1F" w:rsidRPr="00616069">
        <w:rPr>
          <w:rFonts w:ascii="Calibri" w:hAnsi="Calibri" w:cs="Calibri"/>
          <w:b/>
          <w:color w:val="13576B"/>
          <w:sz w:val="22"/>
          <w:szCs w:val="22"/>
        </w:rPr>
        <w:t>, který zachycuje data všech tuzemských bank a stavebních spořitelen poskytujících hypoteční úvěry.</w:t>
      </w:r>
      <w:r w:rsidR="00251163" w:rsidRPr="00616069">
        <w:rPr>
          <w:rFonts w:ascii="Calibri" w:hAnsi="Calibri" w:cs="Calibri"/>
          <w:b/>
          <w:color w:val="13576B"/>
          <w:sz w:val="22"/>
          <w:szCs w:val="22"/>
        </w:rPr>
        <w:t xml:space="preserve"> </w:t>
      </w:r>
    </w:p>
    <w:p w14:paraId="2341B0FD" w14:textId="77777777" w:rsidR="009450BA" w:rsidRPr="00616069" w:rsidRDefault="009450BA" w:rsidP="0001227F">
      <w:pPr>
        <w:rPr>
          <w:rFonts w:ascii="Calibri" w:hAnsi="Calibri" w:cs="Calibri"/>
          <w:b/>
          <w:color w:val="13576B"/>
          <w:sz w:val="22"/>
          <w:szCs w:val="22"/>
        </w:rPr>
      </w:pPr>
    </w:p>
    <w:p w14:paraId="20AA364A" w14:textId="44735DF7" w:rsidR="003C41DD" w:rsidRPr="00616069" w:rsidRDefault="009D674E" w:rsidP="00B14557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3" w:name="_Hlk119308342"/>
      <w:bookmarkStart w:id="4" w:name="_Hlk111121228"/>
      <w:r w:rsidRPr="00616069">
        <w:rPr>
          <w:rFonts w:ascii="Calibri" w:hAnsi="Calibri" w:cs="Calibri"/>
          <w:b/>
          <w:color w:val="13576B"/>
          <w:sz w:val="24"/>
          <w:szCs w:val="24"/>
        </w:rPr>
        <w:t>Objem po</w:t>
      </w:r>
      <w:r w:rsidR="00E733D4" w:rsidRPr="00616069">
        <w:rPr>
          <w:rFonts w:ascii="Calibri" w:hAnsi="Calibri" w:cs="Calibri"/>
          <w:b/>
          <w:color w:val="13576B"/>
          <w:sz w:val="24"/>
          <w:szCs w:val="24"/>
        </w:rPr>
        <w:t>s</w:t>
      </w:r>
      <w:r w:rsidRPr="00616069">
        <w:rPr>
          <w:rFonts w:ascii="Calibri" w:hAnsi="Calibri" w:cs="Calibri"/>
          <w:b/>
          <w:color w:val="13576B"/>
          <w:sz w:val="24"/>
          <w:szCs w:val="24"/>
        </w:rPr>
        <w:t>kytnutých hypoték</w:t>
      </w:r>
      <w:r w:rsidR="003C41DD" w:rsidRPr="00616069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r w:rsidR="00E20598" w:rsidRPr="00616069">
        <w:rPr>
          <w:rFonts w:ascii="Calibri" w:hAnsi="Calibri" w:cs="Calibri"/>
          <w:b/>
          <w:color w:val="13576B"/>
          <w:sz w:val="24"/>
          <w:szCs w:val="24"/>
        </w:rPr>
        <w:t xml:space="preserve">se </w:t>
      </w:r>
      <w:r w:rsidR="003C41DD" w:rsidRPr="00616069">
        <w:rPr>
          <w:rFonts w:ascii="Calibri" w:hAnsi="Calibri" w:cs="Calibri"/>
          <w:b/>
          <w:color w:val="13576B"/>
          <w:sz w:val="24"/>
          <w:szCs w:val="24"/>
        </w:rPr>
        <w:t>v</w:t>
      </w:r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 xml:space="preserve"> únoru </w:t>
      </w:r>
      <w:r w:rsidR="00E20598" w:rsidRPr="00616069">
        <w:rPr>
          <w:rFonts w:ascii="Calibri" w:hAnsi="Calibri" w:cs="Calibri"/>
          <w:b/>
          <w:color w:val="13576B"/>
          <w:sz w:val="24"/>
          <w:szCs w:val="24"/>
        </w:rPr>
        <w:t xml:space="preserve">oproti </w:t>
      </w:r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>lednu</w:t>
      </w:r>
      <w:r w:rsidR="00E20598" w:rsidRPr="00616069">
        <w:rPr>
          <w:rFonts w:ascii="Calibri" w:hAnsi="Calibri" w:cs="Calibri"/>
          <w:b/>
          <w:color w:val="13576B"/>
          <w:sz w:val="24"/>
          <w:szCs w:val="24"/>
        </w:rPr>
        <w:t xml:space="preserve"> </w:t>
      </w:r>
      <w:bookmarkStart w:id="5" w:name="_Hlk119308363"/>
      <w:bookmarkEnd w:id="3"/>
      <w:r w:rsidR="004A31A7" w:rsidRPr="00616069">
        <w:rPr>
          <w:rFonts w:ascii="Calibri" w:hAnsi="Calibri" w:cs="Calibri"/>
          <w:b/>
          <w:color w:val="13576B"/>
          <w:sz w:val="24"/>
          <w:szCs w:val="24"/>
        </w:rPr>
        <w:t>zvýšil</w:t>
      </w:r>
      <w:r w:rsidR="00616069">
        <w:rPr>
          <w:rFonts w:ascii="Calibri" w:hAnsi="Calibri" w:cs="Calibri"/>
          <w:b/>
          <w:color w:val="13576B"/>
          <w:sz w:val="24"/>
          <w:szCs w:val="24"/>
        </w:rPr>
        <w:t xml:space="preserve"> i nad rámec běžné sezónnosti</w:t>
      </w:r>
    </w:p>
    <w:p w14:paraId="6BD050E4" w14:textId="0CB9100A" w:rsidR="00FF3E5C" w:rsidRPr="00616069" w:rsidRDefault="00106451" w:rsidP="00B14557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>Banky a stavební spořitelny dle</w:t>
      </w:r>
      <w:r w:rsidR="00F852BE" w:rsidRPr="00616069">
        <w:rPr>
          <w:rFonts w:ascii="Calibri" w:hAnsi="Calibri" w:cs="Calibri"/>
          <w:sz w:val="22"/>
          <w:szCs w:val="22"/>
        </w:rPr>
        <w:t xml:space="preserve"> </w:t>
      </w:r>
      <w:r w:rsidRPr="00616069">
        <w:rPr>
          <w:rFonts w:ascii="Calibri" w:hAnsi="Calibri" w:cs="Calibri"/>
          <w:b/>
          <w:bCs/>
          <w:sz w:val="22"/>
          <w:szCs w:val="22"/>
        </w:rPr>
        <w:t xml:space="preserve">ČBA </w:t>
      </w:r>
      <w:proofErr w:type="spellStart"/>
      <w:r w:rsidRPr="00616069">
        <w:rPr>
          <w:rFonts w:ascii="Calibri" w:hAnsi="Calibri" w:cs="Calibri"/>
          <w:b/>
          <w:bCs/>
          <w:sz w:val="22"/>
          <w:szCs w:val="22"/>
        </w:rPr>
        <w:t>Hypomonitoru</w:t>
      </w:r>
      <w:proofErr w:type="spellEnd"/>
      <w:r w:rsidRPr="00616069">
        <w:rPr>
          <w:rFonts w:ascii="Calibri" w:hAnsi="Calibri" w:cs="Calibri"/>
          <w:sz w:val="22"/>
          <w:szCs w:val="22"/>
        </w:rPr>
        <w:t xml:space="preserve"> poskytly domácnostem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AE1BA9" w:rsidRPr="00616069">
        <w:rPr>
          <w:rFonts w:ascii="Calibri" w:hAnsi="Calibri" w:cs="Calibri"/>
          <w:sz w:val="22"/>
          <w:szCs w:val="22"/>
        </w:rPr>
        <w:t xml:space="preserve"> únoru </w:t>
      </w:r>
      <w:r w:rsidRPr="00616069">
        <w:rPr>
          <w:rFonts w:ascii="Calibri" w:hAnsi="Calibri" w:cs="Calibri"/>
          <w:sz w:val="22"/>
          <w:szCs w:val="22"/>
        </w:rPr>
        <w:t>hypotéky v</w:t>
      </w:r>
      <w:r w:rsidR="00BE4444" w:rsidRPr="00616069">
        <w:rPr>
          <w:rFonts w:ascii="Calibri" w:hAnsi="Calibri" w:cs="Calibri"/>
          <w:sz w:val="22"/>
          <w:szCs w:val="22"/>
        </w:rPr>
        <w:t> </w:t>
      </w:r>
      <w:r w:rsidRPr="00616069">
        <w:rPr>
          <w:rFonts w:ascii="Calibri" w:hAnsi="Calibri" w:cs="Calibri"/>
          <w:sz w:val="22"/>
          <w:szCs w:val="22"/>
        </w:rPr>
        <w:t>objemu</w:t>
      </w:r>
      <w:r w:rsidR="00BE4444" w:rsidRPr="00616069">
        <w:rPr>
          <w:rFonts w:ascii="Calibri" w:hAnsi="Calibri" w:cs="Calibri"/>
          <w:sz w:val="22"/>
          <w:szCs w:val="22"/>
        </w:rPr>
        <w:t xml:space="preserve"> </w:t>
      </w:r>
      <w:r w:rsidR="00E20598" w:rsidRPr="00616069">
        <w:rPr>
          <w:rFonts w:ascii="Calibri" w:hAnsi="Calibri" w:cs="Calibri"/>
          <w:b/>
          <w:bCs/>
          <w:sz w:val="22"/>
          <w:szCs w:val="22"/>
        </w:rPr>
        <w:t>1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>5,8</w:t>
      </w:r>
      <w:r w:rsidR="00B230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16069">
        <w:rPr>
          <w:rFonts w:ascii="Calibri" w:hAnsi="Calibri" w:cs="Calibri"/>
          <w:b/>
          <w:bCs/>
          <w:sz w:val="22"/>
          <w:szCs w:val="22"/>
        </w:rPr>
        <w:t>mld. Kč</w:t>
      </w:r>
      <w:bookmarkEnd w:id="5"/>
      <w:r w:rsidR="00E84DC4" w:rsidRPr="0061606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6090E" w:rsidRPr="00616069">
        <w:rPr>
          <w:rFonts w:ascii="Calibri" w:hAnsi="Calibri" w:cs="Calibri"/>
          <w:b/>
          <w:bCs/>
          <w:sz w:val="22"/>
          <w:szCs w:val="22"/>
        </w:rPr>
        <w:t xml:space="preserve">Objem poskytnutých hypoték tak </w:t>
      </w:r>
      <w:r w:rsidR="008811FC" w:rsidRPr="00616069">
        <w:rPr>
          <w:rFonts w:ascii="Calibri" w:hAnsi="Calibri" w:cs="Calibri"/>
          <w:b/>
          <w:bCs/>
          <w:sz w:val="22"/>
          <w:szCs w:val="22"/>
        </w:rPr>
        <w:t>meziměsíčně</w:t>
      </w:r>
      <w:r w:rsidR="00665E8C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59D2" w:rsidRPr="00616069">
        <w:rPr>
          <w:rFonts w:ascii="Calibri" w:hAnsi="Calibri" w:cs="Calibri"/>
          <w:b/>
          <w:bCs/>
          <w:sz w:val="22"/>
          <w:szCs w:val="22"/>
        </w:rPr>
        <w:t xml:space="preserve">vzrostl o 21 %. </w:t>
      </w:r>
      <w:bookmarkStart w:id="6" w:name="_Hlk119308385"/>
      <w:r w:rsidR="001259D2" w:rsidRPr="00616069">
        <w:rPr>
          <w:rFonts w:ascii="Calibri" w:hAnsi="Calibri" w:cs="Calibri"/>
          <w:b/>
          <w:bCs/>
          <w:sz w:val="22"/>
          <w:szCs w:val="22"/>
        </w:rPr>
        <w:t>Po zohlednění tradiční sezónnosti byl meziměsíční nárůst mírnější, ale i tak dosáhl necelých 10 %, což potvrzuje pokračující zotavování hypotečního trhu</w:t>
      </w:r>
      <w:r w:rsidR="008E27A7" w:rsidRPr="00616069">
        <w:rPr>
          <w:rFonts w:ascii="Calibri" w:hAnsi="Calibri" w:cs="Calibri"/>
          <w:b/>
          <w:bCs/>
          <w:sz w:val="22"/>
          <w:szCs w:val="22"/>
        </w:rPr>
        <w:t xml:space="preserve"> po jeho zamrznutí v druhé polovině roku 2022. </w:t>
      </w:r>
      <w:r w:rsidR="004A5C0E" w:rsidRPr="00616069">
        <w:rPr>
          <w:rFonts w:ascii="Calibri" w:hAnsi="Calibri" w:cs="Calibri"/>
          <w:sz w:val="22"/>
          <w:szCs w:val="22"/>
        </w:rPr>
        <w:t>Z meziročního pohledu</w:t>
      </w:r>
      <w:r w:rsidR="009C5A3E" w:rsidRPr="00616069">
        <w:rPr>
          <w:rFonts w:ascii="Calibri" w:hAnsi="Calibri" w:cs="Calibri"/>
          <w:sz w:val="22"/>
          <w:szCs w:val="22"/>
        </w:rPr>
        <w:t xml:space="preserve"> </w:t>
      </w:r>
      <w:r w:rsidR="009D7EFC" w:rsidRPr="00616069">
        <w:rPr>
          <w:rFonts w:ascii="Calibri" w:hAnsi="Calibri" w:cs="Calibri"/>
          <w:sz w:val="22"/>
          <w:szCs w:val="22"/>
        </w:rPr>
        <w:t>se</w:t>
      </w:r>
      <w:r w:rsidR="00B14557" w:rsidRPr="00616069">
        <w:rPr>
          <w:rFonts w:ascii="Calibri" w:hAnsi="Calibri" w:cs="Calibri"/>
          <w:sz w:val="22"/>
          <w:szCs w:val="22"/>
        </w:rPr>
        <w:t xml:space="preserve"> </w:t>
      </w:r>
      <w:r w:rsidR="001259D2" w:rsidRPr="00616069">
        <w:rPr>
          <w:rFonts w:ascii="Calibri" w:hAnsi="Calibri" w:cs="Calibri"/>
          <w:sz w:val="22"/>
          <w:szCs w:val="22"/>
        </w:rPr>
        <w:t xml:space="preserve">nadále projevuje </w:t>
      </w:r>
      <w:r w:rsidR="009D7EFC" w:rsidRPr="00616069">
        <w:rPr>
          <w:rFonts w:ascii="Calibri" w:hAnsi="Calibri" w:cs="Calibri"/>
          <w:sz w:val="22"/>
          <w:szCs w:val="22"/>
        </w:rPr>
        <w:t>vliv</w:t>
      </w:r>
      <w:r w:rsidR="004A5C0E" w:rsidRPr="00616069">
        <w:rPr>
          <w:rFonts w:ascii="Calibri" w:hAnsi="Calibri" w:cs="Calibri"/>
          <w:sz w:val="22"/>
          <w:szCs w:val="22"/>
        </w:rPr>
        <w:t xml:space="preserve"> nižší srovnávací základn</w:t>
      </w:r>
      <w:r w:rsidR="009D7EFC" w:rsidRPr="00616069">
        <w:rPr>
          <w:rFonts w:ascii="Calibri" w:hAnsi="Calibri" w:cs="Calibri"/>
          <w:sz w:val="22"/>
          <w:szCs w:val="22"/>
        </w:rPr>
        <w:t>y</w:t>
      </w:r>
      <w:r w:rsidR="006677D7" w:rsidRPr="00616069">
        <w:rPr>
          <w:rFonts w:ascii="Calibri" w:hAnsi="Calibri" w:cs="Calibri"/>
          <w:sz w:val="22"/>
          <w:szCs w:val="22"/>
        </w:rPr>
        <w:t xml:space="preserve">, kdy se data </w:t>
      </w:r>
      <w:r w:rsidR="00616069">
        <w:rPr>
          <w:rFonts w:ascii="Calibri" w:hAnsi="Calibri" w:cs="Calibri"/>
          <w:sz w:val="22"/>
          <w:szCs w:val="22"/>
        </w:rPr>
        <w:t xml:space="preserve">porovnávají </w:t>
      </w:r>
      <w:r w:rsidR="006677D7" w:rsidRPr="00616069">
        <w:rPr>
          <w:rFonts w:ascii="Calibri" w:hAnsi="Calibri" w:cs="Calibri"/>
          <w:sz w:val="22"/>
          <w:szCs w:val="22"/>
        </w:rPr>
        <w:t>s</w:t>
      </w:r>
      <w:r w:rsidR="00E20598" w:rsidRPr="00616069">
        <w:rPr>
          <w:rFonts w:ascii="Calibri" w:hAnsi="Calibri" w:cs="Calibri"/>
          <w:sz w:val="22"/>
          <w:szCs w:val="22"/>
        </w:rPr>
        <w:t>e stále relativně slabým začátkem loňského roku.</w:t>
      </w:r>
      <w:r w:rsidR="004A5C0E" w:rsidRPr="00616069">
        <w:rPr>
          <w:rFonts w:ascii="Calibri" w:hAnsi="Calibri" w:cs="Calibri"/>
          <w:sz w:val="22"/>
          <w:szCs w:val="22"/>
        </w:rPr>
        <w:t xml:space="preserve"> </w:t>
      </w:r>
      <w:r w:rsidR="004D23AD" w:rsidRPr="00616069">
        <w:rPr>
          <w:rFonts w:ascii="Calibri" w:hAnsi="Calibri" w:cs="Calibri"/>
          <w:sz w:val="22"/>
          <w:szCs w:val="22"/>
        </w:rPr>
        <w:t>O</w:t>
      </w:r>
      <w:r w:rsidR="009D7EFC" w:rsidRPr="00616069">
        <w:rPr>
          <w:rFonts w:ascii="Calibri" w:hAnsi="Calibri" w:cs="Calibri"/>
          <w:sz w:val="22"/>
          <w:szCs w:val="22"/>
        </w:rPr>
        <w:t xml:space="preserve">bjem hypoték </w:t>
      </w:r>
      <w:r w:rsidR="004A5C0E" w:rsidRPr="00616069">
        <w:rPr>
          <w:rFonts w:ascii="Calibri" w:hAnsi="Calibri" w:cs="Calibri"/>
          <w:sz w:val="22"/>
          <w:szCs w:val="22"/>
        </w:rPr>
        <w:t xml:space="preserve">z meziročního pohledu </w:t>
      </w:r>
      <w:r w:rsidR="00B14557" w:rsidRPr="00616069">
        <w:rPr>
          <w:rFonts w:ascii="Calibri" w:hAnsi="Calibri" w:cs="Calibri"/>
          <w:sz w:val="22"/>
          <w:szCs w:val="22"/>
        </w:rPr>
        <w:t xml:space="preserve">tak vzrostl </w:t>
      </w:r>
      <w:r w:rsidR="006F3620" w:rsidRPr="00616069">
        <w:rPr>
          <w:rFonts w:ascii="Calibri" w:hAnsi="Calibri" w:cs="Calibri"/>
          <w:sz w:val="22"/>
          <w:szCs w:val="22"/>
        </w:rPr>
        <w:t>v </w:t>
      </w:r>
      <w:r w:rsidR="001259D2" w:rsidRPr="00616069">
        <w:rPr>
          <w:rFonts w:ascii="Calibri" w:hAnsi="Calibri" w:cs="Calibri"/>
          <w:sz w:val="22"/>
          <w:szCs w:val="22"/>
        </w:rPr>
        <w:t>únoru</w:t>
      </w:r>
      <w:r w:rsidR="006F3620" w:rsidRPr="00616069">
        <w:rPr>
          <w:rFonts w:ascii="Calibri" w:hAnsi="Calibri" w:cs="Calibri"/>
          <w:sz w:val="22"/>
          <w:szCs w:val="22"/>
        </w:rPr>
        <w:t xml:space="preserve"> </w:t>
      </w:r>
      <w:r w:rsidR="004A5C0E" w:rsidRPr="00616069">
        <w:rPr>
          <w:rFonts w:ascii="Calibri" w:hAnsi="Calibri" w:cs="Calibri"/>
          <w:sz w:val="22"/>
          <w:szCs w:val="22"/>
        </w:rPr>
        <w:t>o</w:t>
      </w:r>
      <w:r w:rsidR="00E20598" w:rsidRPr="00616069">
        <w:rPr>
          <w:rFonts w:ascii="Calibri" w:hAnsi="Calibri" w:cs="Calibri"/>
          <w:sz w:val="22"/>
          <w:szCs w:val="22"/>
        </w:rPr>
        <w:t xml:space="preserve"> </w:t>
      </w:r>
      <w:r w:rsidR="001259D2" w:rsidRPr="00616069">
        <w:rPr>
          <w:rFonts w:ascii="Calibri" w:hAnsi="Calibri" w:cs="Calibri"/>
          <w:sz w:val="22"/>
          <w:szCs w:val="22"/>
        </w:rPr>
        <w:t>100</w:t>
      </w:r>
      <w:r w:rsidR="00E20598" w:rsidRPr="00616069">
        <w:rPr>
          <w:rFonts w:ascii="Calibri" w:hAnsi="Calibri" w:cs="Calibri"/>
          <w:sz w:val="22"/>
          <w:szCs w:val="22"/>
        </w:rPr>
        <w:t xml:space="preserve"> </w:t>
      </w:r>
      <w:r w:rsidR="00B14557" w:rsidRPr="00616069">
        <w:rPr>
          <w:rFonts w:ascii="Calibri" w:hAnsi="Calibri" w:cs="Calibri"/>
          <w:sz w:val="22"/>
          <w:szCs w:val="22"/>
        </w:rPr>
        <w:t>%</w:t>
      </w:r>
      <w:r w:rsidR="00F62CDB" w:rsidRPr="00616069">
        <w:rPr>
          <w:rFonts w:ascii="Calibri" w:hAnsi="Calibri" w:cs="Calibri"/>
          <w:sz w:val="22"/>
          <w:szCs w:val="22"/>
        </w:rPr>
        <w:t>.</w:t>
      </w:r>
      <w:r w:rsidR="006677D7" w:rsidRPr="00616069">
        <w:rPr>
          <w:rFonts w:ascii="Calibri" w:hAnsi="Calibri" w:cs="Calibri"/>
          <w:sz w:val="22"/>
          <w:szCs w:val="22"/>
        </w:rPr>
        <w:t xml:space="preserve"> </w:t>
      </w:r>
      <w:r w:rsidR="0077322C" w:rsidRPr="00616069">
        <w:rPr>
          <w:rFonts w:ascii="Calibri" w:hAnsi="Calibri" w:cs="Calibri"/>
          <w:sz w:val="22"/>
          <w:szCs w:val="22"/>
        </w:rPr>
        <w:t xml:space="preserve">I přes </w:t>
      </w:r>
      <w:r w:rsidR="006677D7" w:rsidRPr="00616069">
        <w:rPr>
          <w:rFonts w:ascii="Calibri" w:hAnsi="Calibri" w:cs="Calibri"/>
          <w:sz w:val="22"/>
          <w:szCs w:val="22"/>
        </w:rPr>
        <w:t>opticky velmi siln</w:t>
      </w:r>
      <w:r w:rsidR="00E20598" w:rsidRPr="00616069">
        <w:rPr>
          <w:rFonts w:ascii="Calibri" w:hAnsi="Calibri" w:cs="Calibri"/>
          <w:sz w:val="22"/>
          <w:szCs w:val="22"/>
        </w:rPr>
        <w:t>ý</w:t>
      </w:r>
      <w:r w:rsidR="006677D7" w:rsidRPr="00616069">
        <w:rPr>
          <w:rFonts w:ascii="Calibri" w:hAnsi="Calibri" w:cs="Calibri"/>
          <w:sz w:val="22"/>
          <w:szCs w:val="22"/>
        </w:rPr>
        <w:t xml:space="preserve"> meziroční růst</w:t>
      </w:r>
      <w:r w:rsidR="00E20598" w:rsidRPr="00616069">
        <w:rPr>
          <w:rFonts w:ascii="Calibri" w:hAnsi="Calibri" w:cs="Calibri"/>
          <w:sz w:val="22"/>
          <w:szCs w:val="22"/>
        </w:rPr>
        <w:t xml:space="preserve"> posledních měsíců</w:t>
      </w:r>
      <w:r w:rsidR="00F62CDB" w:rsidRPr="00616069">
        <w:rPr>
          <w:rFonts w:ascii="Calibri" w:hAnsi="Calibri" w:cs="Calibri"/>
          <w:sz w:val="22"/>
          <w:szCs w:val="22"/>
        </w:rPr>
        <w:t xml:space="preserve"> </w:t>
      </w:r>
      <w:r w:rsidR="00690FB6" w:rsidRPr="00616069">
        <w:rPr>
          <w:rFonts w:ascii="Calibri" w:hAnsi="Calibri" w:cs="Calibri"/>
          <w:sz w:val="22"/>
          <w:szCs w:val="22"/>
        </w:rPr>
        <w:t>zůstává</w:t>
      </w:r>
      <w:r w:rsidR="00E20598" w:rsidRPr="00616069">
        <w:rPr>
          <w:rFonts w:ascii="Calibri" w:hAnsi="Calibri" w:cs="Calibri"/>
          <w:sz w:val="22"/>
          <w:szCs w:val="22"/>
        </w:rPr>
        <w:t xml:space="preserve"> nadále</w:t>
      </w:r>
      <w:r w:rsidR="00690FB6" w:rsidRPr="00616069">
        <w:rPr>
          <w:rFonts w:ascii="Calibri" w:hAnsi="Calibri" w:cs="Calibri"/>
          <w:sz w:val="22"/>
          <w:szCs w:val="22"/>
        </w:rPr>
        <w:t xml:space="preserve"> </w:t>
      </w:r>
      <w:r w:rsidR="00B14557" w:rsidRPr="00616069">
        <w:rPr>
          <w:rFonts w:ascii="Calibri" w:hAnsi="Calibri" w:cs="Calibri"/>
          <w:sz w:val="22"/>
          <w:szCs w:val="22"/>
        </w:rPr>
        <w:t>objem hypoték</w:t>
      </w:r>
      <w:r w:rsidR="00E20598" w:rsidRPr="00616069">
        <w:rPr>
          <w:rFonts w:ascii="Calibri" w:hAnsi="Calibri" w:cs="Calibri"/>
          <w:sz w:val="22"/>
          <w:szCs w:val="22"/>
        </w:rPr>
        <w:t xml:space="preserve"> </w:t>
      </w:r>
      <w:r w:rsidR="00697FEB" w:rsidRPr="00616069">
        <w:rPr>
          <w:rFonts w:ascii="Calibri" w:hAnsi="Calibri" w:cs="Calibri"/>
          <w:sz w:val="22"/>
          <w:szCs w:val="22"/>
        </w:rPr>
        <w:t xml:space="preserve">ve srovnání s dobou před růstem úrokových sazeb </w:t>
      </w:r>
      <w:r w:rsidR="00E20598" w:rsidRPr="00616069">
        <w:rPr>
          <w:rFonts w:ascii="Calibri" w:hAnsi="Calibri" w:cs="Calibri"/>
          <w:sz w:val="22"/>
          <w:szCs w:val="22"/>
        </w:rPr>
        <w:t>slab</w:t>
      </w:r>
      <w:r w:rsidR="001259D2" w:rsidRPr="00616069">
        <w:rPr>
          <w:rFonts w:ascii="Calibri" w:hAnsi="Calibri" w:cs="Calibri"/>
          <w:sz w:val="22"/>
          <w:szCs w:val="22"/>
        </w:rPr>
        <w:t>ší</w:t>
      </w:r>
      <w:r w:rsidR="00E20598" w:rsidRPr="00616069">
        <w:rPr>
          <w:rFonts w:ascii="Calibri" w:hAnsi="Calibri" w:cs="Calibri"/>
          <w:sz w:val="22"/>
          <w:szCs w:val="22"/>
        </w:rPr>
        <w:t xml:space="preserve"> a</w:t>
      </w:r>
      <w:r w:rsidR="00616069">
        <w:rPr>
          <w:rFonts w:ascii="Calibri" w:hAnsi="Calibri" w:cs="Calibri"/>
          <w:sz w:val="22"/>
          <w:szCs w:val="22"/>
        </w:rPr>
        <w:t xml:space="preserve"> například </w:t>
      </w:r>
      <w:r w:rsidR="009C5A3E" w:rsidRPr="00616069">
        <w:rPr>
          <w:rFonts w:ascii="Calibri" w:hAnsi="Calibri" w:cs="Calibri"/>
          <w:sz w:val="22"/>
          <w:szCs w:val="22"/>
        </w:rPr>
        <w:t xml:space="preserve">o </w:t>
      </w:r>
      <w:r w:rsidR="001259D2" w:rsidRPr="00616069">
        <w:rPr>
          <w:rFonts w:ascii="Calibri" w:hAnsi="Calibri" w:cs="Calibri"/>
          <w:sz w:val="22"/>
          <w:szCs w:val="22"/>
        </w:rPr>
        <w:t>čtvrtinu</w:t>
      </w:r>
      <w:r w:rsidR="00E20598" w:rsidRPr="00616069">
        <w:rPr>
          <w:rFonts w:ascii="Calibri" w:hAnsi="Calibri" w:cs="Calibri"/>
          <w:sz w:val="22"/>
          <w:szCs w:val="22"/>
        </w:rPr>
        <w:t xml:space="preserve"> </w:t>
      </w:r>
      <w:r w:rsidR="009C5A3E" w:rsidRPr="00616069">
        <w:rPr>
          <w:rFonts w:ascii="Calibri" w:hAnsi="Calibri" w:cs="Calibri"/>
          <w:sz w:val="22"/>
          <w:szCs w:val="22"/>
        </w:rPr>
        <w:t xml:space="preserve">nižší než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E20598" w:rsidRPr="00616069">
        <w:rPr>
          <w:rFonts w:ascii="Calibri" w:hAnsi="Calibri" w:cs="Calibri"/>
          <w:sz w:val="22"/>
          <w:szCs w:val="22"/>
        </w:rPr>
        <w:t> </w:t>
      </w:r>
      <w:r w:rsidR="001259D2" w:rsidRPr="00616069">
        <w:rPr>
          <w:rFonts w:ascii="Calibri" w:hAnsi="Calibri" w:cs="Calibri"/>
          <w:sz w:val="22"/>
          <w:szCs w:val="22"/>
        </w:rPr>
        <w:t>únoru</w:t>
      </w:r>
      <w:r w:rsidR="00E20598" w:rsidRPr="00616069">
        <w:rPr>
          <w:rFonts w:ascii="Calibri" w:hAnsi="Calibri" w:cs="Calibri"/>
          <w:sz w:val="22"/>
          <w:szCs w:val="22"/>
        </w:rPr>
        <w:t xml:space="preserve"> </w:t>
      </w:r>
      <w:r w:rsidR="009C5A3E" w:rsidRPr="00616069">
        <w:rPr>
          <w:rFonts w:ascii="Calibri" w:hAnsi="Calibri" w:cs="Calibri"/>
          <w:sz w:val="22"/>
          <w:szCs w:val="22"/>
        </w:rPr>
        <w:t>roku 2020</w:t>
      </w:r>
      <w:bookmarkEnd w:id="6"/>
      <w:r w:rsidR="00E20598" w:rsidRPr="00616069">
        <w:rPr>
          <w:rFonts w:ascii="Calibri" w:hAnsi="Calibri" w:cs="Calibri"/>
          <w:sz w:val="22"/>
          <w:szCs w:val="22"/>
        </w:rPr>
        <w:t>.</w:t>
      </w:r>
    </w:p>
    <w:p w14:paraId="292F022E" w14:textId="77777777" w:rsidR="00616069" w:rsidRDefault="00616069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bookmarkStart w:id="7" w:name="_Hlk119308742"/>
    </w:p>
    <w:p w14:paraId="124D2D31" w14:textId="0875C5B9" w:rsidR="00F61FFC" w:rsidRPr="00616069" w:rsidRDefault="00EF1944" w:rsidP="00E908C6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CEF90" wp14:editId="596C1483">
                <wp:simplePos x="0" y="0"/>
                <wp:positionH relativeFrom="margin">
                  <wp:posOffset>-40760</wp:posOffset>
                </wp:positionH>
                <wp:positionV relativeFrom="paragraph">
                  <wp:posOffset>2563683</wp:posOffset>
                </wp:positionV>
                <wp:extent cx="6519545" cy="1009650"/>
                <wp:effectExtent l="0" t="0" r="14605" b="19050"/>
                <wp:wrapTopAndBottom/>
                <wp:docPr id="709082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1009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A8EFE" w14:textId="77777777" w:rsidR="00EF1944" w:rsidRPr="00616069" w:rsidRDefault="00EF1944" w:rsidP="00EF1944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„Vzhledem k vývoji inflace a úrokových sazeb na trhu lze očekávat pokračující pokles hypotečních sazeb, který bude zájem o hypotéky zvyšovat. Zároveň předpokládáme, že hypoteční trh může na konci druhého kvartálu oživit i blížící se termín účinnosti zákona o ÚVN, který se bude vztahovat na nové úvěry a úvěry po refixaci. Úvěry se pro klienty stanou dostupnějšími i díky uvolnění ukazatelů DTI a DSTI,“ </w:t>
                            </w: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uvádí Soňa Holíková, manažerka pro hypoteční úvěry mBank.</w:t>
                            </w:r>
                          </w:p>
                          <w:p w14:paraId="243C7CBE" w14:textId="77777777" w:rsidR="00EF1944" w:rsidRPr="00616069" w:rsidRDefault="00EF1944" w:rsidP="00EF1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CEF90" id="Rectangle 1" o:spid="_x0000_s1026" style="position:absolute;left:0;text-align:left;margin-left:-3.2pt;margin-top:201.85pt;width:513.35pt;height:79.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" fillcolor="white [3201]" strokecolor="black [3213]" strokeweight=".5pt">
                <v:textbox>
                  <w:txbxContent>
                    <w:p w14:paraId="42AA8EFE" w14:textId="77777777" w:rsidR="00EF1944" w:rsidRPr="00616069" w:rsidRDefault="00EF1944" w:rsidP="00EF1944">
                      <w:pPr>
                        <w:pStyle w:val="Normlnweb"/>
                        <w:spacing w:before="0" w:beforeAutospacing="0" w:after="0" w:afterAutospacing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„Vzhledem k vývoji inflace a úrokových sazeb na trhu lze očekávat pokračující pokles hypotečních sazeb, který bude zájem o hypotéky zvyšovat. Zároveň předpokládáme, že hypoteční trh může na konci druhého kvartálu oživit i blížící se termín účinnosti zákona o ÚVN, který se bude vztahovat na nové úvěry a úvěry po refixaci. Úvěry se pro klienty stanou dostupnějšími i díky uvolnění ukazatelů DTI a DSTI,“ </w:t>
                      </w:r>
                      <w:r w:rsidRPr="006160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uvádí Soňa Holíková, manažerka pro hypoteční úvěry mBank.</w:t>
                      </w:r>
                    </w:p>
                    <w:p w14:paraId="243C7CBE" w14:textId="77777777" w:rsidR="00EF1944" w:rsidRPr="00616069" w:rsidRDefault="00EF1944" w:rsidP="00EF1944"/>
                  </w:txbxContent>
                </v:textbox>
                <w10:wrap type="topAndBottom" anchorx="margin"/>
              </v:rect>
            </w:pict>
          </mc:Fallback>
        </mc:AlternateContent>
      </w:r>
      <w:r w:rsidR="006E04F7" w:rsidRPr="00616069">
        <w:rPr>
          <w:rFonts w:ascii="Calibri" w:hAnsi="Calibri" w:cs="Calibri"/>
          <w:b/>
          <w:color w:val="13576B"/>
          <w:sz w:val="23"/>
          <w:szCs w:val="23"/>
        </w:rPr>
        <w:t>Tabulka č. 1: Shrnutí objemu poskytnutých hypoték a průměrných úrokových sazeb za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797D07" w:rsidRPr="00616069">
        <w:rPr>
          <w:rFonts w:ascii="Calibri" w:hAnsi="Calibri" w:cs="Calibri"/>
          <w:b/>
          <w:color w:val="13576B"/>
          <w:sz w:val="23"/>
          <w:szCs w:val="23"/>
        </w:rPr>
        <w:t>únor</w:t>
      </w:r>
      <w:r w:rsidR="00037C17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6E04F7" w:rsidRPr="00616069">
        <w:rPr>
          <w:rFonts w:ascii="Calibri" w:hAnsi="Calibri" w:cs="Calibri"/>
          <w:b/>
          <w:color w:val="13576B"/>
          <w:sz w:val="23"/>
          <w:szCs w:val="23"/>
        </w:rPr>
        <w:t>202</w:t>
      </w:r>
      <w:r w:rsidR="003E393C" w:rsidRPr="00616069">
        <w:rPr>
          <w:rFonts w:ascii="Calibri" w:hAnsi="Calibri" w:cs="Calibri"/>
          <w:b/>
          <w:color w:val="13576B"/>
          <w:sz w:val="23"/>
          <w:szCs w:val="23"/>
        </w:rPr>
        <w:t>4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01"/>
        <w:gridCol w:w="960"/>
        <w:gridCol w:w="960"/>
      </w:tblGrid>
      <w:tr w:rsidR="006E04F7" w:rsidRPr="00616069" w14:paraId="17FF1971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325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A24DE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Objem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>(mld. Kč)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18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Počet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958C3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t>Sazba</w:t>
            </w:r>
            <w:r w:rsidRPr="00616069"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  <w:br/>
              <w:t xml:space="preserve"> (%)</w:t>
            </w:r>
          </w:p>
        </w:tc>
      </w:tr>
      <w:tr w:rsidR="006E04F7" w:rsidRPr="00616069" w14:paraId="07461CAA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7FCD68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E1F4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18F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DC471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13576B"/>
                <w:sz w:val="22"/>
                <w:szCs w:val="22"/>
              </w:rPr>
            </w:pPr>
          </w:p>
        </w:tc>
      </w:tr>
      <w:tr w:rsidR="00797D07" w:rsidRPr="00616069" w14:paraId="35D90BA7" w14:textId="77777777" w:rsidTr="00991D3E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C651BE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B166" w14:textId="70D377DC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8BEB" w14:textId="4C62AF9F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4 885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8592" w14:textId="46C3BA7C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5,35</w:t>
            </w:r>
          </w:p>
        </w:tc>
      </w:tr>
      <w:tr w:rsidR="00797D07" w:rsidRPr="00616069" w14:paraId="76C06795" w14:textId="77777777" w:rsidTr="00991D3E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bottom"/>
            <w:hideMark/>
          </w:tcPr>
          <w:p w14:paraId="62A0E8CC" w14:textId="77777777" w:rsidR="00797D07" w:rsidRPr="00616069" w:rsidRDefault="00797D07" w:rsidP="00797D07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Nové úvěry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520FBFDC" w14:textId="75ECD622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solid" w:color="DAF3EA" w:fill="C1F7E9"/>
            <w:noWrap/>
            <w:vAlign w:val="center"/>
            <w:hideMark/>
          </w:tcPr>
          <w:p w14:paraId="41404E63" w14:textId="1AAF4558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3 847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DAF3EA" w:fill="C1F7E9"/>
            <w:noWrap/>
            <w:vAlign w:val="center"/>
            <w:hideMark/>
          </w:tcPr>
          <w:p w14:paraId="5B0C0248" w14:textId="3B25981C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5,36</w:t>
            </w:r>
          </w:p>
        </w:tc>
      </w:tr>
      <w:tr w:rsidR="00797D07" w:rsidRPr="00616069" w14:paraId="6E865282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C0C1" w14:textId="77777777" w:rsidR="00797D07" w:rsidRPr="00616069" w:rsidRDefault="00797D07" w:rsidP="00797D07">
            <w:pPr>
              <w:overflowPunct/>
              <w:autoSpaceDE/>
              <w:autoSpaceDN/>
              <w:adjustRightInd/>
              <w:ind w:firstLineChars="200" w:firstLine="44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 toho: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8F3E" w14:textId="6FA7CA99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92348" w14:textId="0CDE286D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27E5" w14:textId="3A1DF51E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797D07" w:rsidRPr="00616069" w14:paraId="10DD8204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28A8" w14:textId="77777777" w:rsidR="00797D07" w:rsidRPr="00616069" w:rsidRDefault="00797D07" w:rsidP="00797D07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koupi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C905E" w14:textId="10B1E50D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5019" w14:textId="319A2ED1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3 038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A2C7" w14:textId="69E52465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5,35</w:t>
            </w:r>
          </w:p>
        </w:tc>
      </w:tr>
      <w:tr w:rsidR="00797D07" w:rsidRPr="00616069" w14:paraId="6815BAA0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17F24" w14:textId="77777777" w:rsidR="00797D07" w:rsidRPr="00616069" w:rsidRDefault="00797D07" w:rsidP="00797D07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na výstavbu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73796" w14:textId="4A394BAB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C2F1D" w14:textId="5940C98F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392A" w14:textId="399E82F5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5,34</w:t>
            </w:r>
          </w:p>
        </w:tc>
      </w:tr>
      <w:tr w:rsidR="00797D07" w:rsidRPr="00616069" w14:paraId="13F97586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A57913" w14:textId="77777777" w:rsidR="00797D07" w:rsidRPr="00616069" w:rsidRDefault="00797D07" w:rsidP="00797D07">
            <w:pPr>
              <w:overflowPunct/>
              <w:autoSpaceDE/>
              <w:autoSpaceDN/>
              <w:adjustRightInd/>
              <w:ind w:firstLineChars="300" w:firstLine="660"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ostatní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856C" w14:textId="191670FB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0EC" w14:textId="5CD61996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A1522" w14:textId="47BAC3A5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5,61</w:t>
            </w:r>
          </w:p>
        </w:tc>
      </w:tr>
      <w:tr w:rsidR="00797D07" w:rsidRPr="00616069" w14:paraId="219FB66B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43AF" w14:textId="77777777" w:rsidR="00797D07" w:rsidRPr="00616069" w:rsidRDefault="00797D07" w:rsidP="00797D07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z jiné instituce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7EA4" w14:textId="3B20B922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5343" w14:textId="604DF8A2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10A95" w14:textId="34A08D6F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5,27</w:t>
            </w:r>
          </w:p>
        </w:tc>
      </w:tr>
      <w:tr w:rsidR="00797D07" w:rsidRPr="00616069" w14:paraId="3D627EA7" w14:textId="77777777" w:rsidTr="002344B5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25FADF" w14:textId="77777777" w:rsidR="00797D07" w:rsidRPr="00616069" w:rsidRDefault="00797D07" w:rsidP="00797D07">
            <w:pPr>
              <w:overflowPunct/>
              <w:autoSpaceDE/>
              <w:autoSpaceDN/>
              <w:adjustRightInd/>
              <w:ind w:firstLineChars="100" w:firstLine="221"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Refinancované interně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5E1E0" w14:textId="60C0B04B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364C" w14:textId="793AB5FF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AFF57" w14:textId="10D918A1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5,40</w:t>
            </w:r>
          </w:p>
        </w:tc>
      </w:tr>
      <w:tr w:rsidR="006E04F7" w:rsidRPr="00616069" w14:paraId="763F0D46" w14:textId="77777777" w:rsidTr="00356809">
        <w:trPr>
          <w:trHeight w:val="30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1A28A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13576B"/>
                <w:sz w:val="20"/>
              </w:rPr>
            </w:pPr>
            <w:r w:rsidRPr="00616069">
              <w:rPr>
                <w:rFonts w:ascii="Calibri Light" w:hAnsi="Calibri Light" w:cs="Calibri Light"/>
                <w:color w:val="13576B"/>
                <w:sz w:val="20"/>
              </w:rPr>
              <w:t xml:space="preserve">Pramen: ČBA </w:t>
            </w:r>
            <w:proofErr w:type="spellStart"/>
            <w:r w:rsidRPr="00616069">
              <w:rPr>
                <w:rFonts w:ascii="Calibri Light" w:hAnsi="Calibri Light" w:cs="Calibri Light"/>
                <w:color w:val="13576B"/>
                <w:sz w:val="20"/>
              </w:rPr>
              <w:t>Hypomonitor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41C2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56BD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47165" w14:textId="77777777" w:rsidR="006E04F7" w:rsidRPr="00616069" w:rsidRDefault="006E04F7" w:rsidP="0035680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</w:tbl>
    <w:p w14:paraId="21076DCA" w14:textId="0074AD5B" w:rsidR="006E04F7" w:rsidRPr="00616069" w:rsidRDefault="006E04F7" w:rsidP="00863D31">
      <w:pPr>
        <w:rPr>
          <w:rFonts w:ascii="Calibri" w:hAnsi="Calibri" w:cs="Calibri"/>
          <w:b/>
          <w:bCs/>
          <w:sz w:val="22"/>
          <w:szCs w:val="22"/>
        </w:rPr>
      </w:pPr>
    </w:p>
    <w:p w14:paraId="27BA4ADE" w14:textId="466D9B13" w:rsidR="00237E0B" w:rsidRPr="00616069" w:rsidRDefault="00EF1944" w:rsidP="00237E0B">
      <w:pPr>
        <w:spacing w:before="120"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bCs/>
          <w:sz w:val="22"/>
          <w:szCs w:val="22"/>
        </w:rPr>
        <w:t>O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bjem skutečně nově poskytnutých hypoték bez refinancování v únoru dosáhl 13 mld. Kč po lednových 10,9 mld. Kč</w:t>
      </w:r>
      <w:r w:rsidR="00237E0B" w:rsidRPr="00616069">
        <w:rPr>
          <w:rFonts w:ascii="Calibri" w:hAnsi="Calibri" w:cs="Calibri"/>
          <w:sz w:val="22"/>
          <w:szCs w:val="22"/>
        </w:rPr>
        <w:t xml:space="preserve">. Jde tak o meziměsíční nárůst o 2,1 mld. Kč, tj. 20 %. Objem refinancovaných úvěrů (interně či z jiné instituce) </w:t>
      </w:r>
      <w:r w:rsidR="00237E0B" w:rsidRPr="00616069">
        <w:rPr>
          <w:rFonts w:ascii="Calibri" w:hAnsi="Calibri" w:cs="Calibri"/>
          <w:sz w:val="22"/>
          <w:szCs w:val="22"/>
        </w:rPr>
        <w:lastRenderedPageBreak/>
        <w:t xml:space="preserve">pak činil 2,8 mld. Kč oproti 2,1 mld. Kč o měsíc dříve. Podíl refinancovaných úvěrů na celkovém objemu poskytnutých hypoték činil v únoru 17,5 %, což je jen nepatrně nad průměrem loňského roku (17,2 %).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Počet nově poskytnutých hypoték dosáhl v únoru 3 850, což představuje 20% meziměsíční a 68% meziroční nárůst. Ve srovnání s únorem 2020 je </w:t>
      </w:r>
      <w:r w:rsidR="00616069">
        <w:rPr>
          <w:rFonts w:ascii="Calibri" w:hAnsi="Calibri" w:cs="Calibri"/>
          <w:b/>
          <w:bCs/>
          <w:sz w:val="22"/>
          <w:szCs w:val="22"/>
        </w:rPr>
        <w:t xml:space="preserve">však počet hypoték 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nižší o 37 %.</w:t>
      </w:r>
      <w:r w:rsidR="00237E0B" w:rsidRPr="00616069">
        <w:rPr>
          <w:rFonts w:ascii="Calibri" w:hAnsi="Calibri" w:cs="Calibri"/>
          <w:sz w:val="22"/>
          <w:szCs w:val="22"/>
        </w:rPr>
        <w:t xml:space="preserve"> Průměrný měsíční počet nových hypoték se v roce 2020 pohyboval kolem 6,7 tisíc a ve výjimečně silném roce 2021 pak </w:t>
      </w:r>
      <w:r w:rsidRPr="0061606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7CAF5" wp14:editId="0204BBC2">
                <wp:simplePos x="0" y="0"/>
                <wp:positionH relativeFrom="margin">
                  <wp:posOffset>-3175</wp:posOffset>
                </wp:positionH>
                <wp:positionV relativeFrom="paragraph">
                  <wp:posOffset>918450</wp:posOffset>
                </wp:positionV>
                <wp:extent cx="6519545" cy="840105"/>
                <wp:effectExtent l="0" t="0" r="14605" b="17145"/>
                <wp:wrapTopAndBottom/>
                <wp:docPr id="131929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45" cy="84010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0E52D" w14:textId="0FC0F220" w:rsidR="00EF1944" w:rsidRPr="00616069" w:rsidRDefault="004C593C" w:rsidP="00EF194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„</w:t>
                            </w:r>
                            <w:r w:rsidR="00EF1944" w:rsidRPr="0061606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Stavební spořitelny pokračují ve strategické spolupráci se Státním fondem životního prostředí. V lednu spuštěné dotační poradenství nově doplňuje i zvýhodněný úvěr k programu Oprav dům po babičce. Díky tomu očekáváme, že zájem o úvěry na energeticky úsporné bydlení v následujících měsících výrazně poroste,“</w:t>
                            </w:r>
                            <w:r w:rsidR="00EF1944" w:rsidRPr="006160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říká </w:t>
                            </w:r>
                            <w:r w:rsidR="00EF1944" w:rsidRPr="0061606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Libor Vošický, předseda představenstva Stavební spořitelny České spořitelny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7CAF5" id="_x0000_s1027" style="position:absolute;left:0;text-align:left;margin-left:-.25pt;margin-top:72.3pt;width:513.35pt;height:66.1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" fillcolor="white [3201]" strokecolor="black [3213]" strokeweight=".5pt">
                <v:textbox>
                  <w:txbxContent>
                    <w:p w14:paraId="5570E52D" w14:textId="0FC0F220" w:rsidR="00EF1944" w:rsidRPr="00616069" w:rsidRDefault="004C593C" w:rsidP="00EF19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„</w:t>
                      </w:r>
                      <w:r w:rsidR="00EF1944" w:rsidRPr="0061606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Stavební spořitelny pokračují ve strategické spolupráci se Státním fondem životního prostředí. V lednu spuštěné dotační poradenství nově doplňuje i zvýhodněný úvěr k programu Oprav dům po babičce. Díky tomu očekáváme, že zájem o úvěry na energeticky úsporné bydlení v následujících měsících výrazně poroste,“</w:t>
                      </w:r>
                      <w:r w:rsidR="00EF1944" w:rsidRPr="006160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říká </w:t>
                      </w:r>
                      <w:r w:rsidR="00EF1944" w:rsidRPr="0061606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Libor Vošický, předseda představenstva Stavební spořitelny České spořitelny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237E0B" w:rsidRPr="00616069">
        <w:rPr>
          <w:rFonts w:ascii="Calibri" w:hAnsi="Calibri" w:cs="Calibri"/>
          <w:sz w:val="22"/>
          <w:szCs w:val="22"/>
        </w:rPr>
        <w:t xml:space="preserve">dosahoval 9,5 tisíc. </w:t>
      </w:r>
    </w:p>
    <w:bookmarkEnd w:id="1"/>
    <w:bookmarkEnd w:id="4"/>
    <w:bookmarkEnd w:id="7"/>
    <w:p w14:paraId="0DBA45EF" w14:textId="525DE78B" w:rsidR="00237E0B" w:rsidRPr="00616069" w:rsidRDefault="00237E0B" w:rsidP="00A72C93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AE0CCC0" w14:textId="77CD3073" w:rsidR="00A72C93" w:rsidRPr="00616069" w:rsidRDefault="0000363D" w:rsidP="00A72C93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Průměrná hypoteční sazba</w:t>
      </w:r>
      <w:r w:rsidR="001102C6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856359" w:rsidRPr="00616069">
        <w:rPr>
          <w:rFonts w:ascii="Calibri" w:hAnsi="Calibri" w:cs="Calibri"/>
          <w:b/>
          <w:color w:val="13576B"/>
          <w:sz w:val="23"/>
          <w:szCs w:val="23"/>
        </w:rPr>
        <w:t>citelně</w:t>
      </w:r>
      <w:r w:rsidR="00DE7572" w:rsidRPr="00616069">
        <w:rPr>
          <w:rFonts w:ascii="Calibri" w:hAnsi="Calibri" w:cs="Calibri"/>
          <w:b/>
          <w:color w:val="13576B"/>
          <w:sz w:val="23"/>
          <w:szCs w:val="23"/>
        </w:rPr>
        <w:t xml:space="preserve"> zrychlila svůj pokles</w:t>
      </w:r>
      <w:r w:rsidR="0073142D" w:rsidRPr="00616069">
        <w:rPr>
          <w:rFonts w:ascii="Calibri" w:hAnsi="Calibri" w:cs="Calibri"/>
          <w:b/>
          <w:color w:val="13576B"/>
          <w:sz w:val="23"/>
          <w:szCs w:val="23"/>
        </w:rPr>
        <w:t xml:space="preserve"> 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a je nejnižší od čer</w:t>
      </w:r>
      <w:r w:rsidR="00EF1944" w:rsidRPr="00616069">
        <w:rPr>
          <w:rFonts w:ascii="Calibri" w:hAnsi="Calibri" w:cs="Calibri"/>
          <w:b/>
          <w:color w:val="13576B"/>
          <w:sz w:val="23"/>
          <w:szCs w:val="23"/>
        </w:rPr>
        <w:t>v</w:t>
      </w:r>
      <w:r w:rsidR="00237E0B" w:rsidRPr="00616069">
        <w:rPr>
          <w:rFonts w:ascii="Calibri" w:hAnsi="Calibri" w:cs="Calibri"/>
          <w:b/>
          <w:color w:val="13576B"/>
          <w:sz w:val="23"/>
          <w:szCs w:val="23"/>
        </w:rPr>
        <w:t>na 2022</w:t>
      </w:r>
    </w:p>
    <w:p w14:paraId="6602F780" w14:textId="5657DC6F" w:rsidR="00836C3B" w:rsidRPr="00616069" w:rsidRDefault="0001227F" w:rsidP="007826E0">
      <w:pPr>
        <w:rPr>
          <w:rFonts w:ascii="Calibri" w:hAnsi="Calibri" w:cs="Calibri"/>
          <w:sz w:val="22"/>
          <w:szCs w:val="22"/>
        </w:rPr>
      </w:pPr>
      <w:bookmarkStart w:id="8" w:name="_Hlk119309111"/>
      <w:r w:rsidRPr="00616069">
        <w:rPr>
          <w:rFonts w:ascii="Calibri" w:hAnsi="Calibri" w:cs="Calibri"/>
          <w:b/>
          <w:bCs/>
          <w:sz w:val="22"/>
          <w:szCs w:val="22"/>
        </w:rPr>
        <w:t>Úroková sazba u </w:t>
      </w:r>
      <w:r w:rsidR="00BD532D" w:rsidRPr="00616069">
        <w:rPr>
          <w:rFonts w:ascii="Calibri" w:hAnsi="Calibri" w:cs="Calibri"/>
          <w:b/>
          <w:bCs/>
          <w:sz w:val="22"/>
          <w:szCs w:val="22"/>
        </w:rPr>
        <w:t xml:space="preserve">skutečně </w:t>
      </w:r>
      <w:r w:rsidRPr="00616069">
        <w:rPr>
          <w:rFonts w:ascii="Calibri" w:hAnsi="Calibri" w:cs="Calibri"/>
          <w:b/>
          <w:bCs/>
          <w:sz w:val="22"/>
          <w:szCs w:val="22"/>
        </w:rPr>
        <w:t>nově poskytnutých hypotečních úvěrů</w:t>
      </w:r>
      <w:r w:rsidR="006C3F79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dále</w:t>
      </w:r>
      <w:r w:rsidR="0073142D" w:rsidRPr="00616069">
        <w:rPr>
          <w:rFonts w:ascii="Calibri" w:hAnsi="Calibri" w:cs="Calibri"/>
          <w:b/>
          <w:bCs/>
          <w:sz w:val="22"/>
          <w:szCs w:val="22"/>
        </w:rPr>
        <w:t xml:space="preserve"> poklesla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z 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lednových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>5,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54</w:t>
      </w:r>
      <w:r w:rsidR="0044352D" w:rsidRPr="00616069">
        <w:rPr>
          <w:rFonts w:ascii="Calibri" w:hAnsi="Calibri" w:cs="Calibri"/>
          <w:b/>
          <w:bCs/>
          <w:sz w:val="22"/>
          <w:szCs w:val="22"/>
        </w:rPr>
        <w:t xml:space="preserve"> %</w:t>
      </w:r>
      <w:r w:rsidR="00AE76A8" w:rsidRPr="006160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na 5,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>36</w:t>
      </w:r>
      <w:r w:rsidR="002F0118" w:rsidRPr="00616069">
        <w:rPr>
          <w:rFonts w:ascii="Calibri" w:hAnsi="Calibri" w:cs="Calibri"/>
          <w:b/>
          <w:bCs/>
          <w:sz w:val="22"/>
          <w:szCs w:val="22"/>
        </w:rPr>
        <w:t> %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, meziměsíční pokles o téměř </w:t>
      </w:r>
      <w:proofErr w:type="gramStart"/>
      <w:r w:rsidR="00237E0B" w:rsidRPr="00616069">
        <w:rPr>
          <w:rFonts w:ascii="Calibri" w:hAnsi="Calibri" w:cs="Calibri"/>
          <w:b/>
          <w:bCs/>
          <w:sz w:val="22"/>
          <w:szCs w:val="22"/>
        </w:rPr>
        <w:t>0,2 procentního</w:t>
      </w:r>
      <w:proofErr w:type="gramEnd"/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 bodu byl zatím nejvýraznější od začátku snižování sazeb v lo</w:t>
      </w:r>
      <w:r w:rsidR="00EF1944" w:rsidRPr="00616069">
        <w:rPr>
          <w:rFonts w:ascii="Calibri" w:hAnsi="Calibri" w:cs="Calibri"/>
          <w:b/>
          <w:bCs/>
          <w:sz w:val="22"/>
          <w:szCs w:val="22"/>
        </w:rPr>
        <w:t>ň</w:t>
      </w:r>
      <w:r w:rsidR="00237E0B" w:rsidRPr="00616069">
        <w:rPr>
          <w:rFonts w:ascii="Calibri" w:hAnsi="Calibri" w:cs="Calibri"/>
          <w:b/>
          <w:bCs/>
          <w:sz w:val="22"/>
          <w:szCs w:val="22"/>
        </w:rPr>
        <w:t xml:space="preserve">ském roce. </w:t>
      </w:r>
      <w:r w:rsidR="00DE7572" w:rsidRPr="00616069">
        <w:rPr>
          <w:rFonts w:ascii="Calibri" w:hAnsi="Calibri" w:cs="Calibri"/>
          <w:sz w:val="22"/>
          <w:szCs w:val="22"/>
        </w:rPr>
        <w:t>Tento vývoj jde na vru</w:t>
      </w:r>
      <w:r w:rsidR="00630506" w:rsidRPr="00616069">
        <w:rPr>
          <w:rFonts w:ascii="Calibri" w:hAnsi="Calibri" w:cs="Calibri"/>
          <w:sz w:val="22"/>
          <w:szCs w:val="22"/>
        </w:rPr>
        <w:t>b</w:t>
      </w:r>
      <w:r w:rsidR="00DE7572" w:rsidRPr="00616069">
        <w:rPr>
          <w:rFonts w:ascii="Calibri" w:hAnsi="Calibri" w:cs="Calibri"/>
          <w:sz w:val="22"/>
          <w:szCs w:val="22"/>
        </w:rPr>
        <w:t xml:space="preserve"> rychlejšímu </w:t>
      </w:r>
      <w:r w:rsidR="00C4196A" w:rsidRPr="00616069">
        <w:rPr>
          <w:rFonts w:ascii="Calibri" w:hAnsi="Calibri" w:cs="Calibri"/>
          <w:sz w:val="22"/>
          <w:szCs w:val="22"/>
        </w:rPr>
        <w:t>pokles</w:t>
      </w:r>
      <w:r w:rsidR="00DE7572" w:rsidRPr="00616069">
        <w:rPr>
          <w:rFonts w:ascii="Calibri" w:hAnsi="Calibri" w:cs="Calibri"/>
          <w:sz w:val="22"/>
          <w:szCs w:val="22"/>
        </w:rPr>
        <w:t>u</w:t>
      </w:r>
      <w:r w:rsidR="00C4196A" w:rsidRPr="00616069">
        <w:rPr>
          <w:rFonts w:ascii="Calibri" w:hAnsi="Calibri" w:cs="Calibri"/>
          <w:sz w:val="22"/>
          <w:szCs w:val="22"/>
        </w:rPr>
        <w:t xml:space="preserve"> tržních úrokových sazeb</w:t>
      </w:r>
      <w:r w:rsidR="00DE7572" w:rsidRPr="00616069">
        <w:rPr>
          <w:rFonts w:ascii="Calibri" w:hAnsi="Calibri" w:cs="Calibri"/>
          <w:sz w:val="22"/>
          <w:szCs w:val="22"/>
        </w:rPr>
        <w:t>, které se</w:t>
      </w:r>
      <w:r w:rsidR="00237E0B" w:rsidRPr="00616069">
        <w:rPr>
          <w:rFonts w:ascii="Calibri" w:hAnsi="Calibri" w:cs="Calibri"/>
          <w:sz w:val="22"/>
          <w:szCs w:val="22"/>
        </w:rPr>
        <w:t xml:space="preserve"> v posledních </w:t>
      </w:r>
      <w:r w:rsidR="00EF1944" w:rsidRPr="00616069">
        <w:rPr>
          <w:rFonts w:ascii="Calibri" w:hAnsi="Calibri" w:cs="Calibri"/>
          <w:sz w:val="22"/>
          <w:szCs w:val="22"/>
        </w:rPr>
        <w:t>měsících</w:t>
      </w:r>
      <w:r w:rsidR="00DE7572" w:rsidRPr="00616069">
        <w:rPr>
          <w:rFonts w:ascii="Calibri" w:hAnsi="Calibri" w:cs="Calibri"/>
          <w:sz w:val="22"/>
          <w:szCs w:val="22"/>
        </w:rPr>
        <w:t xml:space="preserve"> dostaly na nejnižší úrovně</w:t>
      </w:r>
      <w:r w:rsidR="00996911" w:rsidRPr="00616069">
        <w:rPr>
          <w:rFonts w:ascii="Calibri" w:hAnsi="Calibri" w:cs="Calibri"/>
          <w:sz w:val="22"/>
          <w:szCs w:val="22"/>
        </w:rPr>
        <w:t xml:space="preserve"> </w:t>
      </w:r>
      <w:r w:rsidR="00DE7572" w:rsidRPr="00616069">
        <w:rPr>
          <w:rFonts w:ascii="Calibri" w:hAnsi="Calibri" w:cs="Calibri"/>
          <w:sz w:val="22"/>
          <w:szCs w:val="22"/>
        </w:rPr>
        <w:t>od přelomu let 2021 a 2022</w:t>
      </w:r>
      <w:r w:rsidR="00996911" w:rsidRPr="00616069">
        <w:rPr>
          <w:rFonts w:ascii="Calibri" w:hAnsi="Calibri" w:cs="Calibri"/>
          <w:sz w:val="22"/>
          <w:szCs w:val="22"/>
        </w:rPr>
        <w:t xml:space="preserve"> v důsledku </w:t>
      </w:r>
      <w:r w:rsidR="00EF1944" w:rsidRPr="00616069">
        <w:rPr>
          <w:rFonts w:ascii="Calibri" w:hAnsi="Calibri" w:cs="Calibri"/>
          <w:sz w:val="22"/>
          <w:szCs w:val="22"/>
        </w:rPr>
        <w:t>sílícího očekávání</w:t>
      </w:r>
      <w:r w:rsidR="00996911" w:rsidRPr="00616069">
        <w:rPr>
          <w:rFonts w:ascii="Calibri" w:hAnsi="Calibri" w:cs="Calibri"/>
          <w:sz w:val="22"/>
          <w:szCs w:val="22"/>
        </w:rPr>
        <w:t xml:space="preserve"> poklesu sazeb ze strany centrálních bank</w:t>
      </w:r>
      <w:r w:rsidR="00DE7572" w:rsidRPr="00616069">
        <w:rPr>
          <w:rFonts w:ascii="Calibri" w:hAnsi="Calibri" w:cs="Calibri"/>
          <w:sz w:val="22"/>
          <w:szCs w:val="22"/>
        </w:rPr>
        <w:t>.</w:t>
      </w:r>
      <w:r w:rsidR="003522BD" w:rsidRPr="00616069">
        <w:rPr>
          <w:rFonts w:ascii="Calibri" w:hAnsi="Calibri" w:cs="Calibri"/>
          <w:sz w:val="22"/>
          <w:szCs w:val="22"/>
        </w:rPr>
        <w:t xml:space="preserve"> I přes uvedený </w:t>
      </w:r>
      <w:r w:rsidR="003A68A3" w:rsidRPr="00616069">
        <w:rPr>
          <w:rFonts w:ascii="Calibri" w:hAnsi="Calibri" w:cs="Calibri"/>
          <w:sz w:val="22"/>
          <w:szCs w:val="22"/>
        </w:rPr>
        <w:t xml:space="preserve">vývoj </w:t>
      </w:r>
      <w:r w:rsidR="003522BD" w:rsidRPr="00616069">
        <w:rPr>
          <w:rFonts w:ascii="Calibri" w:hAnsi="Calibri" w:cs="Calibri"/>
          <w:sz w:val="22"/>
          <w:szCs w:val="22"/>
        </w:rPr>
        <w:t xml:space="preserve">však zůstávají </w:t>
      </w:r>
      <w:r w:rsidR="003A68A3" w:rsidRPr="00616069">
        <w:rPr>
          <w:rFonts w:ascii="Calibri" w:hAnsi="Calibri" w:cs="Calibri"/>
          <w:sz w:val="22"/>
          <w:szCs w:val="22"/>
        </w:rPr>
        <w:t xml:space="preserve">hypoteční </w:t>
      </w:r>
      <w:r w:rsidR="003522BD" w:rsidRPr="00616069">
        <w:rPr>
          <w:rFonts w:ascii="Calibri" w:hAnsi="Calibri" w:cs="Calibri"/>
          <w:sz w:val="22"/>
          <w:szCs w:val="22"/>
        </w:rPr>
        <w:t xml:space="preserve">sazby </w:t>
      </w:r>
      <w:r w:rsidR="002F0118" w:rsidRPr="00616069">
        <w:rPr>
          <w:rFonts w:ascii="Calibri" w:hAnsi="Calibri" w:cs="Calibri"/>
          <w:sz w:val="22"/>
          <w:szCs w:val="22"/>
        </w:rPr>
        <w:t>z pohledu posledních dvou dekád nadprůměrně vysoké</w:t>
      </w:r>
      <w:bookmarkEnd w:id="8"/>
      <w:r w:rsidR="00996911" w:rsidRPr="00616069">
        <w:rPr>
          <w:rFonts w:ascii="Calibri" w:hAnsi="Calibri" w:cs="Calibri"/>
          <w:sz w:val="22"/>
          <w:szCs w:val="22"/>
        </w:rPr>
        <w:t>.</w:t>
      </w:r>
      <w:r w:rsidR="00CA3D0C">
        <w:rPr>
          <w:rFonts w:ascii="Calibri" w:hAnsi="Calibri" w:cs="Calibri"/>
          <w:sz w:val="22"/>
          <w:szCs w:val="22"/>
        </w:rPr>
        <w:t xml:space="preserve"> Na podobných či mírně vyšších úrovních se naposledy nacházely také v letech 2008 a 2009.</w:t>
      </w:r>
      <w:r w:rsidR="00996911" w:rsidRPr="00616069">
        <w:rPr>
          <w:rFonts w:ascii="Calibri" w:hAnsi="Calibri" w:cs="Calibri"/>
          <w:sz w:val="22"/>
          <w:szCs w:val="22"/>
        </w:rPr>
        <w:t xml:space="preserve">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 xml:space="preserve">Realizované úrokové </w:t>
      </w:r>
      <w:r w:rsidR="007768F5" w:rsidRPr="00616069">
        <w:rPr>
          <w:rFonts w:ascii="Calibri" w:hAnsi="Calibri" w:cs="Calibri"/>
          <w:b/>
          <w:bCs/>
          <w:sz w:val="22"/>
          <w:szCs w:val="22"/>
        </w:rPr>
        <w:t xml:space="preserve">sazby </w:t>
      </w:r>
      <w:r w:rsidR="001F2A1F" w:rsidRPr="00616069">
        <w:rPr>
          <w:rFonts w:ascii="Calibri" w:hAnsi="Calibri" w:cs="Calibri"/>
          <w:b/>
          <w:bCs/>
          <w:sz w:val="22"/>
          <w:szCs w:val="22"/>
        </w:rPr>
        <w:t>na rozdíl od cen nabídkových reflektují skutečnou reálnou úrokovou sazbu u podepsaných hypotečních smluv</w:t>
      </w:r>
      <w:r w:rsidR="00971EE1" w:rsidRPr="00616069">
        <w:rPr>
          <w:rFonts w:ascii="Calibri" w:hAnsi="Calibri" w:cs="Calibri"/>
          <w:b/>
          <w:bCs/>
          <w:sz w:val="22"/>
          <w:szCs w:val="22"/>
        </w:rPr>
        <w:t>.</w:t>
      </w:r>
      <w:r w:rsidR="005063FD" w:rsidRPr="00616069">
        <w:rPr>
          <w:rFonts w:ascii="Calibri" w:hAnsi="Calibri" w:cs="Calibri"/>
          <w:sz w:val="22"/>
          <w:szCs w:val="22"/>
        </w:rPr>
        <w:t xml:space="preserve"> </w:t>
      </w:r>
      <w:r w:rsidR="00AC7487" w:rsidRPr="00616069">
        <w:rPr>
          <w:rFonts w:ascii="Calibri" w:hAnsi="Calibri" w:cs="Calibri"/>
          <w:sz w:val="22"/>
          <w:szCs w:val="22"/>
        </w:rPr>
        <w:t>Nabídkové sazby</w:t>
      </w:r>
      <w:r w:rsidR="004F34F2" w:rsidRPr="00616069">
        <w:rPr>
          <w:rFonts w:ascii="Calibri" w:hAnsi="Calibri" w:cs="Calibri"/>
          <w:sz w:val="22"/>
          <w:szCs w:val="22"/>
        </w:rPr>
        <w:t xml:space="preserve"> </w:t>
      </w:r>
      <w:r w:rsidR="00727D29" w:rsidRPr="00616069">
        <w:rPr>
          <w:rFonts w:ascii="Calibri" w:hAnsi="Calibri" w:cs="Calibri"/>
          <w:sz w:val="22"/>
          <w:szCs w:val="22"/>
        </w:rPr>
        <w:t xml:space="preserve">se </w:t>
      </w:r>
      <w:r w:rsidR="00CA3D0C">
        <w:rPr>
          <w:rFonts w:ascii="Calibri" w:hAnsi="Calibri" w:cs="Calibri"/>
          <w:sz w:val="22"/>
          <w:szCs w:val="22"/>
        </w:rPr>
        <w:t xml:space="preserve">rovněž </w:t>
      </w:r>
      <w:r w:rsidR="00996911" w:rsidRPr="00616069">
        <w:rPr>
          <w:rFonts w:ascii="Calibri" w:hAnsi="Calibri" w:cs="Calibri"/>
          <w:sz w:val="22"/>
          <w:szCs w:val="22"/>
        </w:rPr>
        <w:t xml:space="preserve">v důsledku </w:t>
      </w:r>
      <w:r w:rsidR="00CA3D0C">
        <w:rPr>
          <w:rFonts w:ascii="Calibri" w:hAnsi="Calibri" w:cs="Calibri"/>
          <w:sz w:val="22"/>
          <w:szCs w:val="22"/>
        </w:rPr>
        <w:t xml:space="preserve">posledního </w:t>
      </w:r>
      <w:r w:rsidR="00996911" w:rsidRPr="00616069">
        <w:rPr>
          <w:rFonts w:ascii="Calibri" w:hAnsi="Calibri" w:cs="Calibri"/>
          <w:sz w:val="22"/>
          <w:szCs w:val="22"/>
        </w:rPr>
        <w:t xml:space="preserve">vývoje tržních úrokových sazeb dostaly </w:t>
      </w:r>
      <w:r w:rsidR="00237E0B" w:rsidRPr="00616069">
        <w:rPr>
          <w:rFonts w:ascii="Calibri" w:hAnsi="Calibri" w:cs="Calibri"/>
          <w:sz w:val="22"/>
          <w:szCs w:val="22"/>
        </w:rPr>
        <w:t xml:space="preserve">citelněji </w:t>
      </w:r>
      <w:r w:rsidR="00996911" w:rsidRPr="00616069">
        <w:rPr>
          <w:rFonts w:ascii="Calibri" w:hAnsi="Calibri" w:cs="Calibri"/>
          <w:sz w:val="22"/>
          <w:szCs w:val="22"/>
        </w:rPr>
        <w:t>pod</w:t>
      </w:r>
      <w:r w:rsidR="00C56832" w:rsidRPr="00616069">
        <w:rPr>
          <w:rFonts w:ascii="Calibri" w:hAnsi="Calibri" w:cs="Calibri"/>
          <w:sz w:val="22"/>
          <w:szCs w:val="22"/>
        </w:rPr>
        <w:t xml:space="preserve"> 6% hranic</w:t>
      </w:r>
      <w:r w:rsidR="00630506" w:rsidRPr="00616069">
        <w:rPr>
          <w:rFonts w:ascii="Calibri" w:hAnsi="Calibri" w:cs="Calibri"/>
          <w:sz w:val="22"/>
          <w:szCs w:val="22"/>
        </w:rPr>
        <w:t>i</w:t>
      </w:r>
      <w:r w:rsidR="00996911" w:rsidRPr="00616069">
        <w:rPr>
          <w:rFonts w:ascii="Calibri" w:hAnsi="Calibri" w:cs="Calibri"/>
          <w:sz w:val="22"/>
          <w:szCs w:val="22"/>
        </w:rPr>
        <w:t xml:space="preserve"> a v omezených případech se objevují i nabídky pod</w:t>
      </w:r>
      <w:r w:rsidR="00CA3D0C">
        <w:rPr>
          <w:rFonts w:ascii="Calibri" w:hAnsi="Calibri" w:cs="Calibri"/>
          <w:sz w:val="22"/>
          <w:szCs w:val="22"/>
        </w:rPr>
        <w:t xml:space="preserve"> úrovní </w:t>
      </w:r>
      <w:r w:rsidR="00996911" w:rsidRPr="00616069">
        <w:rPr>
          <w:rFonts w:ascii="Calibri" w:hAnsi="Calibri" w:cs="Calibri"/>
          <w:sz w:val="22"/>
          <w:szCs w:val="22"/>
        </w:rPr>
        <w:t>5</w:t>
      </w:r>
      <w:r w:rsidR="00CA3D0C">
        <w:rPr>
          <w:rFonts w:ascii="Calibri" w:hAnsi="Calibri" w:cs="Calibri"/>
          <w:sz w:val="22"/>
          <w:szCs w:val="22"/>
        </w:rPr>
        <w:t> </w:t>
      </w:r>
      <w:r w:rsidR="00996911" w:rsidRPr="00616069">
        <w:rPr>
          <w:rFonts w:ascii="Calibri" w:hAnsi="Calibri" w:cs="Calibri"/>
          <w:sz w:val="22"/>
          <w:szCs w:val="22"/>
        </w:rPr>
        <w:t>%</w:t>
      </w:r>
      <w:r w:rsidR="00237E0B" w:rsidRPr="00616069">
        <w:rPr>
          <w:rFonts w:ascii="Calibri" w:hAnsi="Calibri" w:cs="Calibri"/>
          <w:sz w:val="22"/>
          <w:szCs w:val="22"/>
        </w:rPr>
        <w:t>.</w:t>
      </w:r>
    </w:p>
    <w:p w14:paraId="270B6825" w14:textId="6B59A2B8" w:rsidR="00251393" w:rsidRPr="00616069" w:rsidRDefault="00251393" w:rsidP="007826E0">
      <w:pPr>
        <w:rPr>
          <w:rFonts w:ascii="Calibri" w:hAnsi="Calibri" w:cs="Calibri"/>
          <w:sz w:val="22"/>
          <w:szCs w:val="22"/>
        </w:rPr>
      </w:pPr>
    </w:p>
    <w:p w14:paraId="143AC275" w14:textId="3CB11BDD" w:rsidR="004F34F2" w:rsidRPr="00616069" w:rsidRDefault="0001656C" w:rsidP="009F2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Calibri" w:hAnsi="Calibri"/>
          <w:b/>
          <w:bCs/>
          <w:sz w:val="22"/>
        </w:rPr>
      </w:pPr>
      <w:r w:rsidRPr="00616069">
        <w:rPr>
          <w:rFonts w:ascii="Calibri" w:eastAsiaTheme="minorHAnsi" w:hAnsi="Calibri" w:cs="Calibri"/>
          <w:sz w:val="22"/>
          <w:szCs w:val="22"/>
        </w:rPr>
        <w:t>„</w:t>
      </w:r>
      <w:r w:rsidR="00940DF7" w:rsidRPr="00616069">
        <w:rPr>
          <w:rFonts w:ascii="Calibri" w:eastAsiaTheme="minorHAnsi" w:hAnsi="Calibri" w:cs="Calibri"/>
          <w:i/>
          <w:iCs/>
          <w:sz w:val="22"/>
          <w:szCs w:val="22"/>
        </w:rPr>
        <w:t>Úrokové sazby delších splatností</w:t>
      </w:r>
      <w:r w:rsidR="007F2054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 se </w:t>
      </w:r>
      <w:r w:rsidR="00F64FF5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v posledních měsících citelně snížily a dostaly se na nejnižší úroveň od přelomu let 2021 a 2022. Tento vývoj souvisel s očekáváním trhu ohledně rychlejšího </w:t>
      </w:r>
      <w:r w:rsidR="007F2054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poklesu sazeb hlavních centrálních bank včetně ČNB. </w:t>
      </w:r>
      <w:r w:rsidR="00CA3D0C">
        <w:rPr>
          <w:rFonts w:ascii="Calibri" w:eastAsiaTheme="minorHAnsi" w:hAnsi="Calibri" w:cs="Calibri"/>
          <w:i/>
          <w:iCs/>
          <w:sz w:val="22"/>
          <w:szCs w:val="22"/>
        </w:rPr>
        <w:t>Uvedený</w:t>
      </w:r>
      <w:r w:rsidR="00F64FF5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 vývoj otevírá prostor pro rychlejší </w:t>
      </w:r>
      <w:r w:rsidR="007F2054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pokles hypotečních sazeb, což </w:t>
      </w:r>
      <w:r w:rsidR="00F64FF5" w:rsidRPr="00616069">
        <w:rPr>
          <w:rFonts w:ascii="Calibri" w:eastAsiaTheme="minorHAnsi" w:hAnsi="Calibri" w:cs="Calibri"/>
          <w:i/>
          <w:iCs/>
          <w:sz w:val="22"/>
          <w:szCs w:val="22"/>
        </w:rPr>
        <w:t>naznačují již únorová</w:t>
      </w:r>
      <w:r w:rsidR="00EF1944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 čísla z hypotečního trhu, kdy realizovan</w:t>
      </w:r>
      <w:r w:rsidR="00CA3D0C">
        <w:rPr>
          <w:rFonts w:ascii="Calibri" w:eastAsiaTheme="minorHAnsi" w:hAnsi="Calibri" w:cs="Calibri"/>
          <w:i/>
          <w:iCs/>
          <w:sz w:val="22"/>
          <w:szCs w:val="22"/>
        </w:rPr>
        <w:t>á průměrná</w:t>
      </w:r>
      <w:r w:rsidR="00EF1944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 sazb</w:t>
      </w:r>
      <w:r w:rsidR="00562995">
        <w:rPr>
          <w:rFonts w:ascii="Calibri" w:eastAsiaTheme="minorHAnsi" w:hAnsi="Calibri" w:cs="Calibri"/>
          <w:i/>
          <w:iCs/>
          <w:sz w:val="22"/>
          <w:szCs w:val="22"/>
        </w:rPr>
        <w:t>a</w:t>
      </w:r>
      <w:r w:rsidR="00EF1944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 u uzavřených smluv meziměsíčně poklesl</w:t>
      </w:r>
      <w:r w:rsidR="00CA3D0C">
        <w:rPr>
          <w:rFonts w:ascii="Calibri" w:eastAsiaTheme="minorHAnsi" w:hAnsi="Calibri" w:cs="Calibri"/>
          <w:i/>
          <w:iCs/>
          <w:sz w:val="22"/>
          <w:szCs w:val="22"/>
        </w:rPr>
        <w:t>a</w:t>
      </w:r>
      <w:r w:rsidR="00EF1944" w:rsidRPr="00616069">
        <w:rPr>
          <w:rFonts w:ascii="Calibri" w:eastAsiaTheme="minorHAnsi" w:hAnsi="Calibri" w:cs="Calibri"/>
          <w:i/>
          <w:iCs/>
          <w:sz w:val="22"/>
          <w:szCs w:val="22"/>
        </w:rPr>
        <w:t xml:space="preserve"> nejrychleji od začátku loňského roku</w:t>
      </w:r>
      <w:r w:rsidR="00A36DDD" w:rsidRPr="00616069">
        <w:rPr>
          <w:rFonts w:ascii="Calibri" w:eastAsiaTheme="minorHAnsi" w:hAnsi="Calibri" w:cs="Calibri"/>
          <w:i/>
          <w:iCs/>
          <w:sz w:val="22"/>
          <w:szCs w:val="22"/>
        </w:rPr>
        <w:t>,</w:t>
      </w:r>
      <w:r w:rsidRPr="00616069">
        <w:rPr>
          <w:rFonts w:ascii="Calibri" w:eastAsiaTheme="minorHAnsi" w:hAnsi="Calibri" w:cs="Calibri"/>
          <w:sz w:val="22"/>
          <w:szCs w:val="22"/>
        </w:rPr>
        <w:t>“</w:t>
      </w:r>
      <w:r w:rsidR="0044352D" w:rsidRPr="00616069">
        <w:rPr>
          <w:rFonts w:ascii="Calibri" w:hAnsi="Calibri" w:cs="Calibri"/>
          <w:sz w:val="22"/>
          <w:szCs w:val="22"/>
        </w:rPr>
        <w:t xml:space="preserve"> </w:t>
      </w:r>
      <w:r w:rsidR="004F34F2" w:rsidRPr="00616069">
        <w:rPr>
          <w:rFonts w:ascii="Calibri" w:hAnsi="Calibri" w:cs="Calibri"/>
          <w:b/>
          <w:bCs/>
          <w:sz w:val="22"/>
          <w:szCs w:val="22"/>
        </w:rPr>
        <w:t>říká Jakub Seidler, hlavní ekonom České bankovní asociace</w:t>
      </w:r>
      <w:r w:rsidR="00136825" w:rsidRPr="00616069">
        <w:rPr>
          <w:rFonts w:ascii="Calibri" w:hAnsi="Calibri" w:cs="Calibri"/>
          <w:b/>
          <w:bCs/>
          <w:sz w:val="22"/>
          <w:szCs w:val="22"/>
        </w:rPr>
        <w:t>.</w:t>
      </w:r>
    </w:p>
    <w:p w14:paraId="4FE210EB" w14:textId="77777777" w:rsidR="00CA3D0C" w:rsidRDefault="00CA3D0C" w:rsidP="005874B8">
      <w:pPr>
        <w:spacing w:after="120"/>
        <w:rPr>
          <w:rFonts w:ascii="Calibri" w:hAnsi="Calibri" w:cs="Calibri"/>
          <w:b/>
          <w:color w:val="13576B"/>
          <w:sz w:val="23"/>
          <w:szCs w:val="23"/>
        </w:rPr>
      </w:pPr>
    </w:p>
    <w:p w14:paraId="6492840A" w14:textId="37B5AE07" w:rsidR="005874B8" w:rsidRPr="00616069" w:rsidRDefault="005874B8" w:rsidP="005874B8">
      <w:pPr>
        <w:spacing w:after="120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Graf č. 1: Průměrná hypoteční sazba – nové obchody</w:t>
      </w:r>
    </w:p>
    <w:p w14:paraId="63E0611A" w14:textId="2BD2E421" w:rsidR="005874B8" w:rsidRPr="00616069" w:rsidRDefault="00797D07" w:rsidP="005874B8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4868514" wp14:editId="52581978">
            <wp:extent cx="4320000" cy="2429206"/>
            <wp:effectExtent l="0" t="0" r="4445" b="9525"/>
            <wp:docPr id="1490687629" name="Picture 1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87629" name="Picture 1" descr="A graph of a number of data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2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0ABF" w14:textId="77777777" w:rsidR="005874B8" w:rsidRPr="00616069" w:rsidRDefault="005874B8" w:rsidP="005874B8">
      <w:pPr>
        <w:rPr>
          <w:rFonts w:ascii="Calibri" w:hAnsi="Calibri" w:cs="Calibri"/>
          <w:sz w:val="22"/>
          <w:szCs w:val="22"/>
        </w:rPr>
      </w:pPr>
    </w:p>
    <w:p w14:paraId="649D0E1D" w14:textId="263B5CBE" w:rsidR="00AC7487" w:rsidRPr="00616069" w:rsidRDefault="00AC7487" w:rsidP="00AB48D1">
      <w:pPr>
        <w:rPr>
          <w:rFonts w:ascii="Calibri" w:hAnsi="Calibri" w:cs="Calibri"/>
          <w:b/>
          <w:bCs/>
          <w:sz w:val="22"/>
          <w:szCs w:val="22"/>
        </w:rPr>
      </w:pPr>
      <w:bookmarkStart w:id="9" w:name="_Hlk137652102"/>
      <w:r w:rsidRPr="00616069">
        <w:rPr>
          <w:rFonts w:ascii="Calibri" w:hAnsi="Calibri" w:cs="Calibri"/>
          <w:sz w:val="22"/>
          <w:szCs w:val="22"/>
        </w:rPr>
        <w:lastRenderedPageBreak/>
        <w:t>Hypoteční sazby reagují s</w:t>
      </w:r>
      <w:r w:rsidR="00EF1944" w:rsidRPr="00616069">
        <w:rPr>
          <w:rFonts w:ascii="Calibri" w:hAnsi="Calibri" w:cs="Calibri"/>
          <w:sz w:val="22"/>
          <w:szCs w:val="22"/>
        </w:rPr>
        <w:t xml:space="preserve"> několikaměsíčním </w:t>
      </w:r>
      <w:r w:rsidRPr="00616069">
        <w:rPr>
          <w:rFonts w:ascii="Calibri" w:hAnsi="Calibri" w:cs="Calibri"/>
          <w:sz w:val="22"/>
          <w:szCs w:val="22"/>
        </w:rPr>
        <w:t xml:space="preserve">zpožděním především na vývoj tržních úrokových sazeb delších splatností. Promítá se do nich řada faktorů </w:t>
      </w:r>
      <w:r w:rsidRPr="00616069">
        <w:rPr>
          <w:rFonts w:ascii="Calibri" w:hAnsi="Calibri" w:cs="Calibri"/>
        </w:rPr>
        <w:t>–</w:t>
      </w:r>
      <w:r w:rsidRPr="00616069">
        <w:rPr>
          <w:rFonts w:ascii="Calibri" w:hAnsi="Calibri" w:cs="Calibri"/>
          <w:sz w:val="22"/>
          <w:szCs w:val="22"/>
        </w:rPr>
        <w:t xml:space="preserve"> nejen očekáváný vývoj základních sazeb ČNB, ale i výhled na inflaci, ekonomický vývoj či dynamika obdobných úrokových sazeb v zahraničí. </w:t>
      </w:r>
      <w:bookmarkStart w:id="10" w:name="_Hlk119309144"/>
      <w:r w:rsidRPr="00616069">
        <w:rPr>
          <w:rFonts w:ascii="Calibri" w:hAnsi="Calibri" w:cs="Calibri"/>
          <w:sz w:val="22"/>
          <w:szCs w:val="22"/>
        </w:rPr>
        <w:t>Zmíněné tržní úrokové sazby delších splatností</w:t>
      </w:r>
      <w:r w:rsidRPr="00616069">
        <w:rPr>
          <w:rStyle w:val="Znakapoznpodarou"/>
          <w:rFonts w:ascii="Calibri" w:hAnsi="Calibri" w:cs="Calibri"/>
          <w:i/>
          <w:iCs/>
          <w:sz w:val="22"/>
          <w:szCs w:val="22"/>
        </w:rPr>
        <w:footnoteReference w:id="1"/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FC65D0" w:rsidRPr="00616069">
        <w:rPr>
          <w:rFonts w:ascii="Calibri" w:hAnsi="Calibri" w:cs="Calibri"/>
          <w:sz w:val="22"/>
          <w:szCs w:val="22"/>
        </w:rPr>
        <w:t xml:space="preserve">od října minulého roku začaly klesat </w:t>
      </w:r>
      <w:r w:rsidR="00F87CAF" w:rsidRPr="00616069">
        <w:rPr>
          <w:rFonts w:ascii="Calibri" w:hAnsi="Calibri" w:cs="Calibri"/>
          <w:sz w:val="22"/>
          <w:szCs w:val="22"/>
        </w:rPr>
        <w:t>vzhledem k</w:t>
      </w:r>
      <w:r w:rsidR="00A0178C" w:rsidRPr="00616069">
        <w:rPr>
          <w:rFonts w:ascii="Calibri" w:hAnsi="Calibri" w:cs="Calibri"/>
          <w:sz w:val="22"/>
          <w:szCs w:val="22"/>
        </w:rPr>
        <w:t> vyšším očekáváním trhů</w:t>
      </w:r>
      <w:r w:rsidR="00F87CAF" w:rsidRPr="00616069">
        <w:rPr>
          <w:rFonts w:ascii="Calibri" w:hAnsi="Calibri" w:cs="Calibri"/>
          <w:sz w:val="22"/>
          <w:szCs w:val="22"/>
        </w:rPr>
        <w:t xml:space="preserve"> ohledně snižování sazeb ze strany hlavních centrálních bank. </w:t>
      </w:r>
      <w:r w:rsidR="00A0178C" w:rsidRPr="00616069">
        <w:rPr>
          <w:rFonts w:ascii="Calibri" w:hAnsi="Calibri" w:cs="Calibri"/>
          <w:sz w:val="22"/>
          <w:szCs w:val="22"/>
        </w:rPr>
        <w:t>Tuzemské tržní úrokové sazby se tak v</w:t>
      </w:r>
      <w:r w:rsidR="00EF1944" w:rsidRPr="00616069">
        <w:rPr>
          <w:rFonts w:ascii="Calibri" w:hAnsi="Calibri" w:cs="Calibri"/>
          <w:sz w:val="22"/>
          <w:szCs w:val="22"/>
        </w:rPr>
        <w:t> únoru dále mírně snížily a</w:t>
      </w:r>
      <w:r w:rsidR="00A0178C" w:rsidRPr="00616069">
        <w:rPr>
          <w:rFonts w:ascii="Calibri" w:hAnsi="Calibri" w:cs="Calibri"/>
          <w:sz w:val="22"/>
          <w:szCs w:val="22"/>
        </w:rPr>
        <w:t xml:space="preserve"> dostaly </w:t>
      </w:r>
      <w:r w:rsidR="00EF1944" w:rsidRPr="00616069">
        <w:rPr>
          <w:rFonts w:ascii="Calibri" w:hAnsi="Calibri" w:cs="Calibri"/>
          <w:sz w:val="22"/>
          <w:szCs w:val="22"/>
        </w:rPr>
        <w:t xml:space="preserve">se </w:t>
      </w:r>
      <w:r w:rsidR="00A0178C" w:rsidRPr="00616069">
        <w:rPr>
          <w:rFonts w:ascii="Calibri" w:hAnsi="Calibri" w:cs="Calibri"/>
          <w:sz w:val="22"/>
          <w:szCs w:val="22"/>
        </w:rPr>
        <w:t>na nejnižší úroveň od přelomu let 2021 a 2022, a to z titulu vývoje v zahraničí i očekávání trhu ohledně</w:t>
      </w:r>
      <w:r w:rsidR="004C593C">
        <w:rPr>
          <w:rFonts w:ascii="Calibri" w:hAnsi="Calibri" w:cs="Calibri"/>
          <w:sz w:val="22"/>
          <w:szCs w:val="22"/>
        </w:rPr>
        <w:t xml:space="preserve"> dalšího</w:t>
      </w:r>
      <w:r w:rsidR="00A0178C" w:rsidRPr="00616069">
        <w:rPr>
          <w:rFonts w:ascii="Calibri" w:hAnsi="Calibri" w:cs="Calibri"/>
          <w:sz w:val="22"/>
          <w:szCs w:val="22"/>
        </w:rPr>
        <w:t xml:space="preserve"> snižování sazeb ze strany ČNB.</w:t>
      </w:r>
      <w:r w:rsidR="00F87CAF" w:rsidRPr="00616069">
        <w:rPr>
          <w:rFonts w:ascii="Calibri" w:hAnsi="Calibri" w:cs="Calibri"/>
          <w:sz w:val="22"/>
          <w:szCs w:val="22"/>
        </w:rPr>
        <w:t xml:space="preserve"> </w:t>
      </w:r>
      <w:bookmarkEnd w:id="10"/>
    </w:p>
    <w:bookmarkEnd w:id="9"/>
    <w:p w14:paraId="5578E9B0" w14:textId="2CB796C4" w:rsidR="00F61FFC" w:rsidRPr="00616069" w:rsidRDefault="00F61FFC" w:rsidP="00AB48D1">
      <w:pPr>
        <w:rPr>
          <w:rFonts w:ascii="Calibri" w:hAnsi="Calibri" w:cs="Calibri"/>
          <w:sz w:val="22"/>
          <w:szCs w:val="22"/>
        </w:rPr>
      </w:pPr>
    </w:p>
    <w:p w14:paraId="72E83631" w14:textId="07DAA02A" w:rsidR="00B04FE2" w:rsidRPr="00616069" w:rsidRDefault="00E4296A" w:rsidP="00B04FE2">
      <w:pPr>
        <w:rPr>
          <w:rFonts w:ascii="Calibri" w:hAnsi="Calibri" w:cs="Calibri"/>
          <w:b/>
          <w:color w:val="13576B"/>
          <w:sz w:val="24"/>
          <w:szCs w:val="24"/>
        </w:rPr>
      </w:pPr>
      <w:bookmarkStart w:id="11" w:name="_Hlk100672905"/>
      <w:r w:rsidRPr="00616069">
        <w:rPr>
          <w:rFonts w:ascii="Calibri" w:hAnsi="Calibri" w:cs="Calibri"/>
          <w:b/>
          <w:color w:val="13576B"/>
          <w:sz w:val="24"/>
          <w:szCs w:val="24"/>
        </w:rPr>
        <w:t xml:space="preserve">Průměrná velikost </w:t>
      </w:r>
      <w:r w:rsidR="00D73AAF" w:rsidRPr="00616069">
        <w:rPr>
          <w:rFonts w:ascii="Calibri" w:hAnsi="Calibri" w:cs="Calibri"/>
          <w:b/>
          <w:color w:val="13576B"/>
          <w:sz w:val="24"/>
          <w:szCs w:val="24"/>
        </w:rPr>
        <w:t xml:space="preserve">hypotéky </w:t>
      </w:r>
      <w:r w:rsidR="007611AD" w:rsidRPr="00616069">
        <w:rPr>
          <w:rFonts w:ascii="Calibri" w:hAnsi="Calibri" w:cs="Calibri"/>
          <w:b/>
          <w:color w:val="13576B"/>
          <w:sz w:val="24"/>
          <w:szCs w:val="24"/>
        </w:rPr>
        <w:t>v</w:t>
      </w:r>
      <w:r w:rsidR="00CA3D0C">
        <w:rPr>
          <w:rFonts w:ascii="Calibri" w:hAnsi="Calibri" w:cs="Calibri"/>
          <w:b/>
          <w:color w:val="13576B"/>
          <w:sz w:val="24"/>
          <w:szCs w:val="24"/>
        </w:rPr>
        <w:t xml:space="preserve"> únoru mírně poklesla, </w:t>
      </w:r>
      <w:proofErr w:type="gramStart"/>
      <w:r w:rsidR="00CA3D0C">
        <w:rPr>
          <w:rFonts w:ascii="Calibri" w:hAnsi="Calibri" w:cs="Calibri"/>
          <w:b/>
          <w:color w:val="13576B"/>
          <w:sz w:val="24"/>
          <w:szCs w:val="24"/>
        </w:rPr>
        <w:t>patří</w:t>
      </w:r>
      <w:proofErr w:type="gramEnd"/>
      <w:r w:rsidR="00CA3D0C">
        <w:rPr>
          <w:rFonts w:ascii="Calibri" w:hAnsi="Calibri" w:cs="Calibri"/>
          <w:b/>
          <w:color w:val="13576B"/>
          <w:sz w:val="24"/>
          <w:szCs w:val="24"/>
        </w:rPr>
        <w:t xml:space="preserve"> stále mezi nejvyšší za poslední 2 roky</w:t>
      </w:r>
    </w:p>
    <w:p w14:paraId="3A9CA915" w14:textId="5F8DC85D" w:rsidR="00006511" w:rsidRPr="00616069" w:rsidRDefault="00B04FE2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Průměrná výše hypotéky </w:t>
      </w:r>
      <w:r w:rsidR="00BC1D46" w:rsidRPr="00616069">
        <w:rPr>
          <w:rFonts w:ascii="Calibri" w:hAnsi="Calibri" w:cs="Calibri"/>
          <w:sz w:val="22"/>
          <w:szCs w:val="22"/>
        </w:rPr>
        <w:t>v</w:t>
      </w:r>
      <w:r w:rsidR="00957B4C" w:rsidRPr="00616069">
        <w:rPr>
          <w:rFonts w:ascii="Calibri" w:hAnsi="Calibri" w:cs="Calibri"/>
          <w:sz w:val="22"/>
          <w:szCs w:val="22"/>
        </w:rPr>
        <w:t> </w:t>
      </w:r>
      <w:r w:rsidR="00EF1944" w:rsidRPr="00616069">
        <w:rPr>
          <w:rFonts w:ascii="Calibri" w:hAnsi="Calibri" w:cs="Calibri"/>
          <w:sz w:val="22"/>
          <w:szCs w:val="22"/>
        </w:rPr>
        <w:t>únoru</w:t>
      </w:r>
      <w:r w:rsidR="00957B4C" w:rsidRPr="00616069">
        <w:rPr>
          <w:rFonts w:ascii="Calibri" w:hAnsi="Calibri" w:cs="Calibri"/>
          <w:sz w:val="22"/>
          <w:szCs w:val="22"/>
        </w:rPr>
        <w:t xml:space="preserve"> </w:t>
      </w:r>
      <w:r w:rsidR="00EF1944" w:rsidRPr="00616069">
        <w:rPr>
          <w:rFonts w:ascii="Calibri" w:hAnsi="Calibri" w:cs="Calibri"/>
          <w:sz w:val="22"/>
          <w:szCs w:val="22"/>
        </w:rPr>
        <w:t>mírně poklesla, a to z</w:t>
      </w:r>
      <w:r w:rsidR="003E1F42" w:rsidRPr="00616069">
        <w:rPr>
          <w:rFonts w:ascii="Calibri" w:hAnsi="Calibri" w:cs="Calibri"/>
          <w:sz w:val="22"/>
          <w:szCs w:val="22"/>
        </w:rPr>
        <w:t> 3,</w:t>
      </w:r>
      <w:r w:rsidR="00EF1944" w:rsidRPr="00616069">
        <w:rPr>
          <w:rFonts w:ascii="Calibri" w:hAnsi="Calibri" w:cs="Calibri"/>
          <w:sz w:val="22"/>
          <w:szCs w:val="22"/>
        </w:rPr>
        <w:t>41</w:t>
      </w:r>
      <w:r w:rsidR="003E1F42" w:rsidRPr="00616069">
        <w:rPr>
          <w:rFonts w:ascii="Calibri" w:hAnsi="Calibri" w:cs="Calibri"/>
          <w:sz w:val="22"/>
          <w:szCs w:val="22"/>
        </w:rPr>
        <w:t xml:space="preserve"> na 3,</w:t>
      </w:r>
      <w:r w:rsidR="00EF1944" w:rsidRPr="00616069">
        <w:rPr>
          <w:rFonts w:ascii="Calibri" w:hAnsi="Calibri" w:cs="Calibri"/>
          <w:sz w:val="22"/>
          <w:szCs w:val="22"/>
        </w:rPr>
        <w:t>38</w:t>
      </w:r>
      <w:r w:rsidR="003E1F42" w:rsidRPr="00616069">
        <w:rPr>
          <w:rFonts w:ascii="Calibri" w:hAnsi="Calibri" w:cs="Calibri"/>
          <w:sz w:val="22"/>
          <w:szCs w:val="22"/>
        </w:rPr>
        <w:t xml:space="preserve"> mil. Kč</w:t>
      </w:r>
      <w:r w:rsidR="00D91421" w:rsidRPr="00616069">
        <w:rPr>
          <w:rFonts w:ascii="Calibri" w:hAnsi="Calibri" w:cs="Calibri"/>
          <w:sz w:val="22"/>
          <w:szCs w:val="22"/>
        </w:rPr>
        <w:t xml:space="preserve">, </w:t>
      </w:r>
      <w:r w:rsidR="00562995">
        <w:rPr>
          <w:rFonts w:ascii="Calibri" w:hAnsi="Calibri" w:cs="Calibri"/>
          <w:sz w:val="22"/>
          <w:szCs w:val="22"/>
        </w:rPr>
        <w:t>n</w:t>
      </w:r>
      <w:r w:rsidR="00EF1944" w:rsidRPr="00616069">
        <w:rPr>
          <w:rFonts w:ascii="Calibri" w:hAnsi="Calibri" w:cs="Calibri"/>
          <w:sz w:val="22"/>
          <w:szCs w:val="22"/>
        </w:rPr>
        <w:t xml:space="preserve">adále však </w:t>
      </w:r>
      <w:proofErr w:type="gramStart"/>
      <w:r w:rsidR="00EF1944" w:rsidRPr="00616069">
        <w:rPr>
          <w:rFonts w:ascii="Calibri" w:hAnsi="Calibri" w:cs="Calibri"/>
          <w:sz w:val="22"/>
          <w:szCs w:val="22"/>
        </w:rPr>
        <w:t>patří</w:t>
      </w:r>
      <w:proofErr w:type="gramEnd"/>
      <w:r w:rsidR="00EF1944" w:rsidRPr="00616069">
        <w:rPr>
          <w:rFonts w:ascii="Calibri" w:hAnsi="Calibri" w:cs="Calibri"/>
          <w:sz w:val="22"/>
          <w:szCs w:val="22"/>
        </w:rPr>
        <w:t xml:space="preserve"> mezi n</w:t>
      </w:r>
      <w:r w:rsidR="003E1F42" w:rsidRPr="00616069">
        <w:rPr>
          <w:rFonts w:ascii="Calibri" w:hAnsi="Calibri" w:cs="Calibri"/>
          <w:sz w:val="22"/>
          <w:szCs w:val="22"/>
        </w:rPr>
        <w:t xml:space="preserve">ejvyšší za poslední dva roky. </w:t>
      </w:r>
      <w:r w:rsidR="00615685" w:rsidRPr="00616069">
        <w:rPr>
          <w:rFonts w:ascii="Calibri" w:hAnsi="Calibri" w:cs="Calibri"/>
          <w:sz w:val="22"/>
          <w:szCs w:val="22"/>
        </w:rPr>
        <w:t xml:space="preserve">Nejvyšší průměrná </w:t>
      </w:r>
      <w:r w:rsidR="00EF1944" w:rsidRPr="00616069">
        <w:rPr>
          <w:rFonts w:ascii="Calibri" w:hAnsi="Calibri" w:cs="Calibri"/>
          <w:sz w:val="22"/>
          <w:szCs w:val="22"/>
        </w:rPr>
        <w:t xml:space="preserve">výše </w:t>
      </w:r>
      <w:r w:rsidR="00615685" w:rsidRPr="00616069">
        <w:rPr>
          <w:rFonts w:ascii="Calibri" w:hAnsi="Calibri" w:cs="Calibri"/>
          <w:sz w:val="22"/>
          <w:szCs w:val="22"/>
        </w:rPr>
        <w:t>hypoték</w:t>
      </w:r>
      <w:r w:rsidR="00EF1944" w:rsidRPr="00616069">
        <w:rPr>
          <w:rFonts w:ascii="Calibri" w:hAnsi="Calibri" w:cs="Calibri"/>
          <w:sz w:val="22"/>
          <w:szCs w:val="22"/>
        </w:rPr>
        <w:t>y</w:t>
      </w:r>
      <w:r w:rsidR="00615685" w:rsidRPr="00616069">
        <w:rPr>
          <w:rFonts w:ascii="Calibri" w:hAnsi="Calibri" w:cs="Calibri"/>
          <w:sz w:val="22"/>
          <w:szCs w:val="22"/>
        </w:rPr>
        <w:t xml:space="preserve"> byla dosažena v</w:t>
      </w:r>
      <w:r w:rsidR="0049704E" w:rsidRPr="00616069">
        <w:rPr>
          <w:rFonts w:ascii="Calibri" w:hAnsi="Calibri" w:cs="Calibri"/>
          <w:sz w:val="22"/>
          <w:szCs w:val="22"/>
        </w:rPr>
        <w:t> </w:t>
      </w:r>
      <w:r w:rsidR="00170298" w:rsidRPr="00616069">
        <w:rPr>
          <w:rFonts w:ascii="Calibri" w:hAnsi="Calibri" w:cs="Calibri"/>
          <w:sz w:val="22"/>
          <w:szCs w:val="22"/>
        </w:rPr>
        <w:t>listopadu</w:t>
      </w:r>
      <w:r w:rsidR="0049704E" w:rsidRPr="00616069">
        <w:rPr>
          <w:rFonts w:ascii="Calibri" w:hAnsi="Calibri" w:cs="Calibri"/>
          <w:sz w:val="22"/>
          <w:szCs w:val="22"/>
        </w:rPr>
        <w:t xml:space="preserve"> 20</w:t>
      </w:r>
      <w:r w:rsidR="00E908C6" w:rsidRPr="00616069">
        <w:rPr>
          <w:rFonts w:ascii="Calibri" w:hAnsi="Calibri" w:cs="Calibri"/>
          <w:sz w:val="22"/>
          <w:szCs w:val="22"/>
        </w:rPr>
        <w:t>2</w:t>
      </w:r>
      <w:r w:rsidR="0049704E" w:rsidRPr="00616069">
        <w:rPr>
          <w:rFonts w:ascii="Calibri" w:hAnsi="Calibri" w:cs="Calibri"/>
          <w:sz w:val="22"/>
          <w:szCs w:val="22"/>
        </w:rPr>
        <w:t>1</w:t>
      </w:r>
      <w:r w:rsidR="002B58A5" w:rsidRPr="00616069">
        <w:rPr>
          <w:rFonts w:ascii="Calibri" w:hAnsi="Calibri" w:cs="Calibri"/>
          <w:sz w:val="22"/>
          <w:szCs w:val="22"/>
        </w:rPr>
        <w:t xml:space="preserve"> </w:t>
      </w:r>
      <w:r w:rsidR="00615685" w:rsidRPr="00616069">
        <w:rPr>
          <w:rFonts w:ascii="Calibri" w:hAnsi="Calibri" w:cs="Calibri"/>
          <w:sz w:val="22"/>
          <w:szCs w:val="22"/>
        </w:rPr>
        <w:t xml:space="preserve">a činila </w:t>
      </w:r>
      <w:r w:rsidR="00170298" w:rsidRPr="00616069">
        <w:rPr>
          <w:rFonts w:ascii="Calibri" w:hAnsi="Calibri" w:cs="Calibri"/>
          <w:sz w:val="22"/>
          <w:szCs w:val="22"/>
        </w:rPr>
        <w:t>3,46 mil. Kč</w:t>
      </w:r>
      <w:r w:rsidR="006354FF" w:rsidRPr="00616069">
        <w:rPr>
          <w:rFonts w:ascii="Calibri" w:hAnsi="Calibri" w:cs="Calibri"/>
          <w:sz w:val="22"/>
          <w:szCs w:val="22"/>
        </w:rPr>
        <w:t xml:space="preserve">, od té doby se postupně snižovala a své nejnižší úrovně dosáhla v lednu </w:t>
      </w:r>
      <w:r w:rsidR="00EF1944" w:rsidRPr="00616069">
        <w:rPr>
          <w:rFonts w:ascii="Calibri" w:hAnsi="Calibri" w:cs="Calibri"/>
          <w:sz w:val="22"/>
          <w:szCs w:val="22"/>
        </w:rPr>
        <w:t>minulého</w:t>
      </w:r>
      <w:r w:rsidR="006354FF" w:rsidRPr="00616069">
        <w:rPr>
          <w:rFonts w:ascii="Calibri" w:hAnsi="Calibri" w:cs="Calibri"/>
          <w:sz w:val="22"/>
          <w:szCs w:val="22"/>
        </w:rPr>
        <w:t xml:space="preserve"> roku ve výši 2,83 mil. Kč.</w:t>
      </w:r>
      <w:r w:rsidR="00B10C3C" w:rsidRPr="00616069">
        <w:rPr>
          <w:rFonts w:ascii="Calibri" w:hAnsi="Calibri" w:cs="Calibri"/>
          <w:sz w:val="22"/>
          <w:szCs w:val="22"/>
        </w:rPr>
        <w:t xml:space="preserve"> </w:t>
      </w:r>
    </w:p>
    <w:p w14:paraId="5173F03C" w14:textId="66285845" w:rsidR="00B04FE2" w:rsidRPr="00616069" w:rsidRDefault="00B04FE2" w:rsidP="00B04FE2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>Scénáře vývoje měsíční splátky pro různé délky splatnosti hypotéky udává tabulka č. 2. Z ní je patrné, že růst hypotečních sazeb o jeden procentní bod znamená pro průměrnou velikost hypotéky zvýšení měsíční splátky o</w:t>
      </w:r>
      <w:r w:rsidR="00AF1CFD" w:rsidRPr="00616069">
        <w:rPr>
          <w:rFonts w:ascii="Calibri" w:hAnsi="Calibri" w:cs="Calibri"/>
          <w:sz w:val="22"/>
          <w:szCs w:val="22"/>
        </w:rPr>
        <w:t xml:space="preserve"> zhruba</w:t>
      </w:r>
      <w:r w:rsidRPr="00616069">
        <w:rPr>
          <w:rFonts w:ascii="Calibri" w:hAnsi="Calibri" w:cs="Calibri"/>
          <w:sz w:val="22"/>
          <w:szCs w:val="22"/>
        </w:rPr>
        <w:t xml:space="preserve"> 1,</w:t>
      </w:r>
      <w:r w:rsidR="001C698F" w:rsidRPr="00616069">
        <w:rPr>
          <w:rFonts w:ascii="Calibri" w:hAnsi="Calibri" w:cs="Calibri"/>
          <w:sz w:val="22"/>
          <w:szCs w:val="22"/>
        </w:rPr>
        <w:t>5</w:t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1B39D3" w:rsidRPr="00616069">
        <w:rPr>
          <w:rFonts w:ascii="Calibri" w:hAnsi="Calibri" w:cs="Calibri"/>
          <w:sz w:val="22"/>
          <w:szCs w:val="22"/>
        </w:rPr>
        <w:t xml:space="preserve">až 2 </w:t>
      </w:r>
      <w:r w:rsidRPr="00616069">
        <w:rPr>
          <w:rFonts w:ascii="Calibri" w:hAnsi="Calibri" w:cs="Calibri"/>
          <w:sz w:val="22"/>
          <w:szCs w:val="22"/>
        </w:rPr>
        <w:t>tisíce Kč. Ve srovnání s </w:t>
      </w:r>
      <w:proofErr w:type="gramStart"/>
      <w:r w:rsidRPr="00616069">
        <w:rPr>
          <w:rFonts w:ascii="Calibri" w:hAnsi="Calibri" w:cs="Calibri"/>
          <w:sz w:val="22"/>
          <w:szCs w:val="22"/>
        </w:rPr>
        <w:t>2%</w:t>
      </w:r>
      <w:proofErr w:type="gramEnd"/>
      <w:r w:rsidRPr="00616069">
        <w:rPr>
          <w:rFonts w:ascii="Calibri" w:hAnsi="Calibri" w:cs="Calibri"/>
          <w:sz w:val="22"/>
          <w:szCs w:val="22"/>
        </w:rPr>
        <w:t xml:space="preserve"> úrokovou sazbou, která byla na trhu běžná v dřívějších letech, </w:t>
      </w:r>
      <w:r w:rsidR="001C698F" w:rsidRPr="00616069">
        <w:rPr>
          <w:rFonts w:ascii="Calibri" w:hAnsi="Calibri" w:cs="Calibri"/>
          <w:sz w:val="22"/>
          <w:szCs w:val="22"/>
        </w:rPr>
        <w:t xml:space="preserve">tak </w:t>
      </w:r>
      <w:r w:rsidRPr="00616069">
        <w:rPr>
          <w:rFonts w:ascii="Calibri" w:hAnsi="Calibri" w:cs="Calibri"/>
          <w:sz w:val="22"/>
          <w:szCs w:val="22"/>
        </w:rPr>
        <w:t>znamená</w:t>
      </w:r>
      <w:r w:rsidR="00B10C3C" w:rsidRPr="00616069">
        <w:rPr>
          <w:rFonts w:ascii="Calibri" w:hAnsi="Calibri" w:cs="Calibri"/>
          <w:sz w:val="22"/>
          <w:szCs w:val="22"/>
        </w:rPr>
        <w:t xml:space="preserve"> současná </w:t>
      </w:r>
      <w:r w:rsidRPr="00616069">
        <w:rPr>
          <w:rFonts w:ascii="Calibri" w:hAnsi="Calibri" w:cs="Calibri"/>
          <w:sz w:val="22"/>
          <w:szCs w:val="22"/>
        </w:rPr>
        <w:t xml:space="preserve">hypoteční sazba nárůst měsíční splátky u průměrné hypotéky </w:t>
      </w:r>
      <w:r w:rsidR="00914CD2" w:rsidRPr="00616069">
        <w:rPr>
          <w:rFonts w:ascii="Calibri" w:hAnsi="Calibri" w:cs="Calibri"/>
          <w:sz w:val="22"/>
          <w:szCs w:val="22"/>
        </w:rPr>
        <w:t xml:space="preserve">zhruba </w:t>
      </w:r>
      <w:r w:rsidR="00C87645" w:rsidRPr="00616069">
        <w:rPr>
          <w:rFonts w:ascii="Calibri" w:hAnsi="Calibri" w:cs="Calibri"/>
          <w:sz w:val="22"/>
          <w:szCs w:val="22"/>
        </w:rPr>
        <w:t xml:space="preserve">o </w:t>
      </w:r>
      <w:r w:rsidR="003373BE" w:rsidRPr="00616069">
        <w:rPr>
          <w:rFonts w:ascii="Calibri" w:hAnsi="Calibri" w:cs="Calibri"/>
          <w:sz w:val="22"/>
          <w:szCs w:val="22"/>
        </w:rPr>
        <w:t xml:space="preserve">6 </w:t>
      </w:r>
      <w:r w:rsidR="00914CD2" w:rsidRPr="00616069">
        <w:rPr>
          <w:rFonts w:ascii="Calibri" w:hAnsi="Calibri" w:cs="Calibri"/>
          <w:sz w:val="22"/>
          <w:szCs w:val="22"/>
        </w:rPr>
        <w:t>ti</w:t>
      </w:r>
      <w:r w:rsidRPr="00616069">
        <w:rPr>
          <w:rFonts w:ascii="Calibri" w:hAnsi="Calibri" w:cs="Calibri"/>
          <w:sz w:val="22"/>
          <w:szCs w:val="22"/>
        </w:rPr>
        <w:t>síc Kč.</w:t>
      </w:r>
      <w:r w:rsidRPr="0061606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616069">
        <w:rPr>
          <w:rFonts w:ascii="Calibri" w:hAnsi="Calibri" w:cs="Calibri"/>
          <w:sz w:val="22"/>
          <w:szCs w:val="22"/>
        </w:rPr>
        <w:t xml:space="preserve"> </w:t>
      </w:r>
      <w:r w:rsidR="00615685" w:rsidRPr="00616069">
        <w:rPr>
          <w:rFonts w:ascii="Calibri" w:hAnsi="Calibri" w:cs="Calibri"/>
          <w:sz w:val="22"/>
          <w:szCs w:val="22"/>
        </w:rPr>
        <w:t xml:space="preserve">Splátka hypotéky ve výši jednoho milionu </w:t>
      </w:r>
      <w:r w:rsidR="00AB2567" w:rsidRPr="00616069">
        <w:rPr>
          <w:rFonts w:ascii="Calibri" w:hAnsi="Calibri" w:cs="Calibri"/>
          <w:sz w:val="22"/>
          <w:szCs w:val="22"/>
        </w:rPr>
        <w:t>korun</w:t>
      </w:r>
      <w:r w:rsidR="00615685" w:rsidRPr="00616069">
        <w:rPr>
          <w:rFonts w:ascii="Calibri" w:hAnsi="Calibri" w:cs="Calibri"/>
          <w:sz w:val="22"/>
          <w:szCs w:val="22"/>
        </w:rPr>
        <w:t xml:space="preserve"> s</w:t>
      </w:r>
      <w:r w:rsidR="00C87645" w:rsidRPr="00616069">
        <w:rPr>
          <w:rFonts w:ascii="Calibri" w:hAnsi="Calibri" w:cs="Calibri"/>
          <w:sz w:val="22"/>
          <w:szCs w:val="22"/>
        </w:rPr>
        <w:t> </w:t>
      </w:r>
      <w:r w:rsidR="00615685" w:rsidRPr="00616069">
        <w:rPr>
          <w:rFonts w:ascii="Calibri" w:hAnsi="Calibri" w:cs="Calibri"/>
          <w:sz w:val="22"/>
          <w:szCs w:val="22"/>
        </w:rPr>
        <w:t xml:space="preserve">30letou splatností se současnými úrokovými sazbami </w:t>
      </w:r>
      <w:r w:rsidR="00AB2567" w:rsidRPr="00616069">
        <w:rPr>
          <w:rFonts w:ascii="Calibri" w:hAnsi="Calibri" w:cs="Calibri"/>
          <w:sz w:val="22"/>
          <w:szCs w:val="22"/>
        </w:rPr>
        <w:t xml:space="preserve">se </w:t>
      </w:r>
      <w:r w:rsidR="00615685" w:rsidRPr="00616069">
        <w:rPr>
          <w:rFonts w:ascii="Calibri" w:hAnsi="Calibri" w:cs="Calibri"/>
          <w:sz w:val="22"/>
          <w:szCs w:val="22"/>
        </w:rPr>
        <w:t xml:space="preserve">pohybuje kolem </w:t>
      </w:r>
      <w:r w:rsidR="008B7162" w:rsidRPr="00616069">
        <w:rPr>
          <w:rFonts w:ascii="Calibri" w:hAnsi="Calibri" w:cs="Calibri"/>
          <w:sz w:val="22"/>
          <w:szCs w:val="22"/>
        </w:rPr>
        <w:t>5,</w:t>
      </w:r>
      <w:r w:rsidR="00D91421" w:rsidRPr="00616069">
        <w:rPr>
          <w:rFonts w:ascii="Calibri" w:hAnsi="Calibri" w:cs="Calibri"/>
          <w:sz w:val="22"/>
          <w:szCs w:val="22"/>
        </w:rPr>
        <w:t>6</w:t>
      </w:r>
      <w:r w:rsidR="00615685" w:rsidRPr="00616069">
        <w:rPr>
          <w:rFonts w:ascii="Calibri" w:hAnsi="Calibri" w:cs="Calibri"/>
          <w:sz w:val="22"/>
          <w:szCs w:val="22"/>
        </w:rPr>
        <w:t xml:space="preserve"> tisíc Kč.</w:t>
      </w:r>
    </w:p>
    <w:bookmarkEnd w:id="11"/>
    <w:p w14:paraId="1A267256" w14:textId="45AF01D0" w:rsidR="009D3067" w:rsidRPr="00616069" w:rsidRDefault="009D3067" w:rsidP="007F41A0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Tabulka č. 2: Měsíční splátka průměrné hypotéky v závislosti na délce splatnosti a úrokové sazbě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31"/>
        <w:gridCol w:w="960"/>
        <w:gridCol w:w="960"/>
        <w:gridCol w:w="960"/>
        <w:gridCol w:w="960"/>
        <w:gridCol w:w="960"/>
        <w:gridCol w:w="960"/>
      </w:tblGrid>
      <w:tr w:rsidR="00D5517C" w:rsidRPr="00616069" w14:paraId="2E0F9EE8" w14:textId="77777777" w:rsidTr="008B2AC1">
        <w:trPr>
          <w:trHeight w:val="555"/>
        </w:trPr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E9691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velikost nové hypotéky v Kč: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2DFC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1B2E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8289" w14:textId="1C61799D" w:rsidR="00D5517C" w:rsidRPr="00616069" w:rsidRDefault="003E393C" w:rsidP="003E39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3 </w:t>
            </w:r>
            <w:r w:rsidR="00797D07"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383 729</w:t>
            </w:r>
          </w:p>
        </w:tc>
      </w:tr>
      <w:tr w:rsidR="00D375AE" w:rsidRPr="00616069" w14:paraId="3A9D14C4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FFBA8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Průměrná úroková sazba v %: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198D" w14:textId="77777777" w:rsidR="00D375AE" w:rsidRPr="00616069" w:rsidRDefault="00D375AE" w:rsidP="00D375A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EE92" w14:textId="537FE1A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3214C" w14:textId="4FAC9AB5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144F" w14:textId="4BF25F94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50147" w14:textId="1B267BB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22EECDD2" w14:textId="4DE12F21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5,</w:t>
            </w:r>
            <w:r w:rsidR="00797D07"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AC0A3" w14:textId="753D666A" w:rsidR="00D375AE" w:rsidRPr="00616069" w:rsidRDefault="00D375AE" w:rsidP="00D375A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5517C" w:rsidRPr="00616069" w14:paraId="4905349F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1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EDC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A3F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7A7A8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98F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Měsíční splátka:</w:t>
            </w:r>
          </w:p>
        </w:tc>
      </w:tr>
      <w:tr w:rsidR="00797D07" w:rsidRPr="00616069" w14:paraId="0A342D01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443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Splatnost hypotéky v letech: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E9A3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F03F" w14:textId="344C5DD7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21 775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9F84" w14:textId="7E414CC1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63E5" w14:textId="3E65CA08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25 029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12F9" w14:textId="60A8F515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3EA"/>
            <w:noWrap/>
            <w:vAlign w:val="center"/>
            <w:hideMark/>
          </w:tcPr>
          <w:p w14:paraId="690F9892" w14:textId="3CA52984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27 399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0922" w14:textId="712313D2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30 414</w:t>
            </w:r>
          </w:p>
        </w:tc>
      </w:tr>
      <w:tr w:rsidR="00797D07" w:rsidRPr="00616069" w14:paraId="4A78BEF2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610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CE37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FBFB" w14:textId="7A7D1862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AA86" w14:textId="7CD6D62B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7E18" w14:textId="1B13CCFD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2706" w14:textId="18BF456B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3EA"/>
            <w:noWrap/>
            <w:vAlign w:val="center"/>
            <w:hideMark/>
          </w:tcPr>
          <w:p w14:paraId="5E6CF5E2" w14:textId="583FF91D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BDBD" w14:textId="4C59C294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26 234</w:t>
            </w:r>
          </w:p>
        </w:tc>
      </w:tr>
      <w:tr w:rsidR="00797D07" w:rsidRPr="00616069" w14:paraId="6CF32913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281A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2D49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1A11" w14:textId="1E2DADE6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222" w14:textId="798FF3EB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1AB" w14:textId="29EFD722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17 861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F341" w14:textId="7FBE62EE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19 781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AF3EA"/>
            <w:noWrap/>
            <w:vAlign w:val="center"/>
            <w:hideMark/>
          </w:tcPr>
          <w:p w14:paraId="3E4DDF0D" w14:textId="2DA0029C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20 499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8C7" w14:textId="488E47F2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23 915</w:t>
            </w:r>
          </w:p>
        </w:tc>
      </w:tr>
      <w:tr w:rsidR="00797D07" w:rsidRPr="00616069" w14:paraId="46B86678" w14:textId="77777777" w:rsidTr="00D9656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BB57D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525A" w14:textId="77777777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2DA6" w14:textId="408FCFDF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12 507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602F5" w14:textId="28ED1F8E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14 266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600D" w14:textId="5948C8FA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16 154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D8D8A" w14:textId="0442243D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F3EA"/>
            <w:noWrap/>
            <w:vAlign w:val="center"/>
            <w:hideMark/>
          </w:tcPr>
          <w:p w14:paraId="35ABD787" w14:textId="3A9745D5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18 918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81B34" w14:textId="4958737F" w:rsidR="00797D07" w:rsidRPr="00616069" w:rsidRDefault="00797D07" w:rsidP="00797D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16069">
              <w:rPr>
                <w:rFonts w:ascii="Calibri Light" w:hAnsi="Calibri Light" w:cs="Calibri Light"/>
                <w:color w:val="000000"/>
                <w:sz w:val="22"/>
                <w:szCs w:val="22"/>
              </w:rPr>
              <w:t>22 512</w:t>
            </w:r>
          </w:p>
        </w:tc>
      </w:tr>
      <w:tr w:rsidR="00D5517C" w:rsidRPr="00616069" w14:paraId="58395EC8" w14:textId="77777777" w:rsidTr="00F45EB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D57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Pramen: ČBA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3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225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F0D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2AAF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A2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15A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2E4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D5517C" w:rsidRPr="00616069" w14:paraId="17E5FF51" w14:textId="77777777" w:rsidTr="008B2AC1">
        <w:trPr>
          <w:trHeight w:val="300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336" w14:textId="77777777" w:rsidR="00D5517C" w:rsidRPr="00616069" w:rsidRDefault="00D5517C" w:rsidP="00D5517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color w:val="13576B"/>
                <w:sz w:val="22"/>
                <w:szCs w:val="22"/>
              </w:rPr>
            </w:pPr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 xml:space="preserve">Pozn.: barevný sloupec odpovídá úrokové sazbě posledního ČBA </w:t>
            </w:r>
            <w:proofErr w:type="spellStart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Hypomonitoru</w:t>
            </w:r>
            <w:proofErr w:type="spellEnd"/>
            <w:r w:rsidRPr="00616069">
              <w:rPr>
                <w:rFonts w:ascii="Calibri" w:hAnsi="Calibri" w:cs="Calibri"/>
                <w:color w:val="13576B"/>
                <w:sz w:val="22"/>
                <w:szCs w:val="22"/>
              </w:rPr>
              <w:t>, ostatní sazby jsou ilustrační</w:t>
            </w:r>
          </w:p>
        </w:tc>
      </w:tr>
    </w:tbl>
    <w:p w14:paraId="058F8495" w14:textId="77777777" w:rsidR="0000226C" w:rsidRPr="00616069" w:rsidRDefault="0000226C" w:rsidP="003417B4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55420EB1" w14:textId="77777777" w:rsidR="00251393" w:rsidRPr="00616069" w:rsidRDefault="00251393" w:rsidP="006C53A0">
      <w:pPr>
        <w:rPr>
          <w:rFonts w:ascii="Calibri" w:hAnsi="Calibri" w:cs="Calibri"/>
          <w:b/>
          <w:color w:val="13576B"/>
          <w:sz w:val="24"/>
          <w:szCs w:val="24"/>
        </w:rPr>
      </w:pPr>
    </w:p>
    <w:p w14:paraId="333B7C8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4"/>
          <w:szCs w:val="24"/>
        </w:rPr>
      </w:pPr>
      <w:r w:rsidRPr="00616069">
        <w:rPr>
          <w:rFonts w:ascii="Calibri" w:hAnsi="Calibri" w:cs="Calibri"/>
          <w:b/>
          <w:color w:val="13576B"/>
          <w:sz w:val="24"/>
          <w:szCs w:val="24"/>
        </w:rPr>
        <w:t>Za celý rok 2023 se propadla aktivita na hypotečním trhu o čtvrtinu</w:t>
      </w:r>
    </w:p>
    <w:p w14:paraId="0C26148D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bCs/>
          <w:sz w:val="22"/>
          <w:szCs w:val="22"/>
        </w:rPr>
        <w:t>Za celý rok 2023 poskytly banky a stavební spořitelny hypoteční úvěry v objemu 150 mld. Kč,</w:t>
      </w:r>
      <w:r w:rsidRPr="00616069">
        <w:rPr>
          <w:rFonts w:ascii="Calibri" w:hAnsi="Calibri" w:cs="Calibri"/>
          <w:sz w:val="22"/>
          <w:szCs w:val="22"/>
        </w:rPr>
        <w:t xml:space="preserve"> z toho čistě nové </w:t>
      </w:r>
      <w:r w:rsidRPr="00616069">
        <w:rPr>
          <w:rFonts w:ascii="Calibri" w:hAnsi="Calibri" w:cs="Calibri"/>
          <w:b/>
          <w:bCs/>
          <w:sz w:val="22"/>
          <w:szCs w:val="22"/>
        </w:rPr>
        <w:t>úvěry bez refinancování činily 124 mld. Kč</w:t>
      </w:r>
      <w:r w:rsidRPr="00616069">
        <w:rPr>
          <w:rFonts w:ascii="Calibri" w:hAnsi="Calibri" w:cs="Calibri"/>
          <w:sz w:val="22"/>
          <w:szCs w:val="22"/>
        </w:rPr>
        <w:t xml:space="preserve">. Meziročně se jednalo o propad ve výši 24 %. To je dáno zejména skutečností, že první polovina roku 2022 byla stále z pohledu poskytnutých hypoték silná a na meziroční srovnání tak působí vyšší srovnávací základna z tohoto období. Za první polovinu roku 2023 se tak poskytlo meziročně o 50 % méně hypoték, za druhou polovinu roku 2023 naopak přes 50 % více. Ve srovnání s předpandemickými roky 2017-2019 byl objem poskytnutých hypoték v roce 2023 zhruba o třetinu nižší. </w:t>
      </w:r>
    </w:p>
    <w:p w14:paraId="2BEF2B35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5FCF6BBD" w14:textId="77777777" w:rsidR="002E1DBF" w:rsidRPr="00616069" w:rsidRDefault="002E1DBF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4848AA39" w14:textId="77777777" w:rsidR="002E1DBF" w:rsidRPr="00616069" w:rsidRDefault="002E1DBF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595CC2" w14:textId="336517A3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 xml:space="preserve">Graf č. </w:t>
      </w:r>
      <w:r w:rsidR="0010371D" w:rsidRPr="00616069">
        <w:rPr>
          <w:rFonts w:ascii="Calibri" w:hAnsi="Calibri" w:cs="Calibri"/>
          <w:b/>
          <w:color w:val="13576B"/>
          <w:sz w:val="23"/>
          <w:szCs w:val="23"/>
        </w:rPr>
        <w:t>2</w:t>
      </w:r>
      <w:r w:rsidRPr="00616069">
        <w:rPr>
          <w:rFonts w:ascii="Calibri" w:hAnsi="Calibri" w:cs="Calibri"/>
          <w:b/>
          <w:color w:val="13576B"/>
          <w:sz w:val="23"/>
          <w:szCs w:val="23"/>
        </w:rPr>
        <w:t>: Celoroční objem a počet poskytnutých hypoték v letech 2021 až 2023</w:t>
      </w:r>
    </w:p>
    <w:p w14:paraId="2C48436A" w14:textId="77777777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</w:p>
    <w:p w14:paraId="6B4EF12D" w14:textId="48C50589" w:rsidR="003E393C" w:rsidRPr="00616069" w:rsidRDefault="003E393C" w:rsidP="003E393C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67D3F7" wp14:editId="714D97CA">
            <wp:extent cx="6477000" cy="2346960"/>
            <wp:effectExtent l="0" t="0" r="0" b="0"/>
            <wp:docPr id="591764809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49FA" w14:textId="77777777" w:rsidR="003E393C" w:rsidRPr="00616069" w:rsidRDefault="003E393C" w:rsidP="003E393C">
      <w:pPr>
        <w:overflowPunct/>
        <w:autoSpaceDE/>
        <w:adjustRightInd/>
        <w:rPr>
          <w:rFonts w:ascii="Calibri Light" w:hAnsi="Calibri Light" w:cs="Calibri Light"/>
          <w:color w:val="13576B"/>
          <w:sz w:val="20"/>
        </w:rPr>
      </w:pPr>
      <w:r w:rsidRPr="00616069">
        <w:rPr>
          <w:rFonts w:ascii="Calibri Light" w:hAnsi="Calibri Light" w:cs="Calibri Light"/>
          <w:color w:val="13576B"/>
          <w:sz w:val="20"/>
        </w:rPr>
        <w:t xml:space="preserve">Pramen: ČBA </w:t>
      </w:r>
      <w:proofErr w:type="spellStart"/>
      <w:r w:rsidRPr="00616069">
        <w:rPr>
          <w:rFonts w:ascii="Calibri Light" w:hAnsi="Calibri Light" w:cs="Calibri Light"/>
          <w:color w:val="13576B"/>
          <w:sz w:val="20"/>
        </w:rPr>
        <w:t>Hypomonitor</w:t>
      </w:r>
      <w:proofErr w:type="spellEnd"/>
    </w:p>
    <w:p w14:paraId="372DD4C3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7448079E" w14:textId="77777777" w:rsidR="003E393C" w:rsidRPr="00616069" w:rsidRDefault="003E393C" w:rsidP="003E393C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22ED378A" w14:textId="017879D6" w:rsidR="006C53A0" w:rsidRPr="00616069" w:rsidRDefault="006C53A0" w:rsidP="007F41A0">
      <w:pPr>
        <w:rPr>
          <w:rFonts w:ascii="Calibri" w:hAnsi="Calibri" w:cs="Calibri"/>
          <w:b/>
          <w:color w:val="13576B"/>
          <w:sz w:val="23"/>
          <w:szCs w:val="23"/>
        </w:rPr>
      </w:pPr>
    </w:p>
    <w:p w14:paraId="1117B780" w14:textId="04ED9890" w:rsidR="007F41A0" w:rsidRPr="00616069" w:rsidRDefault="007F41A0" w:rsidP="007F41A0">
      <w:pPr>
        <w:rPr>
          <w:rFonts w:ascii="Calibri" w:hAnsi="Calibri" w:cs="Calibri"/>
          <w:b/>
          <w:color w:val="13576B"/>
          <w:sz w:val="23"/>
          <w:szCs w:val="23"/>
        </w:rPr>
      </w:pPr>
      <w:r w:rsidRPr="00616069">
        <w:rPr>
          <w:rFonts w:ascii="Calibri" w:hAnsi="Calibri" w:cs="Calibri"/>
          <w:b/>
          <w:color w:val="13576B"/>
          <w:sz w:val="23"/>
          <w:szCs w:val="23"/>
        </w:rPr>
        <w:t>ČBA zveřejňuje nové souhrnné statistiky za celý bankovní trh</w:t>
      </w:r>
    </w:p>
    <w:p w14:paraId="55E76E82" w14:textId="1687FA19" w:rsidR="007F41A0" w:rsidRPr="00616069" w:rsidRDefault="007F41A0" w:rsidP="007F41A0">
      <w:pPr>
        <w:rPr>
          <w:rFonts w:ascii="Calibri" w:hAnsi="Calibri" w:cs="Calibri"/>
          <w:b/>
          <w:bCs/>
          <w:sz w:val="22"/>
          <w:szCs w:val="22"/>
        </w:rPr>
      </w:pPr>
      <w:r w:rsidRPr="00616069">
        <w:rPr>
          <w:rFonts w:ascii="Calibri" w:hAnsi="Calibri" w:cs="Calibri"/>
          <w:sz w:val="22"/>
          <w:szCs w:val="22"/>
        </w:rPr>
        <w:t xml:space="preserve">Česká bankovní asociace zveřejňuje ve spolupráci s členskými bankami nové souhrnné statistiky z trhu bydlení. Jde především o objemy a počty nově poskytnutých a refinancovaných hypoték a příslušnou úrokovou sazbu. Tyto statistiky publikuje ČBA v agregované podobě za celý bankovní sektor na pravidelné bázi vždy zhruba v polovině měsíce. Šetření se účastní všechny tuzemské banky a stavební spořitelny poskytující v ČR hypotéky. Data jsou dostupná od ledna roku 2020 v přiloženém souboru na stránkách </w:t>
      </w:r>
      <w:hyperlink r:id="rId10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www.cbaonline.cz</w:t>
        </w:r>
      </w:hyperlink>
      <w:r w:rsidR="004674AA" w:rsidRPr="0061606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616069">
        <w:rPr>
          <w:rFonts w:ascii="Calibri" w:hAnsi="Calibri" w:cs="Calibri"/>
          <w:sz w:val="22"/>
          <w:szCs w:val="22"/>
        </w:rPr>
        <w:t>kde lze také příslušné statistiky najít zvlášť pro banky a stavební spořitelny. Výše uvedené hodnoty jsou pro sektor jako celek</w:t>
      </w:r>
      <w:r w:rsidR="004674AA" w:rsidRPr="00616069">
        <w:rPr>
          <w:rFonts w:ascii="Calibri" w:hAnsi="Calibri" w:cs="Calibri"/>
          <w:sz w:val="22"/>
          <w:szCs w:val="22"/>
        </w:rPr>
        <w:t>, které lze v jednoduch</w:t>
      </w:r>
      <w:r w:rsidR="004C593C">
        <w:rPr>
          <w:rFonts w:ascii="Calibri" w:hAnsi="Calibri" w:cs="Calibri"/>
          <w:sz w:val="22"/>
          <w:szCs w:val="22"/>
        </w:rPr>
        <w:t>é</w:t>
      </w:r>
      <w:r w:rsidR="004674AA" w:rsidRPr="00616069">
        <w:rPr>
          <w:rFonts w:ascii="Calibri" w:hAnsi="Calibri" w:cs="Calibri"/>
          <w:sz w:val="22"/>
          <w:szCs w:val="22"/>
        </w:rPr>
        <w:t xml:space="preserve"> grafické podobě sledovat také na stránkách </w:t>
      </w:r>
      <w:hyperlink r:id="rId11" w:history="1">
        <w:r w:rsidR="004674AA" w:rsidRPr="00616069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cbamonitor.cz</w:t>
        </w:r>
      </w:hyperlink>
      <w:r w:rsidRPr="00616069">
        <w:rPr>
          <w:rFonts w:ascii="Calibri" w:hAnsi="Calibri" w:cs="Calibri"/>
          <w:sz w:val="22"/>
          <w:szCs w:val="22"/>
        </w:rPr>
        <w:t>.</w:t>
      </w:r>
      <w:r w:rsidRPr="00616069">
        <w:rPr>
          <w:rFonts w:ascii="Calibri" w:hAnsi="Calibri" w:cs="Calibri"/>
          <w:i/>
          <w:iCs/>
          <w:sz w:val="20"/>
        </w:rPr>
        <w:t xml:space="preserve"> </w:t>
      </w:r>
    </w:p>
    <w:p w14:paraId="3F99F9FA" w14:textId="6DA0884C" w:rsidR="007F41A0" w:rsidRPr="00616069" w:rsidRDefault="007F41A0" w:rsidP="003417B4">
      <w:pPr>
        <w:rPr>
          <w:rFonts w:ascii="Calibri" w:hAnsi="Calibri" w:cs="Calibri"/>
          <w:sz w:val="22"/>
          <w:szCs w:val="22"/>
        </w:rPr>
      </w:pPr>
    </w:p>
    <w:p w14:paraId="4299C957" w14:textId="36BC1F78" w:rsidR="00B50D1B" w:rsidRPr="00616069" w:rsidRDefault="00B50D1B" w:rsidP="003417B4">
      <w:pPr>
        <w:rPr>
          <w:rFonts w:ascii="Calibri" w:hAnsi="Calibri" w:cs="Calibri"/>
          <w:sz w:val="22"/>
          <w:szCs w:val="22"/>
        </w:rPr>
      </w:pPr>
    </w:p>
    <w:p w14:paraId="6A100EFD" w14:textId="3381F438" w:rsidR="00100269" w:rsidRPr="00616069" w:rsidRDefault="00100269" w:rsidP="003417B4">
      <w:pPr>
        <w:rPr>
          <w:rFonts w:ascii="Calibri" w:hAnsi="Calibri" w:cs="Calibri"/>
          <w:sz w:val="22"/>
          <w:szCs w:val="22"/>
        </w:rPr>
      </w:pPr>
    </w:p>
    <w:p w14:paraId="5F378DF9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012907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4E9F93F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5EDC910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4AE26056" w14:textId="77777777" w:rsidR="00137560" w:rsidRPr="00616069" w:rsidRDefault="00137560" w:rsidP="00CA3B41">
      <w:pPr>
        <w:rPr>
          <w:rFonts w:ascii="Calibri" w:hAnsi="Calibri" w:cs="Calibri"/>
          <w:sz w:val="22"/>
          <w:szCs w:val="22"/>
        </w:rPr>
      </w:pPr>
    </w:p>
    <w:p w14:paraId="79952D08" w14:textId="4596F283" w:rsidR="00C42F00" w:rsidRPr="00B04FE2" w:rsidRDefault="004975FD" w:rsidP="00CA3B41">
      <w:pPr>
        <w:rPr>
          <w:rFonts w:ascii="Calibri" w:hAnsi="Calibri" w:cs="Calibri"/>
          <w:sz w:val="22"/>
          <w:szCs w:val="22"/>
        </w:rPr>
      </w:pPr>
      <w:r w:rsidRPr="00616069">
        <w:rPr>
          <w:rFonts w:ascii="Calibri" w:hAnsi="Calibri" w:cs="Calibri"/>
          <w:i/>
          <w:iCs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5DA650" wp14:editId="15515F89">
                <wp:simplePos x="0" y="0"/>
                <wp:positionH relativeFrom="margin">
                  <wp:align>center</wp:align>
                </wp:positionH>
                <wp:positionV relativeFrom="paragraph">
                  <wp:posOffset>282527</wp:posOffset>
                </wp:positionV>
                <wp:extent cx="6574790" cy="46755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4675505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392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681E4" w14:textId="20B4FCBA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Metodika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Hypomonitoru</w:t>
                            </w:r>
                            <w:proofErr w:type="spellEnd"/>
                          </w:p>
                          <w:p w14:paraId="7401467C" w14:textId="77777777" w:rsidR="00414AD4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1021EABD" w14:textId="16015784" w:rsidR="0001227F" w:rsidRPr="00616069" w:rsidRDefault="00414AD4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="00FB47D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rozděluje poskytnuté hypoteční úvěry 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bank a stavebních spořitelen</w:t>
                            </w:r>
                            <w:r w:rsidR="00B426A2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domácnostem</w:t>
                            </w:r>
                            <w:r w:rsidR="00810DCF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do několika kategorií tak, aby byly rozlišeny nové úvěry od refinancovaných či interních refixací</w:t>
                            </w:r>
                            <w:r w:rsidR="000B70C8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Nové úvěry jsou 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pak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vykazovány v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kategoriích</w:t>
                            </w:r>
                            <w:r w:rsidR="00581CC1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dle účelu úvěru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:</w:t>
                            </w:r>
                          </w:p>
                          <w:p w14:paraId="58E707E8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3227247A" w14:textId="11714118" w:rsidR="0001227F" w:rsidRPr="00616069" w:rsidRDefault="00E818C3" w:rsidP="00E818C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1.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Nové úvěry</w:t>
                            </w:r>
                          </w:p>
                          <w:p w14:paraId="22AF3257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jejichž celý objem poprvé vstupuje do ekonomiky. Do této kategorie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nepatří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konsolidace úvěrů anebo refinancování úvěrů. Dělí se do tří kategorií:</w:t>
                            </w:r>
                          </w:p>
                          <w:p w14:paraId="362AFB2A" w14:textId="77777777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Nákup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9F23FA5" w14:textId="6EE96893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Výstavba nemovitosti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včetně rekonstrukce nemovitosti </w:t>
                            </w:r>
                          </w:p>
                          <w:p w14:paraId="4D80580F" w14:textId="11E0715F" w:rsidR="0001227F" w:rsidRPr="00616069" w:rsidRDefault="0001227F" w:rsidP="00E818C3">
                            <w:pPr>
                              <w:pStyle w:val="Odstavecseseznamem"/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Ostatní nová ujednání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      </w:r>
                            <w:proofErr w:type="gram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podílu,</w:t>
                            </w:r>
                            <w:proofErr w:type="gram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atp.</w:t>
                            </w:r>
                          </w:p>
                          <w:p w14:paraId="4FBF1D5A" w14:textId="77777777" w:rsidR="0001227F" w:rsidRPr="00616069" w:rsidRDefault="0001227F" w:rsidP="0001227F">
                            <w:pPr>
                              <w:spacing w:line="276" w:lineRule="auto"/>
                              <w:ind w:left="708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71D5E0BB" w14:textId="7D112C27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2.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Refinancované úvěry z jiné finanční instituce</w:t>
                            </w:r>
                          </w:p>
                          <w:p w14:paraId="351B5A60" w14:textId="0B5DCBB6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vznikly refinancováním jednoho nebo více úvěrů z jiné finanční instituce než </w:t>
                            </w:r>
                            <w:r w:rsidR="00973197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té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vykazující. Bez ohledu na výši refinancované částky a bez ohledu na výši případného navýšení se celková výše nově vzniklého úvěru vykazuje do této kategorie. </w:t>
                            </w:r>
                          </w:p>
                          <w:p w14:paraId="7566D2D6" w14:textId="77777777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04B36444" w14:textId="4F20B25F" w:rsidR="0001227F" w:rsidRPr="00616069" w:rsidRDefault="00E818C3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 xml:space="preserve">3. </w:t>
                            </w:r>
                            <w:r w:rsidR="0001227F"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</w:rPr>
                              <w:t>Navýšené anebo interně refinancované úvěry</w:t>
                            </w:r>
                          </w:p>
                          <w:p w14:paraId="711A3661" w14:textId="2A271010" w:rsidR="0001227F" w:rsidRPr="00616069" w:rsidRDefault="0001227F" w:rsidP="0001227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Jsou úvěry, které již byly </w:t>
                            </w:r>
                            <w:r w:rsidR="00647A7A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v 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předchozí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vykazované</w:t>
                            </w:r>
                            <w:r w:rsidR="0079039B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m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období součástí portfolia vykazujícího subjektu, a ve vykazovaném období u nich došlo k některé z následujících změn:</w:t>
                            </w:r>
                          </w:p>
                          <w:p w14:paraId="4A6B00C0" w14:textId="77777777" w:rsidR="00E818C3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navýšení sjednané částky </w:t>
                            </w:r>
                          </w:p>
                          <w:p w14:paraId="44682079" w14:textId="72C23671" w:rsidR="0001227F" w:rsidRPr="00616069" w:rsidRDefault="0001227F" w:rsidP="0001227F">
                            <w:pPr>
                              <w:pStyle w:val="Odstavecseseznamem"/>
                              <w:numPr>
                                <w:ilvl w:val="0"/>
                                <w:numId w:val="28"/>
                              </w:num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došlo k takovým změnám, že původní úvěr byl v rámci vykazujícího subjektu refinancován/převeden na nový úvěr.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J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="00CD28EC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tak o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skutečně </w:t>
                            </w:r>
                            <w:r w:rsidR="00E74228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novou smlouvu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, nikoli např. jen </w:t>
                            </w:r>
                            <w:r w:rsidR="007B79F6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nové ujednání v rámci refi</w:t>
                            </w:r>
                            <w:r w:rsidR="000F02C1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xace 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stávající smlouvy. Proto je objem takových úvěru ve statistice ČBA nižší oproti „ostatním novým ujednáním“ ve statistice České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árodní </w:t>
                            </w:r>
                            <w:r w:rsidR="002D3F94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b</w:t>
                            </w:r>
                            <w:r w:rsidR="00132EE9"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anky.</w:t>
                            </w:r>
                          </w:p>
                          <w:p w14:paraId="1FAF8B9B" w14:textId="4C474A58" w:rsidR="006F08E1" w:rsidRPr="00616069" w:rsidRDefault="006F08E1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65FC0189" w14:textId="08A7140E" w:rsidR="006F08E1" w:rsidRPr="00616069" w:rsidRDefault="001F49EA" w:rsidP="006F08E1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Data pro ČBA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Hypomonitor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      </w:r>
                            <w:proofErr w:type="spellStart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Raiffeisen</w:t>
                            </w:r>
                            <w:proofErr w:type="spellEnd"/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stavební spořitelna, Raiffeisenbank, Stavební spořitelna České spořitelny, UniCredit Bank.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DA6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0;margin-top:22.25pt;width:517.7pt;height:368.1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" fillcolor="#13576b" stroked="f">
                <v:fill opacity="54998f"/>
                <v:textbox>
                  <w:txbxContent>
                    <w:p w14:paraId="523681E4" w14:textId="20B4FCBA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Metodika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Hypomonitoru</w:t>
                      </w:r>
                      <w:proofErr w:type="spellEnd"/>
                    </w:p>
                    <w:p w14:paraId="7401467C" w14:textId="77777777" w:rsidR="00414AD4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</w:p>
                    <w:p w14:paraId="1021EABD" w14:textId="16015784" w:rsidR="0001227F" w:rsidRPr="00616069" w:rsidRDefault="00414AD4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="00FB47D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rozděluje poskytnuté hypoteční úvěry 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bank a stavebních spořitelen</w:t>
                      </w:r>
                      <w:r w:rsidR="00B426A2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domácnostem</w:t>
                      </w:r>
                      <w:r w:rsidR="00810DCF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do několika kategorií tak, aby byly rozlišeny nové úvěry od refinancovaných či interních refixací</w:t>
                      </w:r>
                      <w:r w:rsidR="000B70C8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Nové úvěry jsou 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pak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vykazovány v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kategoriích</w:t>
                      </w:r>
                      <w:r w:rsidR="00581CC1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dle účelu úvěru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:</w:t>
                      </w:r>
                    </w:p>
                    <w:p w14:paraId="58E707E8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3227247A" w14:textId="11714118" w:rsidR="0001227F" w:rsidRPr="00616069" w:rsidRDefault="00E818C3" w:rsidP="00E818C3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1.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Nové úvěry</w:t>
                      </w:r>
                    </w:p>
                    <w:p w14:paraId="22AF3257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jejichž celý objem poprvé vstupuje do ekonomiky. Do této kategorie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nepatří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konsolidace úvěrů anebo refinancování úvěrů. Dělí se do tří kategorií:</w:t>
                      </w:r>
                    </w:p>
                    <w:p w14:paraId="362AFB2A" w14:textId="77777777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Nákup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</w:t>
                      </w:r>
                    </w:p>
                    <w:p w14:paraId="29F23FA5" w14:textId="6EE96893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Výstavba nemovitosti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včetně rekonstrukce nemovitosti </w:t>
                      </w:r>
                    </w:p>
                    <w:p w14:paraId="4D80580F" w14:textId="11E0715F" w:rsidR="0001227F" w:rsidRPr="00616069" w:rsidRDefault="0001227F" w:rsidP="00E818C3">
                      <w:pPr>
                        <w:pStyle w:val="Odstavecseseznamem"/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Ostatní nová ujednání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– pouze nové úvěry, které nijak nesouvisí s koupí nebo výstavbou nemovitosti, např. tzv. americké hypotéky, vypořádání SJM, zpětná úhrada kupní ceny, vypořádání dědického podílu, vypořádání družstevního </w:t>
                      </w:r>
                      <w:proofErr w:type="gram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podílu,</w:t>
                      </w:r>
                      <w:proofErr w:type="gram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atp.</w:t>
                      </w:r>
                    </w:p>
                    <w:p w14:paraId="4FBF1D5A" w14:textId="77777777" w:rsidR="0001227F" w:rsidRPr="00616069" w:rsidRDefault="0001227F" w:rsidP="0001227F">
                      <w:pPr>
                        <w:spacing w:line="276" w:lineRule="auto"/>
                        <w:ind w:left="708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71D5E0BB" w14:textId="7D112C27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2.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Refinancované úvěry z jiné finanční instituce</w:t>
                      </w:r>
                    </w:p>
                    <w:p w14:paraId="351B5A60" w14:textId="0B5DCBB6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vznikly refinancováním jednoho nebo více úvěrů z jiné finanční instituce než </w:t>
                      </w:r>
                      <w:r w:rsidR="00973197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té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vykazující. Bez ohledu na výši refinancované částky a bez ohledu na výši případného navýšení se celková výše nově vzniklého úvěru vykazuje do této kategorie. </w:t>
                      </w:r>
                    </w:p>
                    <w:p w14:paraId="7566D2D6" w14:textId="77777777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04B36444" w14:textId="4F20B25F" w:rsidR="0001227F" w:rsidRPr="00616069" w:rsidRDefault="00E818C3" w:rsidP="0001227F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 xml:space="preserve">3. </w:t>
                      </w:r>
                      <w:r w:rsidR="0001227F"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</w:rPr>
                        <w:t>Navýšené anebo interně refinancované úvěry</w:t>
                      </w:r>
                    </w:p>
                    <w:p w14:paraId="711A3661" w14:textId="2A271010" w:rsidR="0001227F" w:rsidRPr="00616069" w:rsidRDefault="0001227F" w:rsidP="0001227F">
                      <w:pPr>
                        <w:spacing w:line="276" w:lineRule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Jsou úvěry, které již byly </w:t>
                      </w:r>
                      <w:r w:rsidR="00647A7A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v 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předchozí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vykazované</w:t>
                      </w:r>
                      <w:r w:rsidR="0079039B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m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období součástí portfolia vykazujícího subjektu, a ve vykazovaném období u nich došlo k některé z následujících změn:</w:t>
                      </w:r>
                    </w:p>
                    <w:p w14:paraId="4A6B00C0" w14:textId="77777777" w:rsidR="00E818C3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navýšení sjednané částky </w:t>
                      </w:r>
                    </w:p>
                    <w:p w14:paraId="44682079" w14:textId="72C23671" w:rsidR="0001227F" w:rsidRPr="00616069" w:rsidRDefault="0001227F" w:rsidP="0001227F">
                      <w:pPr>
                        <w:pStyle w:val="Odstavecseseznamem"/>
                        <w:numPr>
                          <w:ilvl w:val="0"/>
                          <w:numId w:val="28"/>
                        </w:num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došlo k takovým změnám, že původní úvěr byl v rámci vykazujícího subjektu refinancován/převeden na nový úvěr.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J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de</w:t>
                      </w:r>
                      <w:r w:rsidR="00CD28EC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tak o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skutečně </w:t>
                      </w:r>
                      <w:r w:rsidR="00E74228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novou smlouvu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, nikoli např. jen </w:t>
                      </w:r>
                      <w:r w:rsidR="007B79F6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nové ujednání v rámci refi</w:t>
                      </w:r>
                      <w:r w:rsidR="000F02C1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xace 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stávající smlouvy. Proto je objem takových úvěru ve statistice ČBA nižší oproti „ostatním novým ujednáním“ ve statistice České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n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árodní </w:t>
                      </w:r>
                      <w:r w:rsidR="002D3F94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b</w:t>
                      </w:r>
                      <w:r w:rsidR="00132EE9"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anky.</w:t>
                      </w:r>
                    </w:p>
                    <w:p w14:paraId="1FAF8B9B" w14:textId="4C474A58" w:rsidR="006F08E1" w:rsidRPr="00616069" w:rsidRDefault="006F08E1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65FC0189" w14:textId="08A7140E" w:rsidR="006F08E1" w:rsidRPr="00616069" w:rsidRDefault="001F49EA" w:rsidP="006F08E1">
                      <w:pPr>
                        <w:overflowPunct/>
                        <w:autoSpaceDE/>
                        <w:autoSpaceDN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Data pro ČBA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Hypomonitor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poskytují následující banky a stavební spořitelny: Air Bank, Česká spořitelna, ČSOB, ČSOB Stavební spořitelna, Fio banka, Hypoteční banka, Komerční banka, mBank, Modrá pyramida, MONETA Money Bank, MONETA Stavební spořitelna, Oberbank, </w:t>
                      </w:r>
                      <w:proofErr w:type="spellStart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>Raiffeisen</w:t>
                      </w:r>
                      <w:proofErr w:type="spellEnd"/>
                      <w:r w:rsidRPr="00616069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stavební spořitelna, Raiffeisenbank, Stavební spořitelna České spořitelny, UniCredit Bank.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3B697" wp14:editId="0EC478EC">
                <wp:simplePos x="0" y="0"/>
                <wp:positionH relativeFrom="margin">
                  <wp:align>right</wp:align>
                </wp:positionH>
                <wp:positionV relativeFrom="paragraph">
                  <wp:posOffset>5315585</wp:posOffset>
                </wp:positionV>
                <wp:extent cx="2193290" cy="1546860"/>
                <wp:effectExtent l="0" t="0" r="0" b="0"/>
                <wp:wrapNone/>
                <wp:docPr id="3" name="Obdélník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1546860"/>
                        </a:xfrm>
                        <a:prstGeom prst="rect">
                          <a:avLst/>
                        </a:prstGeom>
                        <a:solidFill>
                          <a:srgbClr val="13576B">
                            <a:alpha val="86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0A7AB" w14:textId="77777777" w:rsidR="0065124E" w:rsidRPr="00616069" w:rsidRDefault="0065124E" w:rsidP="00044002">
                            <w:pPr>
                              <w:spacing w:line="276" w:lineRule="auto"/>
                              <w:ind w:left="28" w:hanging="28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Další informace </w:t>
                            </w:r>
                          </w:p>
                          <w:p w14:paraId="63BD2C87" w14:textId="23BE0F27" w:rsidR="0065124E" w:rsidRPr="00616069" w:rsidRDefault="007B4508" w:rsidP="007B4508">
                            <w:pPr>
                              <w:spacing w:line="276" w:lineRule="auto"/>
                              <w:jc w:val="left"/>
                              <w:outlineLvl w:val="0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rádi poskytneme:</w:t>
                            </w:r>
                          </w:p>
                          <w:p w14:paraId="6B6215FA" w14:textId="7777777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2CF1F6FB" w14:textId="2352EA51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 Šalša</w:t>
                            </w:r>
                          </w:p>
                          <w:p w14:paraId="599CC908" w14:textId="7EBF7721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PR a komunikace ČBA</w:t>
                            </w:r>
                          </w:p>
                          <w:p w14:paraId="6ED92D8B" w14:textId="752C9003" w:rsidR="0065124E" w:rsidRPr="00616069" w:rsidRDefault="00B9205C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radek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</w:t>
                            </w: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salsa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@</w:t>
                            </w:r>
                            <w:r w:rsidR="004555E6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cbaonline</w:t>
                            </w:r>
                            <w:r w:rsidR="0065124E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.cz</w:t>
                            </w:r>
                          </w:p>
                          <w:p w14:paraId="1CB50E15" w14:textId="6FA59267" w:rsidR="0065124E" w:rsidRPr="00616069" w:rsidRDefault="0065124E" w:rsidP="00044002">
                            <w:pPr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tel: + 420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73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1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 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494</w:t>
                            </w:r>
                            <w:r w:rsidR="008C5D4D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1</w:t>
                            </w:r>
                            <w:r w:rsidR="00795F3C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>28</w:t>
                            </w:r>
                          </w:p>
                          <w:p w14:paraId="68E9F459" w14:textId="77777777" w:rsidR="0065124E" w:rsidRPr="00616069" w:rsidRDefault="0065124E" w:rsidP="00044002">
                            <w:pPr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3B697" id="Obdélník 200" o:spid="_x0000_s1029" style="position:absolute;left:0;text-align:left;margin-left:121.5pt;margin-top:418.55pt;width:172.7pt;height:121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" fillcolor="#13576b" stroked="f">
                <v:fill opacity="56283f"/>
                <v:textbox inset="3mm,3mm,3mm,3mm">
                  <w:txbxContent>
                    <w:p w14:paraId="54D0A7AB" w14:textId="77777777" w:rsidR="0065124E" w:rsidRPr="00616069" w:rsidRDefault="0065124E" w:rsidP="00044002">
                      <w:pPr>
                        <w:spacing w:line="276" w:lineRule="auto"/>
                        <w:ind w:left="28" w:hanging="28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 xml:space="preserve">Další informace </w:t>
                      </w:r>
                    </w:p>
                    <w:p w14:paraId="63BD2C87" w14:textId="23BE0F27" w:rsidR="0065124E" w:rsidRPr="00616069" w:rsidRDefault="007B4508" w:rsidP="007B4508">
                      <w:pPr>
                        <w:spacing w:line="276" w:lineRule="auto"/>
                        <w:jc w:val="left"/>
                        <w:outlineLvl w:val="0"/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color w:val="FFFFFF" w:themeColor="background1"/>
                          <w:sz w:val="20"/>
                          <w:szCs w:val="18"/>
                        </w:rPr>
                        <w:t>rádi poskytneme:</w:t>
                      </w:r>
                    </w:p>
                    <w:p w14:paraId="6B6215FA" w14:textId="7777777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color w:val="FFFFFF" w:themeColor="background1"/>
                          <w:szCs w:val="18"/>
                        </w:rPr>
                      </w:pPr>
                    </w:p>
                    <w:p w14:paraId="2CF1F6FB" w14:textId="2352EA51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 Šalša</w:t>
                      </w:r>
                    </w:p>
                    <w:p w14:paraId="599CC908" w14:textId="7EBF7721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PR a komunikace ČBA</w:t>
                      </w:r>
                    </w:p>
                    <w:p w14:paraId="6ED92D8B" w14:textId="752C9003" w:rsidR="0065124E" w:rsidRPr="00616069" w:rsidRDefault="00B9205C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radek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</w:t>
                      </w: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salsa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@</w:t>
                      </w:r>
                      <w:r w:rsidR="004555E6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cbaonline</w:t>
                      </w:r>
                      <w:r w:rsidR="0065124E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.cz</w:t>
                      </w:r>
                    </w:p>
                    <w:p w14:paraId="1CB50E15" w14:textId="6FA59267" w:rsidR="0065124E" w:rsidRPr="00616069" w:rsidRDefault="0065124E" w:rsidP="00044002">
                      <w:pPr>
                        <w:spacing w:line="276" w:lineRule="auto"/>
                        <w:jc w:val="left"/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tel: + 420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73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1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 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494</w:t>
                      </w:r>
                      <w:r w:rsidR="008C5D4D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1</w:t>
                      </w:r>
                      <w:r w:rsidR="00795F3C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>28</w:t>
                      </w:r>
                    </w:p>
                    <w:p w14:paraId="68E9F459" w14:textId="77777777" w:rsidR="0065124E" w:rsidRPr="00616069" w:rsidRDefault="0065124E" w:rsidP="00044002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7E6C" w:rsidRPr="00616069">
        <w:rPr>
          <w:rFonts w:ascii="Calibri" w:eastAsiaTheme="minorEastAsia" w:hAnsi="Calibri" w:cs="Calibri"/>
          <w:i/>
          <w:iCs/>
          <w:noProof/>
          <w:sz w:val="16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0BA4F4" wp14:editId="61EE1DCA">
                <wp:simplePos x="0" y="0"/>
                <wp:positionH relativeFrom="margin">
                  <wp:posOffset>-36601</wp:posOffset>
                </wp:positionH>
                <wp:positionV relativeFrom="paragraph">
                  <wp:posOffset>5311241</wp:posOffset>
                </wp:positionV>
                <wp:extent cx="4322445" cy="1546860"/>
                <wp:effectExtent l="0" t="0" r="1905" b="0"/>
                <wp:wrapNone/>
                <wp:docPr id="199" name="Obdélník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2445" cy="1546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E2C6A" w14:textId="77777777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O České bankovní asociaci</w:t>
                            </w:r>
                          </w:p>
                          <w:p w14:paraId="63AAED65" w14:textId="4BBC3F44" w:rsidR="0065124E" w:rsidRPr="00616069" w:rsidRDefault="0065124E" w:rsidP="00060D7F">
                            <w:pPr>
                              <w:pStyle w:val="Standard"/>
                              <w:spacing w:line="276" w:lineRule="auto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Česká bankovní asociace vznikla v roce 1990 a je dobrovolným sdružením právnických osob podnikajících v oblasti peněžnictví. V současné době sdružuje </w:t>
                            </w:r>
                            <w:r w:rsidR="00AB7541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="00B71C25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3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členů. Rolí asociace je především zastupovat a prosazovat společné zájmy členů, prezentovat roli a zájmy bankovnictví vůči veřejnosti, podílet se na standardizaci postupů v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      </w:r>
                            <w:r w:rsidRPr="00616069">
                              <w:rPr>
                                <w:rFonts w:ascii="Calibri" w:hAnsi="Calibri" w:cs="Calibri"/>
                                <w:i/>
                                <w:szCs w:val="18"/>
                              </w:rPr>
                              <w:t> </w:t>
                            </w:r>
                            <w:r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>EMMI.</w:t>
                            </w:r>
                            <w:r w:rsidR="002D4720" w:rsidRPr="00616069">
                              <w:rPr>
                                <w:rFonts w:ascii="Calibri" w:hAnsi="Calibri" w:cs="Calibri"/>
                                <w:szCs w:val="18"/>
                              </w:rPr>
                              <w:t xml:space="preserve"> Více informací na </w:t>
                            </w:r>
                            <w:hyperlink r:id="rId12" w:history="1">
                              <w:r w:rsidR="002D4720" w:rsidRPr="00616069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Cs w:val="18"/>
                                </w:rPr>
                                <w:t>www.cbaonline.cz</w:t>
                              </w:r>
                            </w:hyperlink>
                            <w:r w:rsidR="002D4720" w:rsidRPr="00616069">
                              <w:rPr>
                                <w:rFonts w:ascii="Calibri" w:hAnsi="Calibri" w:cs="Calibri"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BA4F4" id="Obdélník 199" o:spid="_x0000_s1030" style="position:absolute;left:0;text-align:left;margin-left:-2.9pt;margin-top:418.2pt;width:340.35pt;height:121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" fillcolor="#bfbfbf [2412]" stroked="f" strokeweight="1pt">
                <v:textbox inset="3mm,3mm,3mm,3mm">
                  <w:txbxContent>
                    <w:p w14:paraId="7E6E2C6A" w14:textId="77777777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616069">
                        <w:rPr>
                          <w:rFonts w:ascii="Calibri" w:hAnsi="Calibri" w:cs="Calibri"/>
                          <w:b/>
                          <w:sz w:val="20"/>
                        </w:rPr>
                        <w:t>O České bankovní asociaci</w:t>
                      </w:r>
                    </w:p>
                    <w:p w14:paraId="63AAED65" w14:textId="4BBC3F44" w:rsidR="0065124E" w:rsidRPr="00616069" w:rsidRDefault="0065124E" w:rsidP="00060D7F">
                      <w:pPr>
                        <w:pStyle w:val="Standard"/>
                        <w:spacing w:line="276" w:lineRule="auto"/>
                        <w:jc w:val="left"/>
                        <w:rPr>
                          <w:rFonts w:ascii="Calibri" w:hAnsi="Calibri" w:cs="Calibri"/>
                          <w:szCs w:val="18"/>
                        </w:rPr>
                      </w:pP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Česká bankovní asociace vznikla v roce 1990 a je dobrovolným sdružením právnických osob podnikajících v oblasti peněžnictví. V současné době sdružuje </w:t>
                      </w:r>
                      <w:r w:rsidR="00AB7541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="00B71C25" w:rsidRPr="00616069">
                        <w:rPr>
                          <w:rFonts w:ascii="Calibri" w:hAnsi="Calibri" w:cs="Calibri"/>
                          <w:szCs w:val="18"/>
                        </w:rPr>
                        <w:t>3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 xml:space="preserve"> členů. Rolí asociace je především zastupovat a prosazovat společné zájmy členů, prezentovat roli a zájmy bankovnictví vůči veřejnosti, podílet se na standardizaci postupů v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bankovnictví a na vytváření odborných zvyklostí, podporovat harmonizaci bankovní legislativy s legislativou Evropské unie a vyvíjet aktivitu v informativní a školící oblasti. ČBA je členem Evropské bankovní federace a</w:t>
                      </w:r>
                      <w:r w:rsidRPr="00616069">
                        <w:rPr>
                          <w:rFonts w:ascii="Calibri" w:hAnsi="Calibri" w:cs="Calibri"/>
                          <w:i/>
                          <w:szCs w:val="18"/>
                        </w:rPr>
                        <w:t> </w:t>
                      </w:r>
                      <w:r w:rsidRPr="00616069">
                        <w:rPr>
                          <w:rFonts w:ascii="Calibri" w:hAnsi="Calibri" w:cs="Calibri"/>
                          <w:szCs w:val="18"/>
                        </w:rPr>
                        <w:t>EMMI.</w:t>
                      </w:r>
                      <w:r w:rsidR="002D4720" w:rsidRPr="00616069">
                        <w:rPr>
                          <w:rFonts w:ascii="Calibri" w:hAnsi="Calibri" w:cs="Calibri"/>
                          <w:szCs w:val="18"/>
                        </w:rPr>
                        <w:t xml:space="preserve"> Více informací na </w:t>
                      </w:r>
                      <w:hyperlink r:id="rId13" w:history="1">
                        <w:r w:rsidR="002D4720" w:rsidRPr="00616069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Cs w:val="18"/>
                          </w:rPr>
                          <w:t>www.cbaonline.cz</w:t>
                        </w:r>
                      </w:hyperlink>
                      <w:r w:rsidR="002D4720" w:rsidRPr="00616069">
                        <w:rPr>
                          <w:rFonts w:ascii="Calibri" w:hAnsi="Calibri" w:cs="Calibri"/>
                          <w:color w:val="FFFFFF" w:themeColor="background1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42F00" w:rsidRPr="00B04FE2" w:rsidSect="002A54FD">
      <w:headerReference w:type="default" r:id="rId14"/>
      <w:footerReference w:type="default" r:id="rId15"/>
      <w:pgSz w:w="11906" w:h="16838"/>
      <w:pgMar w:top="2552" w:right="849" w:bottom="1560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5A79" w14:textId="77777777" w:rsidR="002A54FD" w:rsidRPr="00616069" w:rsidRDefault="002A54FD" w:rsidP="00F573F1">
      <w:r w:rsidRPr="00616069">
        <w:separator/>
      </w:r>
    </w:p>
  </w:endnote>
  <w:endnote w:type="continuationSeparator" w:id="0">
    <w:p w14:paraId="016AF855" w14:textId="77777777" w:rsidR="002A54FD" w:rsidRPr="00616069" w:rsidRDefault="002A54FD" w:rsidP="00F573F1">
      <w:r w:rsidRPr="006160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690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2EB97C" w14:textId="697C5AC2" w:rsidR="001E31AB" w:rsidRPr="00616069" w:rsidRDefault="001E31AB">
            <w:pPr>
              <w:pStyle w:val="Zpat"/>
              <w:jc w:val="right"/>
            </w:pPr>
            <w:r w:rsidRPr="00616069">
              <w:rPr>
                <w:rFonts w:ascii="Calibri" w:hAnsi="Calibri"/>
                <w:noProof/>
                <w:szCs w:val="18"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7B2A8544" wp14:editId="09B386F6">
                  <wp:simplePos x="0" y="0"/>
                  <wp:positionH relativeFrom="column">
                    <wp:posOffset>-540385</wp:posOffset>
                  </wp:positionH>
                  <wp:positionV relativeFrom="paragraph">
                    <wp:posOffset>-365760</wp:posOffset>
                  </wp:positionV>
                  <wp:extent cx="3042285" cy="701040"/>
                  <wp:effectExtent l="0" t="0" r="5715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09" t="94992" r="61095" b="-1544"/>
                          <a:stretch/>
                        </pic:blipFill>
                        <pic:spPr bwMode="auto">
                          <a:xfrm>
                            <a:off x="0" y="0"/>
                            <a:ext cx="3042285" cy="701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6069">
              <w:rPr>
                <w:rFonts w:ascii="Calibri" w:hAnsi="Calibri"/>
                <w:szCs w:val="18"/>
              </w:rPr>
              <w:t xml:space="preserve">Stránka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PAGE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1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  <w:r w:rsidRPr="00616069">
              <w:rPr>
                <w:rFonts w:ascii="Calibri" w:hAnsi="Calibri"/>
                <w:szCs w:val="18"/>
              </w:rPr>
              <w:t xml:space="preserve"> z 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begin"/>
            </w:r>
            <w:r w:rsidRPr="00616069">
              <w:rPr>
                <w:rFonts w:ascii="Calibri" w:hAnsi="Calibri"/>
                <w:b/>
                <w:bCs/>
                <w:szCs w:val="18"/>
              </w:rPr>
              <w:instrText>NUMPAGES</w:instrTex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separate"/>
            </w:r>
            <w:r w:rsidR="005F4B41" w:rsidRPr="00616069">
              <w:rPr>
                <w:rFonts w:ascii="Calibri" w:hAnsi="Calibri"/>
                <w:b/>
                <w:bCs/>
                <w:szCs w:val="18"/>
              </w:rPr>
              <w:t>2</w:t>
            </w:r>
            <w:r w:rsidRPr="00616069">
              <w:rPr>
                <w:rFonts w:ascii="Calibri" w:hAnsi="Calibr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616069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B876" w14:textId="77777777" w:rsidR="002A54FD" w:rsidRPr="00616069" w:rsidRDefault="002A54FD" w:rsidP="00F573F1">
      <w:r w:rsidRPr="00616069">
        <w:separator/>
      </w:r>
    </w:p>
  </w:footnote>
  <w:footnote w:type="continuationSeparator" w:id="0">
    <w:p w14:paraId="62212C87" w14:textId="77777777" w:rsidR="002A54FD" w:rsidRPr="00616069" w:rsidRDefault="002A54FD" w:rsidP="00F573F1">
      <w:r w:rsidRPr="00616069">
        <w:continuationSeparator/>
      </w:r>
    </w:p>
  </w:footnote>
  <w:footnote w:id="1">
    <w:p w14:paraId="18CC1781" w14:textId="77777777" w:rsidR="00AC7487" w:rsidRPr="00616069" w:rsidRDefault="00AC7487" w:rsidP="00AC7487">
      <w:pPr>
        <w:pStyle w:val="Textpoznpodarou"/>
        <w:rPr>
          <w:rFonts w:ascii="Calibri" w:hAnsi="Calibri" w:cs="Calibri"/>
          <w:sz w:val="17"/>
          <w:szCs w:val="17"/>
        </w:rPr>
      </w:pPr>
      <w:r w:rsidRPr="00616069">
        <w:rPr>
          <w:rStyle w:val="Znakapoznpodarou"/>
          <w:rFonts w:ascii="Calibri" w:hAnsi="Calibri" w:cs="Calibri"/>
          <w:sz w:val="17"/>
          <w:szCs w:val="17"/>
        </w:rPr>
        <w:footnoteRef/>
      </w:r>
      <w:r w:rsidRPr="00616069">
        <w:rPr>
          <w:rFonts w:ascii="Calibri" w:hAnsi="Calibri" w:cs="Calibr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Jedná se především o dlouholeté úrokové swapy (interest rate swap, IRS), které odráží cenu peněz v delších splatnostech, například 5 až 10 let.</w:t>
      </w:r>
    </w:p>
  </w:footnote>
  <w:footnote w:id="2">
    <w:p w14:paraId="67D40024" w14:textId="3138CC7C" w:rsidR="00B04FE2" w:rsidRDefault="00B04FE2" w:rsidP="00B04FE2">
      <w:pPr>
        <w:pStyle w:val="Textpoznpodarou"/>
      </w:pPr>
      <w:r w:rsidRPr="00616069">
        <w:rPr>
          <w:rStyle w:val="Znakapoznpodarou"/>
        </w:rPr>
        <w:footnoteRef/>
      </w:r>
      <w:r w:rsidRPr="00616069"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Tabulka je k dispozici v souboru xls přiloženém na webových stránkách</w:t>
      </w:r>
      <w:r w:rsidR="00322BF9" w:rsidRPr="00616069">
        <w:rPr>
          <w:rFonts w:asciiTheme="majorHAnsi" w:hAnsiTheme="majorHAnsi" w:cstheme="majorHAnsi"/>
          <w:sz w:val="17"/>
          <w:szCs w:val="17"/>
        </w:rPr>
        <w:t xml:space="preserve"> </w:t>
      </w:r>
      <w:r w:rsidRPr="00616069">
        <w:rPr>
          <w:rFonts w:asciiTheme="majorHAnsi" w:hAnsiTheme="majorHAnsi" w:cstheme="majorHAnsi"/>
          <w:sz w:val="17"/>
          <w:szCs w:val="17"/>
        </w:rPr>
        <w:t>ČBA Hypomonitoru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4485" w14:textId="18FEECDB" w:rsidR="0065124E" w:rsidRPr="00616069" w:rsidRDefault="00744C66">
    <w:pPr>
      <w:pStyle w:val="Zhlav"/>
    </w:pPr>
    <w:r w:rsidRPr="0061606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7D896D" wp14:editId="06D1527F">
          <wp:simplePos x="0" y="0"/>
          <wp:positionH relativeFrom="column">
            <wp:posOffset>-52705</wp:posOffset>
          </wp:positionH>
          <wp:positionV relativeFrom="paragraph">
            <wp:posOffset>29845</wp:posOffset>
          </wp:positionV>
          <wp:extent cx="2209800" cy="77851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720" w:rsidRPr="00616069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A1D7AA9" wp14:editId="7A7B0A01">
          <wp:simplePos x="0" y="0"/>
          <wp:positionH relativeFrom="column">
            <wp:posOffset>3985895</wp:posOffset>
          </wp:positionH>
          <wp:positionV relativeFrom="paragraph">
            <wp:posOffset>-8255</wp:posOffset>
          </wp:positionV>
          <wp:extent cx="2943225" cy="243840"/>
          <wp:effectExtent l="0" t="0" r="952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992" r="61096" b="2729"/>
                  <a:stretch/>
                </pic:blipFill>
                <pic:spPr bwMode="auto">
                  <a:xfrm>
                    <a:off x="0" y="0"/>
                    <a:ext cx="2943225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720" w:rsidRPr="00616069">
      <w:rPr>
        <w:rFonts w:cs="Arial"/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6DE097" wp14:editId="755E40ED">
              <wp:simplePos x="0" y="0"/>
              <wp:positionH relativeFrom="margin">
                <wp:posOffset>5238115</wp:posOffset>
              </wp:positionH>
              <wp:positionV relativeFrom="paragraph">
                <wp:posOffset>153035</wp:posOffset>
              </wp:positionV>
              <wp:extent cx="1239520" cy="14046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E40D2" w14:textId="77777777" w:rsidR="002D4720" w:rsidRPr="00616069" w:rsidRDefault="002D4720" w:rsidP="002D4720">
                          <w:pPr>
                            <w:spacing w:line="276" w:lineRule="auto"/>
                            <w:jc w:val="right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  <w:t>KOMENTÁŘ</w:t>
                          </w:r>
                        </w:p>
                        <w:p w14:paraId="0A69756F" w14:textId="42C9CFCA" w:rsidR="002D4720" w:rsidRPr="00616069" w:rsidRDefault="007F41A0" w:rsidP="002D4720">
                          <w:pPr>
                            <w:spacing w:line="276" w:lineRule="auto"/>
                            <w:jc w:val="center"/>
                            <w:rPr>
                              <w:rFonts w:ascii="Calibri" w:hAnsi="Calibri" w:cs="Calibri"/>
                              <w:b/>
                              <w:color w:val="13576B"/>
                              <w:sz w:val="20"/>
                              <w:szCs w:val="22"/>
                            </w:rPr>
                          </w:pPr>
                          <w:r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 xml:space="preserve">            </w:t>
                          </w:r>
                          <w:r w:rsidR="0001227F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1</w:t>
                          </w:r>
                          <w:r w:rsidR="007E2A76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0</w:t>
                          </w:r>
                          <w:r w:rsidR="00797D07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3</w:t>
                          </w:r>
                          <w:r w:rsidR="002D4720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.202</w:t>
                          </w:r>
                          <w:r w:rsidR="003E393C" w:rsidRPr="00616069">
                            <w:rPr>
                              <w:rFonts w:ascii="Calibri" w:hAnsi="Calibri" w:cs="Calibri"/>
                              <w:color w:val="13576B"/>
                              <w:sz w:val="20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DE0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12.45pt;margin-top:12.05pt;width:97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" filled="f" stroked="f">
              <v:textbox style="mso-fit-shape-to-text:t">
                <w:txbxContent>
                  <w:p w14:paraId="15DE40D2" w14:textId="77777777" w:rsidR="002D4720" w:rsidRPr="00616069" w:rsidRDefault="002D4720" w:rsidP="002D4720">
                    <w:pPr>
                      <w:spacing w:line="276" w:lineRule="auto"/>
                      <w:jc w:val="right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  <w:t>KOMENTÁŘ</w:t>
                    </w:r>
                  </w:p>
                  <w:p w14:paraId="0A69756F" w14:textId="42C9CFCA" w:rsidR="002D4720" w:rsidRPr="00616069" w:rsidRDefault="007F41A0" w:rsidP="002D4720">
                    <w:pPr>
                      <w:spacing w:line="276" w:lineRule="auto"/>
                      <w:jc w:val="center"/>
                      <w:rPr>
                        <w:rFonts w:ascii="Calibri" w:hAnsi="Calibri" w:cs="Calibri"/>
                        <w:b/>
                        <w:color w:val="13576B"/>
                        <w:sz w:val="20"/>
                        <w:szCs w:val="22"/>
                      </w:rPr>
                    </w:pPr>
                    <w:r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 xml:space="preserve">            </w:t>
                    </w:r>
                    <w:r w:rsidR="0001227F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1</w:t>
                    </w:r>
                    <w:r w:rsidR="007E2A76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0</w:t>
                    </w:r>
                    <w:r w:rsidR="00797D07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3</w:t>
                    </w:r>
                    <w:r w:rsidR="002D4720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.202</w:t>
                    </w:r>
                    <w:r w:rsidR="003E393C" w:rsidRPr="00616069">
                      <w:rPr>
                        <w:rFonts w:ascii="Calibri" w:hAnsi="Calibri" w:cs="Calibri"/>
                        <w:color w:val="13576B"/>
                        <w:sz w:val="20"/>
                        <w:szCs w:val="22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9A1"/>
    <w:multiLevelType w:val="hybridMultilevel"/>
    <w:tmpl w:val="28EA1BD4"/>
    <w:lvl w:ilvl="0" w:tplc="F860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4B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04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3A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5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E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09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843AD"/>
    <w:multiLevelType w:val="hybridMultilevel"/>
    <w:tmpl w:val="EB828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72"/>
    <w:multiLevelType w:val="hybridMultilevel"/>
    <w:tmpl w:val="4222A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1D76"/>
    <w:multiLevelType w:val="hybridMultilevel"/>
    <w:tmpl w:val="6D527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2C3C"/>
    <w:multiLevelType w:val="hybridMultilevel"/>
    <w:tmpl w:val="163C6E8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206309C"/>
    <w:multiLevelType w:val="hybridMultilevel"/>
    <w:tmpl w:val="855E01C6"/>
    <w:lvl w:ilvl="0" w:tplc="9F3AF1E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2919"/>
    <w:multiLevelType w:val="hybridMultilevel"/>
    <w:tmpl w:val="2B56FAFE"/>
    <w:lvl w:ilvl="0" w:tplc="698817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4083"/>
    <w:multiLevelType w:val="hybridMultilevel"/>
    <w:tmpl w:val="3C584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2FC1"/>
    <w:multiLevelType w:val="hybridMultilevel"/>
    <w:tmpl w:val="C296AEE6"/>
    <w:lvl w:ilvl="0" w:tplc="B2560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4577"/>
    <w:multiLevelType w:val="hybridMultilevel"/>
    <w:tmpl w:val="553EAC9E"/>
    <w:lvl w:ilvl="0" w:tplc="8B20C2B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343A30"/>
    <w:multiLevelType w:val="hybridMultilevel"/>
    <w:tmpl w:val="26BEA028"/>
    <w:lvl w:ilvl="0" w:tplc="886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0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2B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E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2A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2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E2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45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A85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BB14DD"/>
    <w:multiLevelType w:val="hybridMultilevel"/>
    <w:tmpl w:val="17628C18"/>
    <w:lvl w:ilvl="0" w:tplc="E50CA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C6437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B6E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9EEF1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2ECDB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A6A64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85E48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5F0E1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8AD3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C5A2A51"/>
    <w:multiLevelType w:val="hybridMultilevel"/>
    <w:tmpl w:val="633C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E5"/>
    <w:multiLevelType w:val="hybridMultilevel"/>
    <w:tmpl w:val="F91C69CC"/>
    <w:lvl w:ilvl="0" w:tplc="AA889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2B28"/>
    <w:multiLevelType w:val="hybridMultilevel"/>
    <w:tmpl w:val="A77CB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70A7D"/>
    <w:multiLevelType w:val="hybridMultilevel"/>
    <w:tmpl w:val="E76A6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024A"/>
    <w:multiLevelType w:val="hybridMultilevel"/>
    <w:tmpl w:val="123AA014"/>
    <w:lvl w:ilvl="0" w:tplc="A1E6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A3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4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0A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8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86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45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E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A7633"/>
    <w:multiLevelType w:val="hybridMultilevel"/>
    <w:tmpl w:val="A68019BE"/>
    <w:lvl w:ilvl="0" w:tplc="D6BA4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9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8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6A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3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6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CED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48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0A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09105EB"/>
    <w:multiLevelType w:val="hybridMultilevel"/>
    <w:tmpl w:val="25882682"/>
    <w:lvl w:ilvl="0" w:tplc="E586E02A">
      <w:start w:val="1"/>
      <w:numFmt w:val="decimal"/>
      <w:lvlText w:val="%1."/>
      <w:lvlJc w:val="left"/>
      <w:pPr>
        <w:ind w:left="410" w:hanging="360"/>
      </w:pPr>
    </w:lvl>
    <w:lvl w:ilvl="1" w:tplc="08090019">
      <w:start w:val="1"/>
      <w:numFmt w:val="lowerLetter"/>
      <w:lvlText w:val="%2."/>
      <w:lvlJc w:val="left"/>
      <w:pPr>
        <w:ind w:left="1130" w:hanging="360"/>
      </w:pPr>
    </w:lvl>
    <w:lvl w:ilvl="2" w:tplc="0809001B">
      <w:start w:val="1"/>
      <w:numFmt w:val="lowerRoman"/>
      <w:lvlText w:val="%3."/>
      <w:lvlJc w:val="right"/>
      <w:pPr>
        <w:ind w:left="1850" w:hanging="180"/>
      </w:pPr>
    </w:lvl>
    <w:lvl w:ilvl="3" w:tplc="0809000F">
      <w:start w:val="1"/>
      <w:numFmt w:val="decimal"/>
      <w:lvlText w:val="%4."/>
      <w:lvlJc w:val="left"/>
      <w:pPr>
        <w:ind w:left="2570" w:hanging="360"/>
      </w:pPr>
    </w:lvl>
    <w:lvl w:ilvl="4" w:tplc="08090019">
      <w:start w:val="1"/>
      <w:numFmt w:val="lowerLetter"/>
      <w:lvlText w:val="%5."/>
      <w:lvlJc w:val="left"/>
      <w:pPr>
        <w:ind w:left="3290" w:hanging="360"/>
      </w:pPr>
    </w:lvl>
    <w:lvl w:ilvl="5" w:tplc="0809001B">
      <w:start w:val="1"/>
      <w:numFmt w:val="lowerRoman"/>
      <w:lvlText w:val="%6."/>
      <w:lvlJc w:val="right"/>
      <w:pPr>
        <w:ind w:left="4010" w:hanging="180"/>
      </w:pPr>
    </w:lvl>
    <w:lvl w:ilvl="6" w:tplc="0809000F">
      <w:start w:val="1"/>
      <w:numFmt w:val="decimal"/>
      <w:lvlText w:val="%7."/>
      <w:lvlJc w:val="left"/>
      <w:pPr>
        <w:ind w:left="4730" w:hanging="360"/>
      </w:pPr>
    </w:lvl>
    <w:lvl w:ilvl="7" w:tplc="08090019">
      <w:start w:val="1"/>
      <w:numFmt w:val="lowerLetter"/>
      <w:lvlText w:val="%8."/>
      <w:lvlJc w:val="left"/>
      <w:pPr>
        <w:ind w:left="5450" w:hanging="360"/>
      </w:pPr>
    </w:lvl>
    <w:lvl w:ilvl="8" w:tplc="0809001B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06843DC"/>
    <w:multiLevelType w:val="hybridMultilevel"/>
    <w:tmpl w:val="3E42D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1214D"/>
    <w:multiLevelType w:val="hybridMultilevel"/>
    <w:tmpl w:val="9F34024E"/>
    <w:lvl w:ilvl="0" w:tplc="ADB0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9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AB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2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EB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A9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C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823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613CD2"/>
    <w:multiLevelType w:val="hybridMultilevel"/>
    <w:tmpl w:val="0CF0BB3A"/>
    <w:lvl w:ilvl="0" w:tplc="15082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6C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90C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B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CC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205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E1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FCF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E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5577F"/>
    <w:multiLevelType w:val="hybridMultilevel"/>
    <w:tmpl w:val="BBB23B48"/>
    <w:lvl w:ilvl="0" w:tplc="AC68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AC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7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6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0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62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D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8FD055A"/>
    <w:multiLevelType w:val="hybridMultilevel"/>
    <w:tmpl w:val="F490C33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EA509EA"/>
    <w:multiLevelType w:val="hybridMultilevel"/>
    <w:tmpl w:val="14E0161E"/>
    <w:lvl w:ilvl="0" w:tplc="9F3AF1E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137D7D"/>
    <w:multiLevelType w:val="hybridMultilevel"/>
    <w:tmpl w:val="F856C146"/>
    <w:lvl w:ilvl="0" w:tplc="F37A31C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DE4F03"/>
    <w:multiLevelType w:val="hybridMultilevel"/>
    <w:tmpl w:val="D458DCC2"/>
    <w:lvl w:ilvl="0" w:tplc="ABAA372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767A3"/>
    <w:multiLevelType w:val="hybridMultilevel"/>
    <w:tmpl w:val="50648AEA"/>
    <w:lvl w:ilvl="0" w:tplc="A250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C9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C9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C8C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49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AC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E4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2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FB636A"/>
    <w:multiLevelType w:val="hybridMultilevel"/>
    <w:tmpl w:val="4454BAA0"/>
    <w:lvl w:ilvl="0" w:tplc="3A1A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F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4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AC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2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2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4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6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2B4724"/>
    <w:multiLevelType w:val="hybridMultilevel"/>
    <w:tmpl w:val="A274A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2314">
    <w:abstractNumId w:val="2"/>
  </w:num>
  <w:num w:numId="2" w16cid:durableId="1910113698">
    <w:abstractNumId w:val="8"/>
  </w:num>
  <w:num w:numId="3" w16cid:durableId="405613309">
    <w:abstractNumId w:val="25"/>
  </w:num>
  <w:num w:numId="4" w16cid:durableId="240213499">
    <w:abstractNumId w:val="14"/>
  </w:num>
  <w:num w:numId="5" w16cid:durableId="740492638">
    <w:abstractNumId w:val="4"/>
  </w:num>
  <w:num w:numId="6" w16cid:durableId="211576891">
    <w:abstractNumId w:val="23"/>
  </w:num>
  <w:num w:numId="7" w16cid:durableId="1918248069">
    <w:abstractNumId w:val="6"/>
  </w:num>
  <w:num w:numId="8" w16cid:durableId="1159419045">
    <w:abstractNumId w:val="28"/>
  </w:num>
  <w:num w:numId="9" w16cid:durableId="1798374138">
    <w:abstractNumId w:val="5"/>
  </w:num>
  <w:num w:numId="10" w16cid:durableId="1530677457">
    <w:abstractNumId w:val="24"/>
  </w:num>
  <w:num w:numId="11" w16cid:durableId="984315201">
    <w:abstractNumId w:val="1"/>
  </w:num>
  <w:num w:numId="12" w16cid:durableId="77621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10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9389165">
    <w:abstractNumId w:val="15"/>
  </w:num>
  <w:num w:numId="15" w16cid:durableId="1323195451">
    <w:abstractNumId w:val="12"/>
  </w:num>
  <w:num w:numId="16" w16cid:durableId="467165265">
    <w:abstractNumId w:val="9"/>
  </w:num>
  <w:num w:numId="17" w16cid:durableId="676033370">
    <w:abstractNumId w:val="11"/>
  </w:num>
  <w:num w:numId="18" w16cid:durableId="1742554342">
    <w:abstractNumId w:val="17"/>
  </w:num>
  <w:num w:numId="19" w16cid:durableId="613287013">
    <w:abstractNumId w:val="20"/>
  </w:num>
  <w:num w:numId="20" w16cid:durableId="8067070">
    <w:abstractNumId w:val="10"/>
  </w:num>
  <w:num w:numId="21" w16cid:durableId="825434180">
    <w:abstractNumId w:val="0"/>
  </w:num>
  <w:num w:numId="22" w16cid:durableId="1082681076">
    <w:abstractNumId w:val="22"/>
  </w:num>
  <w:num w:numId="23" w16cid:durableId="1901165520">
    <w:abstractNumId w:val="27"/>
  </w:num>
  <w:num w:numId="24" w16cid:durableId="1991010767">
    <w:abstractNumId w:val="21"/>
  </w:num>
  <w:num w:numId="25" w16cid:durableId="1542282676">
    <w:abstractNumId w:val="16"/>
  </w:num>
  <w:num w:numId="26" w16cid:durableId="986973659">
    <w:abstractNumId w:val="13"/>
  </w:num>
  <w:num w:numId="27" w16cid:durableId="815336034">
    <w:abstractNumId w:val="26"/>
  </w:num>
  <w:num w:numId="28" w16cid:durableId="1895651473">
    <w:abstractNumId w:val="7"/>
  </w:num>
  <w:num w:numId="29" w16cid:durableId="1858687908">
    <w:abstractNumId w:val="3"/>
  </w:num>
  <w:num w:numId="30" w16cid:durableId="175816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0954"/>
    <w:rsid w:val="00001C42"/>
    <w:rsid w:val="00001E72"/>
    <w:rsid w:val="0000226C"/>
    <w:rsid w:val="0000363D"/>
    <w:rsid w:val="000054D2"/>
    <w:rsid w:val="00006511"/>
    <w:rsid w:val="00006C79"/>
    <w:rsid w:val="00010564"/>
    <w:rsid w:val="000118C2"/>
    <w:rsid w:val="0001227F"/>
    <w:rsid w:val="000123AE"/>
    <w:rsid w:val="00015933"/>
    <w:rsid w:val="000159E5"/>
    <w:rsid w:val="0001656C"/>
    <w:rsid w:val="000175B3"/>
    <w:rsid w:val="000176E6"/>
    <w:rsid w:val="00020581"/>
    <w:rsid w:val="00020ED0"/>
    <w:rsid w:val="00020FE5"/>
    <w:rsid w:val="000213CC"/>
    <w:rsid w:val="00023E9F"/>
    <w:rsid w:val="0002473E"/>
    <w:rsid w:val="000264B4"/>
    <w:rsid w:val="000265A3"/>
    <w:rsid w:val="00027099"/>
    <w:rsid w:val="00027B22"/>
    <w:rsid w:val="00027BAD"/>
    <w:rsid w:val="00031478"/>
    <w:rsid w:val="00036FAB"/>
    <w:rsid w:val="00037707"/>
    <w:rsid w:val="00037C17"/>
    <w:rsid w:val="00040FA4"/>
    <w:rsid w:val="00043889"/>
    <w:rsid w:val="00044002"/>
    <w:rsid w:val="000444EA"/>
    <w:rsid w:val="000458CD"/>
    <w:rsid w:val="0004612A"/>
    <w:rsid w:val="00047DF1"/>
    <w:rsid w:val="000509DD"/>
    <w:rsid w:val="00050AF7"/>
    <w:rsid w:val="00051022"/>
    <w:rsid w:val="00051A5B"/>
    <w:rsid w:val="00052C6A"/>
    <w:rsid w:val="00053780"/>
    <w:rsid w:val="00053EE4"/>
    <w:rsid w:val="000559DE"/>
    <w:rsid w:val="00055CBC"/>
    <w:rsid w:val="000563EB"/>
    <w:rsid w:val="00056A4F"/>
    <w:rsid w:val="00057396"/>
    <w:rsid w:val="000606C6"/>
    <w:rsid w:val="00060D7F"/>
    <w:rsid w:val="00066F52"/>
    <w:rsid w:val="00072447"/>
    <w:rsid w:val="000733AD"/>
    <w:rsid w:val="0007445A"/>
    <w:rsid w:val="00074C45"/>
    <w:rsid w:val="000752D6"/>
    <w:rsid w:val="0007638A"/>
    <w:rsid w:val="00076C37"/>
    <w:rsid w:val="00081E35"/>
    <w:rsid w:val="000841C2"/>
    <w:rsid w:val="000842AE"/>
    <w:rsid w:val="00084CF9"/>
    <w:rsid w:val="00086094"/>
    <w:rsid w:val="00086BE0"/>
    <w:rsid w:val="0008743D"/>
    <w:rsid w:val="0009101B"/>
    <w:rsid w:val="00091B3B"/>
    <w:rsid w:val="0009491E"/>
    <w:rsid w:val="00097293"/>
    <w:rsid w:val="000976B9"/>
    <w:rsid w:val="000A0285"/>
    <w:rsid w:val="000A16EA"/>
    <w:rsid w:val="000A2779"/>
    <w:rsid w:val="000A2C3B"/>
    <w:rsid w:val="000A3ECF"/>
    <w:rsid w:val="000A4D59"/>
    <w:rsid w:val="000A549A"/>
    <w:rsid w:val="000A664C"/>
    <w:rsid w:val="000B2005"/>
    <w:rsid w:val="000B3BFA"/>
    <w:rsid w:val="000B4C8F"/>
    <w:rsid w:val="000B510F"/>
    <w:rsid w:val="000B51A4"/>
    <w:rsid w:val="000B70C8"/>
    <w:rsid w:val="000B79A4"/>
    <w:rsid w:val="000C045B"/>
    <w:rsid w:val="000C12F1"/>
    <w:rsid w:val="000C1E4E"/>
    <w:rsid w:val="000C234E"/>
    <w:rsid w:val="000C3211"/>
    <w:rsid w:val="000C4910"/>
    <w:rsid w:val="000C502F"/>
    <w:rsid w:val="000C5651"/>
    <w:rsid w:val="000D011A"/>
    <w:rsid w:val="000D02A4"/>
    <w:rsid w:val="000D1749"/>
    <w:rsid w:val="000D1D61"/>
    <w:rsid w:val="000D32BB"/>
    <w:rsid w:val="000D49D0"/>
    <w:rsid w:val="000D4F26"/>
    <w:rsid w:val="000D56F1"/>
    <w:rsid w:val="000D5D2B"/>
    <w:rsid w:val="000D684D"/>
    <w:rsid w:val="000D6EF9"/>
    <w:rsid w:val="000E0B50"/>
    <w:rsid w:val="000E0C43"/>
    <w:rsid w:val="000E2B4E"/>
    <w:rsid w:val="000E2FCE"/>
    <w:rsid w:val="000E4810"/>
    <w:rsid w:val="000E4ABC"/>
    <w:rsid w:val="000E563F"/>
    <w:rsid w:val="000E59CE"/>
    <w:rsid w:val="000F02C1"/>
    <w:rsid w:val="000F02FD"/>
    <w:rsid w:val="000F0636"/>
    <w:rsid w:val="000F4318"/>
    <w:rsid w:val="000F617D"/>
    <w:rsid w:val="000F61F5"/>
    <w:rsid w:val="000F70CA"/>
    <w:rsid w:val="00100269"/>
    <w:rsid w:val="00102262"/>
    <w:rsid w:val="0010268F"/>
    <w:rsid w:val="0010277A"/>
    <w:rsid w:val="00102D9A"/>
    <w:rsid w:val="00103662"/>
    <w:rsid w:val="0010371D"/>
    <w:rsid w:val="00105ACC"/>
    <w:rsid w:val="00105DB5"/>
    <w:rsid w:val="00106451"/>
    <w:rsid w:val="00106D78"/>
    <w:rsid w:val="00106F70"/>
    <w:rsid w:val="00107915"/>
    <w:rsid w:val="001102C6"/>
    <w:rsid w:val="001104C5"/>
    <w:rsid w:val="001106DD"/>
    <w:rsid w:val="00110C31"/>
    <w:rsid w:val="001126B2"/>
    <w:rsid w:val="00112AA1"/>
    <w:rsid w:val="00112D3E"/>
    <w:rsid w:val="0011443F"/>
    <w:rsid w:val="00115D53"/>
    <w:rsid w:val="00115DDC"/>
    <w:rsid w:val="00116003"/>
    <w:rsid w:val="00116F4B"/>
    <w:rsid w:val="00117860"/>
    <w:rsid w:val="00120FB7"/>
    <w:rsid w:val="001226BC"/>
    <w:rsid w:val="00122810"/>
    <w:rsid w:val="00122CC4"/>
    <w:rsid w:val="0012351B"/>
    <w:rsid w:val="00123FF9"/>
    <w:rsid w:val="00124EF9"/>
    <w:rsid w:val="001253CC"/>
    <w:rsid w:val="001259D2"/>
    <w:rsid w:val="00126A7F"/>
    <w:rsid w:val="00130359"/>
    <w:rsid w:val="00131D36"/>
    <w:rsid w:val="00131E94"/>
    <w:rsid w:val="00132EE9"/>
    <w:rsid w:val="0013407D"/>
    <w:rsid w:val="001348D9"/>
    <w:rsid w:val="001361CA"/>
    <w:rsid w:val="00136825"/>
    <w:rsid w:val="00136D3A"/>
    <w:rsid w:val="00136EC9"/>
    <w:rsid w:val="00136FC5"/>
    <w:rsid w:val="00137050"/>
    <w:rsid w:val="0013716D"/>
    <w:rsid w:val="00137560"/>
    <w:rsid w:val="00140E10"/>
    <w:rsid w:val="001438F4"/>
    <w:rsid w:val="00143DCC"/>
    <w:rsid w:val="00144D53"/>
    <w:rsid w:val="00145506"/>
    <w:rsid w:val="001457AA"/>
    <w:rsid w:val="00145E7A"/>
    <w:rsid w:val="00146F46"/>
    <w:rsid w:val="0015125A"/>
    <w:rsid w:val="00151A74"/>
    <w:rsid w:val="001526EE"/>
    <w:rsid w:val="0015295E"/>
    <w:rsid w:val="00152A73"/>
    <w:rsid w:val="001534F6"/>
    <w:rsid w:val="00154EE2"/>
    <w:rsid w:val="001553F8"/>
    <w:rsid w:val="00155A3F"/>
    <w:rsid w:val="00157080"/>
    <w:rsid w:val="00157C6A"/>
    <w:rsid w:val="001605B3"/>
    <w:rsid w:val="001622C2"/>
    <w:rsid w:val="00162D23"/>
    <w:rsid w:val="001633ED"/>
    <w:rsid w:val="00163F5F"/>
    <w:rsid w:val="00165DDC"/>
    <w:rsid w:val="0016769F"/>
    <w:rsid w:val="00170298"/>
    <w:rsid w:val="0017388B"/>
    <w:rsid w:val="0017441E"/>
    <w:rsid w:val="00175A85"/>
    <w:rsid w:val="00175E6C"/>
    <w:rsid w:val="00175FBC"/>
    <w:rsid w:val="00176669"/>
    <w:rsid w:val="001766FF"/>
    <w:rsid w:val="00176C20"/>
    <w:rsid w:val="00177598"/>
    <w:rsid w:val="0018097B"/>
    <w:rsid w:val="00180A13"/>
    <w:rsid w:val="00182C97"/>
    <w:rsid w:val="00183066"/>
    <w:rsid w:val="001833C7"/>
    <w:rsid w:val="00183FB4"/>
    <w:rsid w:val="00184412"/>
    <w:rsid w:val="00186A72"/>
    <w:rsid w:val="001906F3"/>
    <w:rsid w:val="00192933"/>
    <w:rsid w:val="001929FC"/>
    <w:rsid w:val="00195C6D"/>
    <w:rsid w:val="001961C5"/>
    <w:rsid w:val="00196F95"/>
    <w:rsid w:val="00197315"/>
    <w:rsid w:val="0019772B"/>
    <w:rsid w:val="001A05A9"/>
    <w:rsid w:val="001A2623"/>
    <w:rsid w:val="001A463E"/>
    <w:rsid w:val="001A46CC"/>
    <w:rsid w:val="001A6304"/>
    <w:rsid w:val="001B1060"/>
    <w:rsid w:val="001B1467"/>
    <w:rsid w:val="001B1C5E"/>
    <w:rsid w:val="001B3197"/>
    <w:rsid w:val="001B39D3"/>
    <w:rsid w:val="001B59D9"/>
    <w:rsid w:val="001B5F14"/>
    <w:rsid w:val="001B6935"/>
    <w:rsid w:val="001B7154"/>
    <w:rsid w:val="001C091C"/>
    <w:rsid w:val="001C1FAA"/>
    <w:rsid w:val="001C2261"/>
    <w:rsid w:val="001C266E"/>
    <w:rsid w:val="001C49DC"/>
    <w:rsid w:val="001C6945"/>
    <w:rsid w:val="001C698F"/>
    <w:rsid w:val="001C7200"/>
    <w:rsid w:val="001C7F88"/>
    <w:rsid w:val="001D169B"/>
    <w:rsid w:val="001D2B76"/>
    <w:rsid w:val="001D2ECE"/>
    <w:rsid w:val="001D3292"/>
    <w:rsid w:val="001D39E5"/>
    <w:rsid w:val="001D3C90"/>
    <w:rsid w:val="001D43DB"/>
    <w:rsid w:val="001D474C"/>
    <w:rsid w:val="001D5BB9"/>
    <w:rsid w:val="001D6B1A"/>
    <w:rsid w:val="001D7365"/>
    <w:rsid w:val="001E15FD"/>
    <w:rsid w:val="001E1AED"/>
    <w:rsid w:val="001E27B8"/>
    <w:rsid w:val="001E31AB"/>
    <w:rsid w:val="001E3706"/>
    <w:rsid w:val="001E4032"/>
    <w:rsid w:val="001E432A"/>
    <w:rsid w:val="001E4D27"/>
    <w:rsid w:val="001E5169"/>
    <w:rsid w:val="001E5571"/>
    <w:rsid w:val="001E60C5"/>
    <w:rsid w:val="001E6F5D"/>
    <w:rsid w:val="001E71FE"/>
    <w:rsid w:val="001F0819"/>
    <w:rsid w:val="001F2A1F"/>
    <w:rsid w:val="001F3DF4"/>
    <w:rsid w:val="001F49EA"/>
    <w:rsid w:val="001F5CF7"/>
    <w:rsid w:val="001F6A78"/>
    <w:rsid w:val="001F72D8"/>
    <w:rsid w:val="001F7B28"/>
    <w:rsid w:val="0020121A"/>
    <w:rsid w:val="00201DDA"/>
    <w:rsid w:val="002027D4"/>
    <w:rsid w:val="0020296D"/>
    <w:rsid w:val="00203021"/>
    <w:rsid w:val="00203302"/>
    <w:rsid w:val="00203A7B"/>
    <w:rsid w:val="002045A5"/>
    <w:rsid w:val="00204F09"/>
    <w:rsid w:val="0020667A"/>
    <w:rsid w:val="00206F7E"/>
    <w:rsid w:val="00207AE7"/>
    <w:rsid w:val="00207CB1"/>
    <w:rsid w:val="002105A2"/>
    <w:rsid w:val="00211E6F"/>
    <w:rsid w:val="002137B0"/>
    <w:rsid w:val="002150BF"/>
    <w:rsid w:val="00216187"/>
    <w:rsid w:val="00216A54"/>
    <w:rsid w:val="00217881"/>
    <w:rsid w:val="0022075B"/>
    <w:rsid w:val="00221F77"/>
    <w:rsid w:val="00221FF5"/>
    <w:rsid w:val="002226C1"/>
    <w:rsid w:val="00222917"/>
    <w:rsid w:val="002244BA"/>
    <w:rsid w:val="00224E2B"/>
    <w:rsid w:val="0022581B"/>
    <w:rsid w:val="00225F51"/>
    <w:rsid w:val="0022648E"/>
    <w:rsid w:val="00226AB8"/>
    <w:rsid w:val="00226F32"/>
    <w:rsid w:val="00227ACD"/>
    <w:rsid w:val="00227C82"/>
    <w:rsid w:val="0023165F"/>
    <w:rsid w:val="0023393E"/>
    <w:rsid w:val="0023493E"/>
    <w:rsid w:val="00235942"/>
    <w:rsid w:val="0023703D"/>
    <w:rsid w:val="002375B2"/>
    <w:rsid w:val="00237A71"/>
    <w:rsid w:val="00237E0B"/>
    <w:rsid w:val="00242D73"/>
    <w:rsid w:val="002443DF"/>
    <w:rsid w:val="002446E1"/>
    <w:rsid w:val="00244923"/>
    <w:rsid w:val="002472A6"/>
    <w:rsid w:val="00247512"/>
    <w:rsid w:val="00247A4D"/>
    <w:rsid w:val="00250212"/>
    <w:rsid w:val="00251163"/>
    <w:rsid w:val="00251393"/>
    <w:rsid w:val="0025305E"/>
    <w:rsid w:val="00253D09"/>
    <w:rsid w:val="00254CA2"/>
    <w:rsid w:val="00256268"/>
    <w:rsid w:val="002567A3"/>
    <w:rsid w:val="00260219"/>
    <w:rsid w:val="00260B2C"/>
    <w:rsid w:val="0026106F"/>
    <w:rsid w:val="00262B7F"/>
    <w:rsid w:val="00264741"/>
    <w:rsid w:val="00264C92"/>
    <w:rsid w:val="0026639E"/>
    <w:rsid w:val="00266980"/>
    <w:rsid w:val="00267ACA"/>
    <w:rsid w:val="00270A4E"/>
    <w:rsid w:val="00270F52"/>
    <w:rsid w:val="00271563"/>
    <w:rsid w:val="00271569"/>
    <w:rsid w:val="00272177"/>
    <w:rsid w:val="002748F6"/>
    <w:rsid w:val="00274D15"/>
    <w:rsid w:val="00275209"/>
    <w:rsid w:val="00277D90"/>
    <w:rsid w:val="00280D31"/>
    <w:rsid w:val="00280F92"/>
    <w:rsid w:val="002817B5"/>
    <w:rsid w:val="00283681"/>
    <w:rsid w:val="00285A75"/>
    <w:rsid w:val="00290498"/>
    <w:rsid w:val="00291656"/>
    <w:rsid w:val="00291BE8"/>
    <w:rsid w:val="00292544"/>
    <w:rsid w:val="00293122"/>
    <w:rsid w:val="0029502E"/>
    <w:rsid w:val="00296021"/>
    <w:rsid w:val="0029774E"/>
    <w:rsid w:val="00297B85"/>
    <w:rsid w:val="002A02A1"/>
    <w:rsid w:val="002A04EB"/>
    <w:rsid w:val="002A07F7"/>
    <w:rsid w:val="002A1748"/>
    <w:rsid w:val="002A23FA"/>
    <w:rsid w:val="002A266C"/>
    <w:rsid w:val="002A2CE3"/>
    <w:rsid w:val="002A31A1"/>
    <w:rsid w:val="002A3CF3"/>
    <w:rsid w:val="002A3F7E"/>
    <w:rsid w:val="002A4191"/>
    <w:rsid w:val="002A54FD"/>
    <w:rsid w:val="002A6290"/>
    <w:rsid w:val="002A6A60"/>
    <w:rsid w:val="002B1743"/>
    <w:rsid w:val="002B1996"/>
    <w:rsid w:val="002B3AB2"/>
    <w:rsid w:val="002B4617"/>
    <w:rsid w:val="002B4641"/>
    <w:rsid w:val="002B5069"/>
    <w:rsid w:val="002B58A5"/>
    <w:rsid w:val="002B724C"/>
    <w:rsid w:val="002C02A9"/>
    <w:rsid w:val="002C0719"/>
    <w:rsid w:val="002C179D"/>
    <w:rsid w:val="002C2C2B"/>
    <w:rsid w:val="002C30D4"/>
    <w:rsid w:val="002C47FE"/>
    <w:rsid w:val="002C513E"/>
    <w:rsid w:val="002D1376"/>
    <w:rsid w:val="002D2A30"/>
    <w:rsid w:val="002D2DC7"/>
    <w:rsid w:val="002D3F94"/>
    <w:rsid w:val="002D4720"/>
    <w:rsid w:val="002D49FB"/>
    <w:rsid w:val="002D4A25"/>
    <w:rsid w:val="002D4DF8"/>
    <w:rsid w:val="002E0041"/>
    <w:rsid w:val="002E1390"/>
    <w:rsid w:val="002E1AEB"/>
    <w:rsid w:val="002E1DBF"/>
    <w:rsid w:val="002E2498"/>
    <w:rsid w:val="002E3105"/>
    <w:rsid w:val="002E320D"/>
    <w:rsid w:val="002E3E1D"/>
    <w:rsid w:val="002E4CA1"/>
    <w:rsid w:val="002E5E57"/>
    <w:rsid w:val="002E6312"/>
    <w:rsid w:val="002E6C7C"/>
    <w:rsid w:val="002F0118"/>
    <w:rsid w:val="002F1752"/>
    <w:rsid w:val="002F1AFD"/>
    <w:rsid w:val="002F20C7"/>
    <w:rsid w:val="002F2F90"/>
    <w:rsid w:val="002F2FAA"/>
    <w:rsid w:val="002F4373"/>
    <w:rsid w:val="002F477C"/>
    <w:rsid w:val="002F4A74"/>
    <w:rsid w:val="002F4CDA"/>
    <w:rsid w:val="002F506A"/>
    <w:rsid w:val="002F52DA"/>
    <w:rsid w:val="002F557F"/>
    <w:rsid w:val="002F6432"/>
    <w:rsid w:val="003012B9"/>
    <w:rsid w:val="0030161E"/>
    <w:rsid w:val="00301915"/>
    <w:rsid w:val="003028DC"/>
    <w:rsid w:val="0030348A"/>
    <w:rsid w:val="003045DD"/>
    <w:rsid w:val="00304727"/>
    <w:rsid w:val="0030613B"/>
    <w:rsid w:val="00306844"/>
    <w:rsid w:val="003077DD"/>
    <w:rsid w:val="003111F3"/>
    <w:rsid w:val="003131EC"/>
    <w:rsid w:val="003134AE"/>
    <w:rsid w:val="003142AD"/>
    <w:rsid w:val="00314AB6"/>
    <w:rsid w:val="00314CF6"/>
    <w:rsid w:val="00315F32"/>
    <w:rsid w:val="00316BAA"/>
    <w:rsid w:val="00317242"/>
    <w:rsid w:val="00320811"/>
    <w:rsid w:val="00322BF9"/>
    <w:rsid w:val="00323910"/>
    <w:rsid w:val="00324743"/>
    <w:rsid w:val="00324769"/>
    <w:rsid w:val="00324B27"/>
    <w:rsid w:val="003253AF"/>
    <w:rsid w:val="00327407"/>
    <w:rsid w:val="00327CB6"/>
    <w:rsid w:val="0033298A"/>
    <w:rsid w:val="00335341"/>
    <w:rsid w:val="00336412"/>
    <w:rsid w:val="00337157"/>
    <w:rsid w:val="003373BE"/>
    <w:rsid w:val="003411DB"/>
    <w:rsid w:val="003417B4"/>
    <w:rsid w:val="00341D86"/>
    <w:rsid w:val="003423A7"/>
    <w:rsid w:val="003426EE"/>
    <w:rsid w:val="0034310E"/>
    <w:rsid w:val="00344213"/>
    <w:rsid w:val="003444F4"/>
    <w:rsid w:val="00344B88"/>
    <w:rsid w:val="00345842"/>
    <w:rsid w:val="00346684"/>
    <w:rsid w:val="003472AF"/>
    <w:rsid w:val="003508FE"/>
    <w:rsid w:val="00351369"/>
    <w:rsid w:val="0035167B"/>
    <w:rsid w:val="003522BD"/>
    <w:rsid w:val="003543D2"/>
    <w:rsid w:val="0035493D"/>
    <w:rsid w:val="00356528"/>
    <w:rsid w:val="00356FF7"/>
    <w:rsid w:val="0035718C"/>
    <w:rsid w:val="003608A1"/>
    <w:rsid w:val="003608FD"/>
    <w:rsid w:val="0036420C"/>
    <w:rsid w:val="00364A11"/>
    <w:rsid w:val="00366057"/>
    <w:rsid w:val="003677E2"/>
    <w:rsid w:val="0037051F"/>
    <w:rsid w:val="003707E0"/>
    <w:rsid w:val="00370F35"/>
    <w:rsid w:val="003725F0"/>
    <w:rsid w:val="003732C7"/>
    <w:rsid w:val="003739F0"/>
    <w:rsid w:val="00373FC2"/>
    <w:rsid w:val="003742A8"/>
    <w:rsid w:val="003749A5"/>
    <w:rsid w:val="00376918"/>
    <w:rsid w:val="00376F07"/>
    <w:rsid w:val="003775A3"/>
    <w:rsid w:val="00380502"/>
    <w:rsid w:val="00380788"/>
    <w:rsid w:val="00381524"/>
    <w:rsid w:val="00381FAF"/>
    <w:rsid w:val="00383D10"/>
    <w:rsid w:val="00384170"/>
    <w:rsid w:val="003847A3"/>
    <w:rsid w:val="00386E7F"/>
    <w:rsid w:val="00387749"/>
    <w:rsid w:val="00387CB8"/>
    <w:rsid w:val="0039010C"/>
    <w:rsid w:val="00390C7F"/>
    <w:rsid w:val="00390E5C"/>
    <w:rsid w:val="00391AED"/>
    <w:rsid w:val="00391C4B"/>
    <w:rsid w:val="00391FA6"/>
    <w:rsid w:val="00393046"/>
    <w:rsid w:val="003952ED"/>
    <w:rsid w:val="00395549"/>
    <w:rsid w:val="00396610"/>
    <w:rsid w:val="00396DEC"/>
    <w:rsid w:val="00396F9D"/>
    <w:rsid w:val="00397430"/>
    <w:rsid w:val="003A0443"/>
    <w:rsid w:val="003A0F5E"/>
    <w:rsid w:val="003A424B"/>
    <w:rsid w:val="003A46D3"/>
    <w:rsid w:val="003A542D"/>
    <w:rsid w:val="003A5636"/>
    <w:rsid w:val="003A623D"/>
    <w:rsid w:val="003A68A3"/>
    <w:rsid w:val="003A76ED"/>
    <w:rsid w:val="003B0433"/>
    <w:rsid w:val="003B04C1"/>
    <w:rsid w:val="003B2C84"/>
    <w:rsid w:val="003B4F01"/>
    <w:rsid w:val="003B505C"/>
    <w:rsid w:val="003B519E"/>
    <w:rsid w:val="003B5E6F"/>
    <w:rsid w:val="003B7408"/>
    <w:rsid w:val="003C0B1B"/>
    <w:rsid w:val="003C1195"/>
    <w:rsid w:val="003C12B6"/>
    <w:rsid w:val="003C2D27"/>
    <w:rsid w:val="003C373E"/>
    <w:rsid w:val="003C3D7F"/>
    <w:rsid w:val="003C41DD"/>
    <w:rsid w:val="003C5F2E"/>
    <w:rsid w:val="003C6326"/>
    <w:rsid w:val="003C6D87"/>
    <w:rsid w:val="003C7600"/>
    <w:rsid w:val="003D079C"/>
    <w:rsid w:val="003D0D7D"/>
    <w:rsid w:val="003D164F"/>
    <w:rsid w:val="003D224C"/>
    <w:rsid w:val="003D45D4"/>
    <w:rsid w:val="003D613B"/>
    <w:rsid w:val="003E14DF"/>
    <w:rsid w:val="003E1F42"/>
    <w:rsid w:val="003E382B"/>
    <w:rsid w:val="003E393C"/>
    <w:rsid w:val="003E3ACA"/>
    <w:rsid w:val="003E3DCB"/>
    <w:rsid w:val="003E4312"/>
    <w:rsid w:val="003E48FA"/>
    <w:rsid w:val="003E4ADE"/>
    <w:rsid w:val="003E5891"/>
    <w:rsid w:val="003E7ED0"/>
    <w:rsid w:val="003F021E"/>
    <w:rsid w:val="003F03DF"/>
    <w:rsid w:val="003F12BC"/>
    <w:rsid w:val="003F12D5"/>
    <w:rsid w:val="003F1CB9"/>
    <w:rsid w:val="003F2050"/>
    <w:rsid w:val="003F37CA"/>
    <w:rsid w:val="003F6A8D"/>
    <w:rsid w:val="003F6E69"/>
    <w:rsid w:val="003F7F31"/>
    <w:rsid w:val="004009B6"/>
    <w:rsid w:val="00400E23"/>
    <w:rsid w:val="004015AF"/>
    <w:rsid w:val="00401CD3"/>
    <w:rsid w:val="00401F79"/>
    <w:rsid w:val="00402778"/>
    <w:rsid w:val="00402D75"/>
    <w:rsid w:val="00402FA1"/>
    <w:rsid w:val="00403744"/>
    <w:rsid w:val="0040474A"/>
    <w:rsid w:val="00405D7E"/>
    <w:rsid w:val="00407FB6"/>
    <w:rsid w:val="00410561"/>
    <w:rsid w:val="004120D6"/>
    <w:rsid w:val="00412186"/>
    <w:rsid w:val="00412763"/>
    <w:rsid w:val="00413258"/>
    <w:rsid w:val="0041355F"/>
    <w:rsid w:val="00414181"/>
    <w:rsid w:val="0041427D"/>
    <w:rsid w:val="00414AD4"/>
    <w:rsid w:val="0041521E"/>
    <w:rsid w:val="004164DD"/>
    <w:rsid w:val="00416763"/>
    <w:rsid w:val="0041745A"/>
    <w:rsid w:val="004179B3"/>
    <w:rsid w:val="004207D5"/>
    <w:rsid w:val="00422B81"/>
    <w:rsid w:val="00422E44"/>
    <w:rsid w:val="004231FB"/>
    <w:rsid w:val="00423374"/>
    <w:rsid w:val="00423E0D"/>
    <w:rsid w:val="004257BB"/>
    <w:rsid w:val="00425A84"/>
    <w:rsid w:val="00425B3B"/>
    <w:rsid w:val="0042602B"/>
    <w:rsid w:val="004279BD"/>
    <w:rsid w:val="004325D3"/>
    <w:rsid w:val="00435176"/>
    <w:rsid w:val="004371EE"/>
    <w:rsid w:val="00437589"/>
    <w:rsid w:val="00440A53"/>
    <w:rsid w:val="00442170"/>
    <w:rsid w:val="0044352D"/>
    <w:rsid w:val="004444EE"/>
    <w:rsid w:val="00444BDA"/>
    <w:rsid w:val="00445609"/>
    <w:rsid w:val="004464CF"/>
    <w:rsid w:val="004476C2"/>
    <w:rsid w:val="00451368"/>
    <w:rsid w:val="004555E6"/>
    <w:rsid w:val="00456A9B"/>
    <w:rsid w:val="00460772"/>
    <w:rsid w:val="00461E79"/>
    <w:rsid w:val="00462717"/>
    <w:rsid w:val="004641CC"/>
    <w:rsid w:val="00464E64"/>
    <w:rsid w:val="00465403"/>
    <w:rsid w:val="0046651A"/>
    <w:rsid w:val="004674AA"/>
    <w:rsid w:val="004714FB"/>
    <w:rsid w:val="004718BD"/>
    <w:rsid w:val="00471B86"/>
    <w:rsid w:val="00471D6F"/>
    <w:rsid w:val="00472210"/>
    <w:rsid w:val="00473C52"/>
    <w:rsid w:val="00474524"/>
    <w:rsid w:val="00475D5E"/>
    <w:rsid w:val="00475F13"/>
    <w:rsid w:val="0047661B"/>
    <w:rsid w:val="00476A2A"/>
    <w:rsid w:val="00477094"/>
    <w:rsid w:val="0047757F"/>
    <w:rsid w:val="00477AF5"/>
    <w:rsid w:val="00477CEB"/>
    <w:rsid w:val="0048354D"/>
    <w:rsid w:val="00483FA6"/>
    <w:rsid w:val="0048489E"/>
    <w:rsid w:val="00486858"/>
    <w:rsid w:val="004904F6"/>
    <w:rsid w:val="00490E1A"/>
    <w:rsid w:val="00491DB6"/>
    <w:rsid w:val="00492636"/>
    <w:rsid w:val="004935C1"/>
    <w:rsid w:val="00493A20"/>
    <w:rsid w:val="00495C6A"/>
    <w:rsid w:val="004969D8"/>
    <w:rsid w:val="0049704E"/>
    <w:rsid w:val="004975FD"/>
    <w:rsid w:val="004979BF"/>
    <w:rsid w:val="004A1724"/>
    <w:rsid w:val="004A2349"/>
    <w:rsid w:val="004A31A7"/>
    <w:rsid w:val="004A435C"/>
    <w:rsid w:val="004A4D8B"/>
    <w:rsid w:val="004A4E6A"/>
    <w:rsid w:val="004A53BB"/>
    <w:rsid w:val="004A5819"/>
    <w:rsid w:val="004A5C0E"/>
    <w:rsid w:val="004A5D84"/>
    <w:rsid w:val="004A6CE0"/>
    <w:rsid w:val="004A724B"/>
    <w:rsid w:val="004A74F4"/>
    <w:rsid w:val="004B1175"/>
    <w:rsid w:val="004B1442"/>
    <w:rsid w:val="004B1766"/>
    <w:rsid w:val="004B19DD"/>
    <w:rsid w:val="004B3889"/>
    <w:rsid w:val="004B3E0D"/>
    <w:rsid w:val="004B4571"/>
    <w:rsid w:val="004B51F9"/>
    <w:rsid w:val="004B564F"/>
    <w:rsid w:val="004B6A7C"/>
    <w:rsid w:val="004B7ECE"/>
    <w:rsid w:val="004C04EA"/>
    <w:rsid w:val="004C0763"/>
    <w:rsid w:val="004C0A56"/>
    <w:rsid w:val="004C3997"/>
    <w:rsid w:val="004C4C1F"/>
    <w:rsid w:val="004C50BF"/>
    <w:rsid w:val="004C53CB"/>
    <w:rsid w:val="004C593C"/>
    <w:rsid w:val="004C629B"/>
    <w:rsid w:val="004C693B"/>
    <w:rsid w:val="004C751A"/>
    <w:rsid w:val="004C7E8B"/>
    <w:rsid w:val="004D0B15"/>
    <w:rsid w:val="004D0EBA"/>
    <w:rsid w:val="004D114D"/>
    <w:rsid w:val="004D14D3"/>
    <w:rsid w:val="004D23AD"/>
    <w:rsid w:val="004D3E58"/>
    <w:rsid w:val="004D4156"/>
    <w:rsid w:val="004D4333"/>
    <w:rsid w:val="004D6531"/>
    <w:rsid w:val="004E011D"/>
    <w:rsid w:val="004E1AC6"/>
    <w:rsid w:val="004E26E2"/>
    <w:rsid w:val="004E3070"/>
    <w:rsid w:val="004E4B5B"/>
    <w:rsid w:val="004E5779"/>
    <w:rsid w:val="004E5E51"/>
    <w:rsid w:val="004E668A"/>
    <w:rsid w:val="004E7E07"/>
    <w:rsid w:val="004F32E1"/>
    <w:rsid w:val="004F34F2"/>
    <w:rsid w:val="004F4632"/>
    <w:rsid w:val="004F46CE"/>
    <w:rsid w:val="004F5C1C"/>
    <w:rsid w:val="004F62FF"/>
    <w:rsid w:val="004F6CFB"/>
    <w:rsid w:val="004F6EA8"/>
    <w:rsid w:val="004F70A7"/>
    <w:rsid w:val="005019FE"/>
    <w:rsid w:val="00502C28"/>
    <w:rsid w:val="00503D06"/>
    <w:rsid w:val="00504229"/>
    <w:rsid w:val="00504370"/>
    <w:rsid w:val="005063FD"/>
    <w:rsid w:val="005069C2"/>
    <w:rsid w:val="00510AD7"/>
    <w:rsid w:val="00510EB1"/>
    <w:rsid w:val="0051164C"/>
    <w:rsid w:val="00512176"/>
    <w:rsid w:val="005122E9"/>
    <w:rsid w:val="005137DB"/>
    <w:rsid w:val="0051437A"/>
    <w:rsid w:val="0051449F"/>
    <w:rsid w:val="0051508B"/>
    <w:rsid w:val="0051570C"/>
    <w:rsid w:val="00516007"/>
    <w:rsid w:val="00517111"/>
    <w:rsid w:val="005208BD"/>
    <w:rsid w:val="0052161C"/>
    <w:rsid w:val="00521FF6"/>
    <w:rsid w:val="0052347F"/>
    <w:rsid w:val="00527681"/>
    <w:rsid w:val="0052771A"/>
    <w:rsid w:val="00527FC5"/>
    <w:rsid w:val="00530967"/>
    <w:rsid w:val="00530DE6"/>
    <w:rsid w:val="00531FAE"/>
    <w:rsid w:val="0053589B"/>
    <w:rsid w:val="00535CDB"/>
    <w:rsid w:val="0053659F"/>
    <w:rsid w:val="00537D18"/>
    <w:rsid w:val="00537D95"/>
    <w:rsid w:val="00543780"/>
    <w:rsid w:val="005450EB"/>
    <w:rsid w:val="0054574A"/>
    <w:rsid w:val="00546646"/>
    <w:rsid w:val="0054665C"/>
    <w:rsid w:val="00547A43"/>
    <w:rsid w:val="00552694"/>
    <w:rsid w:val="0055337B"/>
    <w:rsid w:val="0055377C"/>
    <w:rsid w:val="00553860"/>
    <w:rsid w:val="005541F4"/>
    <w:rsid w:val="00554717"/>
    <w:rsid w:val="00555261"/>
    <w:rsid w:val="00556DE6"/>
    <w:rsid w:val="005574AF"/>
    <w:rsid w:val="00557A53"/>
    <w:rsid w:val="0056090E"/>
    <w:rsid w:val="005613B3"/>
    <w:rsid w:val="00561ED7"/>
    <w:rsid w:val="00562166"/>
    <w:rsid w:val="00562995"/>
    <w:rsid w:val="00563855"/>
    <w:rsid w:val="005642DD"/>
    <w:rsid w:val="00564453"/>
    <w:rsid w:val="00566025"/>
    <w:rsid w:val="0056611F"/>
    <w:rsid w:val="005666D7"/>
    <w:rsid w:val="005676A0"/>
    <w:rsid w:val="00567ADA"/>
    <w:rsid w:val="005718D7"/>
    <w:rsid w:val="00571AFD"/>
    <w:rsid w:val="00571BEE"/>
    <w:rsid w:val="00571C08"/>
    <w:rsid w:val="00571C69"/>
    <w:rsid w:val="00572232"/>
    <w:rsid w:val="005722E9"/>
    <w:rsid w:val="00572D52"/>
    <w:rsid w:val="00573F62"/>
    <w:rsid w:val="00574619"/>
    <w:rsid w:val="00575D36"/>
    <w:rsid w:val="005761EE"/>
    <w:rsid w:val="00576C13"/>
    <w:rsid w:val="00576CB6"/>
    <w:rsid w:val="00576CF4"/>
    <w:rsid w:val="00577164"/>
    <w:rsid w:val="00577D9F"/>
    <w:rsid w:val="00580391"/>
    <w:rsid w:val="0058086E"/>
    <w:rsid w:val="005818DE"/>
    <w:rsid w:val="00581CC1"/>
    <w:rsid w:val="00584718"/>
    <w:rsid w:val="00584D4C"/>
    <w:rsid w:val="0058622F"/>
    <w:rsid w:val="00586418"/>
    <w:rsid w:val="00587350"/>
    <w:rsid w:val="005874B8"/>
    <w:rsid w:val="00587BA9"/>
    <w:rsid w:val="0059007C"/>
    <w:rsid w:val="00591A31"/>
    <w:rsid w:val="00594C44"/>
    <w:rsid w:val="0059556C"/>
    <w:rsid w:val="00596B76"/>
    <w:rsid w:val="00597DD9"/>
    <w:rsid w:val="005A0ACF"/>
    <w:rsid w:val="005A0C34"/>
    <w:rsid w:val="005A2501"/>
    <w:rsid w:val="005A34B6"/>
    <w:rsid w:val="005A3E34"/>
    <w:rsid w:val="005A44FF"/>
    <w:rsid w:val="005A4BD9"/>
    <w:rsid w:val="005A51C6"/>
    <w:rsid w:val="005A576D"/>
    <w:rsid w:val="005A5BAB"/>
    <w:rsid w:val="005A5CB3"/>
    <w:rsid w:val="005A6604"/>
    <w:rsid w:val="005A7E09"/>
    <w:rsid w:val="005B08A6"/>
    <w:rsid w:val="005B0F22"/>
    <w:rsid w:val="005B0F27"/>
    <w:rsid w:val="005B1A31"/>
    <w:rsid w:val="005B2CB5"/>
    <w:rsid w:val="005B3439"/>
    <w:rsid w:val="005B4E85"/>
    <w:rsid w:val="005B5E17"/>
    <w:rsid w:val="005B6CC1"/>
    <w:rsid w:val="005C1943"/>
    <w:rsid w:val="005C22C2"/>
    <w:rsid w:val="005C501A"/>
    <w:rsid w:val="005C5673"/>
    <w:rsid w:val="005C6D52"/>
    <w:rsid w:val="005C6F67"/>
    <w:rsid w:val="005C7858"/>
    <w:rsid w:val="005C7A9A"/>
    <w:rsid w:val="005C7FCE"/>
    <w:rsid w:val="005D11A5"/>
    <w:rsid w:val="005D4BC8"/>
    <w:rsid w:val="005D55D6"/>
    <w:rsid w:val="005D593D"/>
    <w:rsid w:val="005D65FF"/>
    <w:rsid w:val="005D6E43"/>
    <w:rsid w:val="005D717B"/>
    <w:rsid w:val="005D769A"/>
    <w:rsid w:val="005D7FC2"/>
    <w:rsid w:val="005E092E"/>
    <w:rsid w:val="005E1DD8"/>
    <w:rsid w:val="005E1EA0"/>
    <w:rsid w:val="005E1F6F"/>
    <w:rsid w:val="005E4132"/>
    <w:rsid w:val="005E58E1"/>
    <w:rsid w:val="005E5F8B"/>
    <w:rsid w:val="005F0EC7"/>
    <w:rsid w:val="005F2341"/>
    <w:rsid w:val="005F2B48"/>
    <w:rsid w:val="005F4B41"/>
    <w:rsid w:val="005F4F2A"/>
    <w:rsid w:val="005F5099"/>
    <w:rsid w:val="005F73A6"/>
    <w:rsid w:val="006002FC"/>
    <w:rsid w:val="00600D9B"/>
    <w:rsid w:val="0060128D"/>
    <w:rsid w:val="006015EB"/>
    <w:rsid w:val="006021B4"/>
    <w:rsid w:val="00602BDA"/>
    <w:rsid w:val="0060305B"/>
    <w:rsid w:val="0060308F"/>
    <w:rsid w:val="0060552B"/>
    <w:rsid w:val="00606E04"/>
    <w:rsid w:val="00611B3C"/>
    <w:rsid w:val="00611C5C"/>
    <w:rsid w:val="00612686"/>
    <w:rsid w:val="006131E9"/>
    <w:rsid w:val="0061392C"/>
    <w:rsid w:val="00615685"/>
    <w:rsid w:val="00616069"/>
    <w:rsid w:val="00617E42"/>
    <w:rsid w:val="00617E6C"/>
    <w:rsid w:val="006203EC"/>
    <w:rsid w:val="00622191"/>
    <w:rsid w:val="00622D62"/>
    <w:rsid w:val="0062336F"/>
    <w:rsid w:val="00623D41"/>
    <w:rsid w:val="00624A28"/>
    <w:rsid w:val="00624E5B"/>
    <w:rsid w:val="006264F1"/>
    <w:rsid w:val="00626A29"/>
    <w:rsid w:val="00626AF4"/>
    <w:rsid w:val="00626CB1"/>
    <w:rsid w:val="00626CBB"/>
    <w:rsid w:val="00627894"/>
    <w:rsid w:val="00627FF6"/>
    <w:rsid w:val="00630506"/>
    <w:rsid w:val="00630BC9"/>
    <w:rsid w:val="0063314F"/>
    <w:rsid w:val="006354FF"/>
    <w:rsid w:val="00635832"/>
    <w:rsid w:val="006361B1"/>
    <w:rsid w:val="006365E9"/>
    <w:rsid w:val="00636E18"/>
    <w:rsid w:val="00637228"/>
    <w:rsid w:val="00641E0B"/>
    <w:rsid w:val="0064225E"/>
    <w:rsid w:val="0064298D"/>
    <w:rsid w:val="0064364F"/>
    <w:rsid w:val="006445A3"/>
    <w:rsid w:val="00645115"/>
    <w:rsid w:val="006464CF"/>
    <w:rsid w:val="00647A7A"/>
    <w:rsid w:val="00650724"/>
    <w:rsid w:val="0065124E"/>
    <w:rsid w:val="006513A0"/>
    <w:rsid w:val="00652C4F"/>
    <w:rsid w:val="00654860"/>
    <w:rsid w:val="00654F37"/>
    <w:rsid w:val="00656ABE"/>
    <w:rsid w:val="00657521"/>
    <w:rsid w:val="0066000B"/>
    <w:rsid w:val="0066030A"/>
    <w:rsid w:val="00661C43"/>
    <w:rsid w:val="00662C23"/>
    <w:rsid w:val="0066473E"/>
    <w:rsid w:val="00664F66"/>
    <w:rsid w:val="00665069"/>
    <w:rsid w:val="0066537B"/>
    <w:rsid w:val="00665718"/>
    <w:rsid w:val="00665E8C"/>
    <w:rsid w:val="0066692E"/>
    <w:rsid w:val="00666CC6"/>
    <w:rsid w:val="006677D7"/>
    <w:rsid w:val="00667828"/>
    <w:rsid w:val="00670CDD"/>
    <w:rsid w:val="00670F37"/>
    <w:rsid w:val="00676079"/>
    <w:rsid w:val="00676326"/>
    <w:rsid w:val="006777C7"/>
    <w:rsid w:val="006839E8"/>
    <w:rsid w:val="00683D65"/>
    <w:rsid w:val="00684AB4"/>
    <w:rsid w:val="00685F12"/>
    <w:rsid w:val="00687672"/>
    <w:rsid w:val="00690FB6"/>
    <w:rsid w:val="0069373F"/>
    <w:rsid w:val="00693FDC"/>
    <w:rsid w:val="006963D2"/>
    <w:rsid w:val="00697FEB"/>
    <w:rsid w:val="006A02C9"/>
    <w:rsid w:val="006A0B4A"/>
    <w:rsid w:val="006A0D71"/>
    <w:rsid w:val="006A0E7E"/>
    <w:rsid w:val="006A0F4A"/>
    <w:rsid w:val="006A1D16"/>
    <w:rsid w:val="006A1EA8"/>
    <w:rsid w:val="006A4300"/>
    <w:rsid w:val="006A4428"/>
    <w:rsid w:val="006A7BEA"/>
    <w:rsid w:val="006A7D62"/>
    <w:rsid w:val="006B120F"/>
    <w:rsid w:val="006B2EBD"/>
    <w:rsid w:val="006B2F86"/>
    <w:rsid w:val="006B3690"/>
    <w:rsid w:val="006B37A6"/>
    <w:rsid w:val="006B3C0D"/>
    <w:rsid w:val="006C0355"/>
    <w:rsid w:val="006C090C"/>
    <w:rsid w:val="006C13D5"/>
    <w:rsid w:val="006C3A40"/>
    <w:rsid w:val="006C3F79"/>
    <w:rsid w:val="006C53A0"/>
    <w:rsid w:val="006C5E9B"/>
    <w:rsid w:val="006C6D77"/>
    <w:rsid w:val="006C7240"/>
    <w:rsid w:val="006C74D6"/>
    <w:rsid w:val="006D0EE8"/>
    <w:rsid w:val="006D12C7"/>
    <w:rsid w:val="006D175B"/>
    <w:rsid w:val="006D1BF7"/>
    <w:rsid w:val="006D23EF"/>
    <w:rsid w:val="006D457D"/>
    <w:rsid w:val="006D59F8"/>
    <w:rsid w:val="006D61DA"/>
    <w:rsid w:val="006D6AF7"/>
    <w:rsid w:val="006D6EBB"/>
    <w:rsid w:val="006D7F80"/>
    <w:rsid w:val="006D7FC7"/>
    <w:rsid w:val="006E00DA"/>
    <w:rsid w:val="006E04F7"/>
    <w:rsid w:val="006E0941"/>
    <w:rsid w:val="006E0B68"/>
    <w:rsid w:val="006E0EAD"/>
    <w:rsid w:val="006E1DC5"/>
    <w:rsid w:val="006E3420"/>
    <w:rsid w:val="006E39D7"/>
    <w:rsid w:val="006E3BD0"/>
    <w:rsid w:val="006E3FA9"/>
    <w:rsid w:val="006E4444"/>
    <w:rsid w:val="006E4D14"/>
    <w:rsid w:val="006E6866"/>
    <w:rsid w:val="006E702B"/>
    <w:rsid w:val="006E7DC6"/>
    <w:rsid w:val="006F01FC"/>
    <w:rsid w:val="006F08E1"/>
    <w:rsid w:val="006F0E10"/>
    <w:rsid w:val="006F1A53"/>
    <w:rsid w:val="006F2196"/>
    <w:rsid w:val="006F2B29"/>
    <w:rsid w:val="006F3620"/>
    <w:rsid w:val="006F3D73"/>
    <w:rsid w:val="006F5A87"/>
    <w:rsid w:val="006F7BDA"/>
    <w:rsid w:val="00701FC8"/>
    <w:rsid w:val="0070288A"/>
    <w:rsid w:val="00702D07"/>
    <w:rsid w:val="00703676"/>
    <w:rsid w:val="007078D6"/>
    <w:rsid w:val="007106DD"/>
    <w:rsid w:val="00710F87"/>
    <w:rsid w:val="007116F8"/>
    <w:rsid w:val="007133E9"/>
    <w:rsid w:val="007137B3"/>
    <w:rsid w:val="00713BD4"/>
    <w:rsid w:val="00714542"/>
    <w:rsid w:val="00714837"/>
    <w:rsid w:val="00714EF0"/>
    <w:rsid w:val="00714F04"/>
    <w:rsid w:val="00715087"/>
    <w:rsid w:val="00715D0C"/>
    <w:rsid w:val="00716F27"/>
    <w:rsid w:val="00717727"/>
    <w:rsid w:val="00717B00"/>
    <w:rsid w:val="00720DE3"/>
    <w:rsid w:val="00721C6A"/>
    <w:rsid w:val="007227EC"/>
    <w:rsid w:val="00722F2C"/>
    <w:rsid w:val="00723293"/>
    <w:rsid w:val="00723CB3"/>
    <w:rsid w:val="00724D46"/>
    <w:rsid w:val="007252D4"/>
    <w:rsid w:val="00727012"/>
    <w:rsid w:val="0072723A"/>
    <w:rsid w:val="00727D29"/>
    <w:rsid w:val="00730E2D"/>
    <w:rsid w:val="0073142D"/>
    <w:rsid w:val="007330A4"/>
    <w:rsid w:val="00733C05"/>
    <w:rsid w:val="0073460E"/>
    <w:rsid w:val="007349F9"/>
    <w:rsid w:val="00736EAE"/>
    <w:rsid w:val="007402C2"/>
    <w:rsid w:val="0074044C"/>
    <w:rsid w:val="007405B1"/>
    <w:rsid w:val="00742174"/>
    <w:rsid w:val="00742C4C"/>
    <w:rsid w:val="00743577"/>
    <w:rsid w:val="00744C66"/>
    <w:rsid w:val="007464CC"/>
    <w:rsid w:val="00747238"/>
    <w:rsid w:val="00747B4B"/>
    <w:rsid w:val="00750679"/>
    <w:rsid w:val="00751EDA"/>
    <w:rsid w:val="00754851"/>
    <w:rsid w:val="007575D0"/>
    <w:rsid w:val="00757649"/>
    <w:rsid w:val="007609D5"/>
    <w:rsid w:val="007611AD"/>
    <w:rsid w:val="007613B3"/>
    <w:rsid w:val="00762FBA"/>
    <w:rsid w:val="0076473F"/>
    <w:rsid w:val="00764748"/>
    <w:rsid w:val="00765515"/>
    <w:rsid w:val="00766F28"/>
    <w:rsid w:val="00771967"/>
    <w:rsid w:val="00771AA1"/>
    <w:rsid w:val="0077322C"/>
    <w:rsid w:val="00774999"/>
    <w:rsid w:val="00774F98"/>
    <w:rsid w:val="007768F5"/>
    <w:rsid w:val="0077735A"/>
    <w:rsid w:val="0078095B"/>
    <w:rsid w:val="00780D10"/>
    <w:rsid w:val="007813D1"/>
    <w:rsid w:val="00782158"/>
    <w:rsid w:val="007821BC"/>
    <w:rsid w:val="007826E0"/>
    <w:rsid w:val="0078271A"/>
    <w:rsid w:val="00783455"/>
    <w:rsid w:val="0078383A"/>
    <w:rsid w:val="007853F8"/>
    <w:rsid w:val="0078687A"/>
    <w:rsid w:val="00786BB9"/>
    <w:rsid w:val="00786FE5"/>
    <w:rsid w:val="007870B3"/>
    <w:rsid w:val="00787297"/>
    <w:rsid w:val="0079039B"/>
    <w:rsid w:val="007908E2"/>
    <w:rsid w:val="00793842"/>
    <w:rsid w:val="007953B5"/>
    <w:rsid w:val="00795F3C"/>
    <w:rsid w:val="00796271"/>
    <w:rsid w:val="00796431"/>
    <w:rsid w:val="007964DC"/>
    <w:rsid w:val="00797D07"/>
    <w:rsid w:val="00797EC1"/>
    <w:rsid w:val="007A03B9"/>
    <w:rsid w:val="007A06C5"/>
    <w:rsid w:val="007A0B4E"/>
    <w:rsid w:val="007A117C"/>
    <w:rsid w:val="007A2635"/>
    <w:rsid w:val="007A3BFB"/>
    <w:rsid w:val="007A69A5"/>
    <w:rsid w:val="007A6B52"/>
    <w:rsid w:val="007A6C81"/>
    <w:rsid w:val="007A7B10"/>
    <w:rsid w:val="007B02A8"/>
    <w:rsid w:val="007B0B30"/>
    <w:rsid w:val="007B129D"/>
    <w:rsid w:val="007B219A"/>
    <w:rsid w:val="007B31A6"/>
    <w:rsid w:val="007B4508"/>
    <w:rsid w:val="007B5E3D"/>
    <w:rsid w:val="007B6B28"/>
    <w:rsid w:val="007B79F6"/>
    <w:rsid w:val="007B7B44"/>
    <w:rsid w:val="007C1271"/>
    <w:rsid w:val="007C12F0"/>
    <w:rsid w:val="007C15B2"/>
    <w:rsid w:val="007C4747"/>
    <w:rsid w:val="007C4C83"/>
    <w:rsid w:val="007C525A"/>
    <w:rsid w:val="007C533A"/>
    <w:rsid w:val="007C591A"/>
    <w:rsid w:val="007C6225"/>
    <w:rsid w:val="007C64E2"/>
    <w:rsid w:val="007D1E88"/>
    <w:rsid w:val="007D275E"/>
    <w:rsid w:val="007D37BA"/>
    <w:rsid w:val="007D3850"/>
    <w:rsid w:val="007D3F75"/>
    <w:rsid w:val="007D4025"/>
    <w:rsid w:val="007D66F0"/>
    <w:rsid w:val="007D73E5"/>
    <w:rsid w:val="007D750A"/>
    <w:rsid w:val="007D7523"/>
    <w:rsid w:val="007E0084"/>
    <w:rsid w:val="007E1035"/>
    <w:rsid w:val="007E18D1"/>
    <w:rsid w:val="007E199C"/>
    <w:rsid w:val="007E2A76"/>
    <w:rsid w:val="007E4D07"/>
    <w:rsid w:val="007E722A"/>
    <w:rsid w:val="007E770A"/>
    <w:rsid w:val="007E7968"/>
    <w:rsid w:val="007F0CB0"/>
    <w:rsid w:val="007F1600"/>
    <w:rsid w:val="007F166D"/>
    <w:rsid w:val="007F1EDF"/>
    <w:rsid w:val="007F2054"/>
    <w:rsid w:val="007F299B"/>
    <w:rsid w:val="007F365B"/>
    <w:rsid w:val="007F40D6"/>
    <w:rsid w:val="007F41A0"/>
    <w:rsid w:val="007F5346"/>
    <w:rsid w:val="007F742B"/>
    <w:rsid w:val="007F7CBC"/>
    <w:rsid w:val="0080130F"/>
    <w:rsid w:val="008026FE"/>
    <w:rsid w:val="00802F9F"/>
    <w:rsid w:val="00803E55"/>
    <w:rsid w:val="00804358"/>
    <w:rsid w:val="00804F92"/>
    <w:rsid w:val="00807F85"/>
    <w:rsid w:val="0081060D"/>
    <w:rsid w:val="00810A52"/>
    <w:rsid w:val="00810DCF"/>
    <w:rsid w:val="008110C4"/>
    <w:rsid w:val="00811527"/>
    <w:rsid w:val="00811F2C"/>
    <w:rsid w:val="00811FE2"/>
    <w:rsid w:val="008134F5"/>
    <w:rsid w:val="00814399"/>
    <w:rsid w:val="00815A51"/>
    <w:rsid w:val="008208F2"/>
    <w:rsid w:val="00820A66"/>
    <w:rsid w:val="00820F38"/>
    <w:rsid w:val="00822D27"/>
    <w:rsid w:val="008242DA"/>
    <w:rsid w:val="00824A84"/>
    <w:rsid w:val="00826371"/>
    <w:rsid w:val="0082668B"/>
    <w:rsid w:val="0082687A"/>
    <w:rsid w:val="008272AC"/>
    <w:rsid w:val="00830214"/>
    <w:rsid w:val="00830902"/>
    <w:rsid w:val="00832118"/>
    <w:rsid w:val="00832C2F"/>
    <w:rsid w:val="00833EC7"/>
    <w:rsid w:val="00834366"/>
    <w:rsid w:val="008358AE"/>
    <w:rsid w:val="008363D1"/>
    <w:rsid w:val="00836C3B"/>
    <w:rsid w:val="00840749"/>
    <w:rsid w:val="008412E1"/>
    <w:rsid w:val="008413A8"/>
    <w:rsid w:val="00842443"/>
    <w:rsid w:val="00843285"/>
    <w:rsid w:val="00843386"/>
    <w:rsid w:val="00844479"/>
    <w:rsid w:val="00844C79"/>
    <w:rsid w:val="00846122"/>
    <w:rsid w:val="008466C4"/>
    <w:rsid w:val="00850FDB"/>
    <w:rsid w:val="008522B5"/>
    <w:rsid w:val="00853C4A"/>
    <w:rsid w:val="00854190"/>
    <w:rsid w:val="00854682"/>
    <w:rsid w:val="00856359"/>
    <w:rsid w:val="00857078"/>
    <w:rsid w:val="00857A3C"/>
    <w:rsid w:val="00860613"/>
    <w:rsid w:val="00861279"/>
    <w:rsid w:val="008612B4"/>
    <w:rsid w:val="00862A90"/>
    <w:rsid w:val="00863D31"/>
    <w:rsid w:val="0086454A"/>
    <w:rsid w:val="00866E95"/>
    <w:rsid w:val="00870102"/>
    <w:rsid w:val="008721A5"/>
    <w:rsid w:val="00872847"/>
    <w:rsid w:val="00872C9B"/>
    <w:rsid w:val="00873451"/>
    <w:rsid w:val="00873471"/>
    <w:rsid w:val="0087619E"/>
    <w:rsid w:val="00877706"/>
    <w:rsid w:val="00877F7D"/>
    <w:rsid w:val="008811FC"/>
    <w:rsid w:val="00881D54"/>
    <w:rsid w:val="008825CE"/>
    <w:rsid w:val="0088460D"/>
    <w:rsid w:val="008857AA"/>
    <w:rsid w:val="00885FA2"/>
    <w:rsid w:val="0088688E"/>
    <w:rsid w:val="00887608"/>
    <w:rsid w:val="00887ABB"/>
    <w:rsid w:val="00887FD1"/>
    <w:rsid w:val="008900AF"/>
    <w:rsid w:val="00890B66"/>
    <w:rsid w:val="00891109"/>
    <w:rsid w:val="00893E72"/>
    <w:rsid w:val="00896BC2"/>
    <w:rsid w:val="008A072D"/>
    <w:rsid w:val="008A1815"/>
    <w:rsid w:val="008A1C42"/>
    <w:rsid w:val="008A2D63"/>
    <w:rsid w:val="008A3348"/>
    <w:rsid w:val="008A3889"/>
    <w:rsid w:val="008A4BAF"/>
    <w:rsid w:val="008A5CE1"/>
    <w:rsid w:val="008A5EE6"/>
    <w:rsid w:val="008A6398"/>
    <w:rsid w:val="008B08D3"/>
    <w:rsid w:val="008B19B7"/>
    <w:rsid w:val="008B19E5"/>
    <w:rsid w:val="008B1C16"/>
    <w:rsid w:val="008B2AC1"/>
    <w:rsid w:val="008B2D32"/>
    <w:rsid w:val="008B2E9A"/>
    <w:rsid w:val="008B2EB5"/>
    <w:rsid w:val="008B3ADE"/>
    <w:rsid w:val="008B44C3"/>
    <w:rsid w:val="008B5255"/>
    <w:rsid w:val="008B5613"/>
    <w:rsid w:val="008B7050"/>
    <w:rsid w:val="008B7162"/>
    <w:rsid w:val="008C1507"/>
    <w:rsid w:val="008C19A3"/>
    <w:rsid w:val="008C2501"/>
    <w:rsid w:val="008C383B"/>
    <w:rsid w:val="008C3A5F"/>
    <w:rsid w:val="008C44A7"/>
    <w:rsid w:val="008C5671"/>
    <w:rsid w:val="008C59BA"/>
    <w:rsid w:val="008C5D4D"/>
    <w:rsid w:val="008C6671"/>
    <w:rsid w:val="008C739D"/>
    <w:rsid w:val="008C7707"/>
    <w:rsid w:val="008D3273"/>
    <w:rsid w:val="008D4696"/>
    <w:rsid w:val="008D6805"/>
    <w:rsid w:val="008D6CA8"/>
    <w:rsid w:val="008E0A95"/>
    <w:rsid w:val="008E14A5"/>
    <w:rsid w:val="008E2336"/>
    <w:rsid w:val="008E27A7"/>
    <w:rsid w:val="008E33F9"/>
    <w:rsid w:val="008E34A2"/>
    <w:rsid w:val="008E34AE"/>
    <w:rsid w:val="008E4D1F"/>
    <w:rsid w:val="008E78B4"/>
    <w:rsid w:val="008F047E"/>
    <w:rsid w:val="008F2841"/>
    <w:rsid w:val="008F2959"/>
    <w:rsid w:val="008F399F"/>
    <w:rsid w:val="008F39F1"/>
    <w:rsid w:val="008F432C"/>
    <w:rsid w:val="008F5E77"/>
    <w:rsid w:val="008F7ADB"/>
    <w:rsid w:val="009001B0"/>
    <w:rsid w:val="00900940"/>
    <w:rsid w:val="0090288E"/>
    <w:rsid w:val="009038F9"/>
    <w:rsid w:val="009055D6"/>
    <w:rsid w:val="00905AAB"/>
    <w:rsid w:val="009068C3"/>
    <w:rsid w:val="00910432"/>
    <w:rsid w:val="0091050C"/>
    <w:rsid w:val="00911A8D"/>
    <w:rsid w:val="009139AF"/>
    <w:rsid w:val="00914CD2"/>
    <w:rsid w:val="00915EF9"/>
    <w:rsid w:val="00917A99"/>
    <w:rsid w:val="00921BFB"/>
    <w:rsid w:val="00921EF9"/>
    <w:rsid w:val="00922AFA"/>
    <w:rsid w:val="00922BF2"/>
    <w:rsid w:val="009234FD"/>
    <w:rsid w:val="00923665"/>
    <w:rsid w:val="00924258"/>
    <w:rsid w:val="00924973"/>
    <w:rsid w:val="0092631A"/>
    <w:rsid w:val="009311DF"/>
    <w:rsid w:val="009314B6"/>
    <w:rsid w:val="0093152E"/>
    <w:rsid w:val="009315A3"/>
    <w:rsid w:val="00931779"/>
    <w:rsid w:val="00931E42"/>
    <w:rsid w:val="0093252C"/>
    <w:rsid w:val="0093283A"/>
    <w:rsid w:val="0093430F"/>
    <w:rsid w:val="00935EAC"/>
    <w:rsid w:val="00937529"/>
    <w:rsid w:val="00940DF7"/>
    <w:rsid w:val="00942405"/>
    <w:rsid w:val="00942818"/>
    <w:rsid w:val="00943A66"/>
    <w:rsid w:val="00944371"/>
    <w:rsid w:val="00944529"/>
    <w:rsid w:val="00944D10"/>
    <w:rsid w:val="009450BA"/>
    <w:rsid w:val="009454B6"/>
    <w:rsid w:val="00946929"/>
    <w:rsid w:val="00946D29"/>
    <w:rsid w:val="009474F2"/>
    <w:rsid w:val="00950E7E"/>
    <w:rsid w:val="0095625A"/>
    <w:rsid w:val="00956446"/>
    <w:rsid w:val="00957B4C"/>
    <w:rsid w:val="009603BF"/>
    <w:rsid w:val="00960F24"/>
    <w:rsid w:val="00960FAF"/>
    <w:rsid w:val="0096172B"/>
    <w:rsid w:val="00961C91"/>
    <w:rsid w:val="00962AB8"/>
    <w:rsid w:val="00962CB7"/>
    <w:rsid w:val="00962E64"/>
    <w:rsid w:val="00963AA3"/>
    <w:rsid w:val="00963B80"/>
    <w:rsid w:val="00966080"/>
    <w:rsid w:val="0096628F"/>
    <w:rsid w:val="009664DD"/>
    <w:rsid w:val="00966F48"/>
    <w:rsid w:val="0096744E"/>
    <w:rsid w:val="009704A0"/>
    <w:rsid w:val="00970792"/>
    <w:rsid w:val="00971E1A"/>
    <w:rsid w:val="00971EE1"/>
    <w:rsid w:val="00973197"/>
    <w:rsid w:val="00973E14"/>
    <w:rsid w:val="009753FB"/>
    <w:rsid w:val="00975439"/>
    <w:rsid w:val="009756E8"/>
    <w:rsid w:val="00977317"/>
    <w:rsid w:val="009804C2"/>
    <w:rsid w:val="00980C11"/>
    <w:rsid w:val="00981086"/>
    <w:rsid w:val="0098257D"/>
    <w:rsid w:val="0098302F"/>
    <w:rsid w:val="009831C8"/>
    <w:rsid w:val="00983D28"/>
    <w:rsid w:val="0098474E"/>
    <w:rsid w:val="00986110"/>
    <w:rsid w:val="00987232"/>
    <w:rsid w:val="00990EC7"/>
    <w:rsid w:val="00991B95"/>
    <w:rsid w:val="00991D3E"/>
    <w:rsid w:val="00992840"/>
    <w:rsid w:val="00994CC4"/>
    <w:rsid w:val="00995379"/>
    <w:rsid w:val="009968AC"/>
    <w:rsid w:val="00996911"/>
    <w:rsid w:val="00996DB9"/>
    <w:rsid w:val="009976E7"/>
    <w:rsid w:val="009A10DD"/>
    <w:rsid w:val="009A11ED"/>
    <w:rsid w:val="009A1795"/>
    <w:rsid w:val="009A1CB0"/>
    <w:rsid w:val="009A4D66"/>
    <w:rsid w:val="009A63A6"/>
    <w:rsid w:val="009A65F0"/>
    <w:rsid w:val="009A67A1"/>
    <w:rsid w:val="009A7026"/>
    <w:rsid w:val="009A702B"/>
    <w:rsid w:val="009A7D0C"/>
    <w:rsid w:val="009A7F30"/>
    <w:rsid w:val="009B10E0"/>
    <w:rsid w:val="009B18EB"/>
    <w:rsid w:val="009B27DF"/>
    <w:rsid w:val="009B36AF"/>
    <w:rsid w:val="009B393A"/>
    <w:rsid w:val="009B7972"/>
    <w:rsid w:val="009C0DD6"/>
    <w:rsid w:val="009C1B29"/>
    <w:rsid w:val="009C1C07"/>
    <w:rsid w:val="009C1F84"/>
    <w:rsid w:val="009C38DF"/>
    <w:rsid w:val="009C40F8"/>
    <w:rsid w:val="009C5A3E"/>
    <w:rsid w:val="009C6CC1"/>
    <w:rsid w:val="009C793F"/>
    <w:rsid w:val="009D05F1"/>
    <w:rsid w:val="009D089E"/>
    <w:rsid w:val="009D094F"/>
    <w:rsid w:val="009D0BF3"/>
    <w:rsid w:val="009D0E88"/>
    <w:rsid w:val="009D1003"/>
    <w:rsid w:val="009D24D7"/>
    <w:rsid w:val="009D256E"/>
    <w:rsid w:val="009D2DB6"/>
    <w:rsid w:val="009D2F47"/>
    <w:rsid w:val="009D2FB9"/>
    <w:rsid w:val="009D3067"/>
    <w:rsid w:val="009D39EE"/>
    <w:rsid w:val="009D3B45"/>
    <w:rsid w:val="009D4E78"/>
    <w:rsid w:val="009D5487"/>
    <w:rsid w:val="009D55B8"/>
    <w:rsid w:val="009D674E"/>
    <w:rsid w:val="009D6791"/>
    <w:rsid w:val="009D7835"/>
    <w:rsid w:val="009D7EFC"/>
    <w:rsid w:val="009E05AC"/>
    <w:rsid w:val="009E172B"/>
    <w:rsid w:val="009E1B55"/>
    <w:rsid w:val="009E204D"/>
    <w:rsid w:val="009E253A"/>
    <w:rsid w:val="009E25F5"/>
    <w:rsid w:val="009E39C0"/>
    <w:rsid w:val="009E4CE0"/>
    <w:rsid w:val="009E5367"/>
    <w:rsid w:val="009E7B93"/>
    <w:rsid w:val="009F0349"/>
    <w:rsid w:val="009F1E76"/>
    <w:rsid w:val="009F2FEB"/>
    <w:rsid w:val="009F3268"/>
    <w:rsid w:val="009F4230"/>
    <w:rsid w:val="009F4860"/>
    <w:rsid w:val="009F5F2C"/>
    <w:rsid w:val="009F6749"/>
    <w:rsid w:val="009F6A7F"/>
    <w:rsid w:val="009F6C56"/>
    <w:rsid w:val="00A0178C"/>
    <w:rsid w:val="00A031CC"/>
    <w:rsid w:val="00A0323B"/>
    <w:rsid w:val="00A04192"/>
    <w:rsid w:val="00A04474"/>
    <w:rsid w:val="00A0762A"/>
    <w:rsid w:val="00A0776D"/>
    <w:rsid w:val="00A1004D"/>
    <w:rsid w:val="00A1182A"/>
    <w:rsid w:val="00A13DB8"/>
    <w:rsid w:val="00A13F1D"/>
    <w:rsid w:val="00A1482D"/>
    <w:rsid w:val="00A155ED"/>
    <w:rsid w:val="00A15F37"/>
    <w:rsid w:val="00A16191"/>
    <w:rsid w:val="00A163E3"/>
    <w:rsid w:val="00A22A52"/>
    <w:rsid w:val="00A23246"/>
    <w:rsid w:val="00A24A2E"/>
    <w:rsid w:val="00A25889"/>
    <w:rsid w:val="00A2710F"/>
    <w:rsid w:val="00A3034C"/>
    <w:rsid w:val="00A325EE"/>
    <w:rsid w:val="00A338A1"/>
    <w:rsid w:val="00A349CB"/>
    <w:rsid w:val="00A34E5A"/>
    <w:rsid w:val="00A3508F"/>
    <w:rsid w:val="00A364F7"/>
    <w:rsid w:val="00A36DDD"/>
    <w:rsid w:val="00A378ED"/>
    <w:rsid w:val="00A425BA"/>
    <w:rsid w:val="00A42EEB"/>
    <w:rsid w:val="00A430E2"/>
    <w:rsid w:val="00A4316F"/>
    <w:rsid w:val="00A454B6"/>
    <w:rsid w:val="00A45FC0"/>
    <w:rsid w:val="00A472F8"/>
    <w:rsid w:val="00A50571"/>
    <w:rsid w:val="00A50AEA"/>
    <w:rsid w:val="00A5314F"/>
    <w:rsid w:val="00A54055"/>
    <w:rsid w:val="00A54B25"/>
    <w:rsid w:val="00A55882"/>
    <w:rsid w:val="00A5590F"/>
    <w:rsid w:val="00A569E0"/>
    <w:rsid w:val="00A56B6B"/>
    <w:rsid w:val="00A60311"/>
    <w:rsid w:val="00A60546"/>
    <w:rsid w:val="00A61107"/>
    <w:rsid w:val="00A63EEE"/>
    <w:rsid w:val="00A6445C"/>
    <w:rsid w:val="00A66F1E"/>
    <w:rsid w:val="00A6760A"/>
    <w:rsid w:val="00A676D3"/>
    <w:rsid w:val="00A679AD"/>
    <w:rsid w:val="00A711B7"/>
    <w:rsid w:val="00A7149F"/>
    <w:rsid w:val="00A72C93"/>
    <w:rsid w:val="00A72FF3"/>
    <w:rsid w:val="00A7410C"/>
    <w:rsid w:val="00A76082"/>
    <w:rsid w:val="00A7784F"/>
    <w:rsid w:val="00A80A07"/>
    <w:rsid w:val="00A811D6"/>
    <w:rsid w:val="00A82860"/>
    <w:rsid w:val="00A82F07"/>
    <w:rsid w:val="00A832BA"/>
    <w:rsid w:val="00A8331B"/>
    <w:rsid w:val="00A84963"/>
    <w:rsid w:val="00A85048"/>
    <w:rsid w:val="00A86552"/>
    <w:rsid w:val="00A86CD7"/>
    <w:rsid w:val="00A8750A"/>
    <w:rsid w:val="00A90878"/>
    <w:rsid w:val="00A91266"/>
    <w:rsid w:val="00A9266A"/>
    <w:rsid w:val="00A9310D"/>
    <w:rsid w:val="00A9367D"/>
    <w:rsid w:val="00A950F4"/>
    <w:rsid w:val="00A9567A"/>
    <w:rsid w:val="00A96783"/>
    <w:rsid w:val="00A97337"/>
    <w:rsid w:val="00A97B08"/>
    <w:rsid w:val="00A97D41"/>
    <w:rsid w:val="00A97F5A"/>
    <w:rsid w:val="00A97F92"/>
    <w:rsid w:val="00AA253F"/>
    <w:rsid w:val="00AA25AC"/>
    <w:rsid w:val="00AA2D58"/>
    <w:rsid w:val="00AA4C06"/>
    <w:rsid w:val="00AB0ED1"/>
    <w:rsid w:val="00AB23B0"/>
    <w:rsid w:val="00AB2567"/>
    <w:rsid w:val="00AB365A"/>
    <w:rsid w:val="00AB3A63"/>
    <w:rsid w:val="00AB4201"/>
    <w:rsid w:val="00AB48D1"/>
    <w:rsid w:val="00AB4CFC"/>
    <w:rsid w:val="00AB58F2"/>
    <w:rsid w:val="00AB5E9F"/>
    <w:rsid w:val="00AB61EF"/>
    <w:rsid w:val="00AB689B"/>
    <w:rsid w:val="00AB7541"/>
    <w:rsid w:val="00AB7CDE"/>
    <w:rsid w:val="00AC0AAA"/>
    <w:rsid w:val="00AC1771"/>
    <w:rsid w:val="00AC1934"/>
    <w:rsid w:val="00AC277A"/>
    <w:rsid w:val="00AC41F9"/>
    <w:rsid w:val="00AC4EEC"/>
    <w:rsid w:val="00AC6C46"/>
    <w:rsid w:val="00AC6D5D"/>
    <w:rsid w:val="00AC6F64"/>
    <w:rsid w:val="00AC706B"/>
    <w:rsid w:val="00AC7487"/>
    <w:rsid w:val="00AC7B00"/>
    <w:rsid w:val="00AD03D9"/>
    <w:rsid w:val="00AD20AF"/>
    <w:rsid w:val="00AD25AD"/>
    <w:rsid w:val="00AD3A59"/>
    <w:rsid w:val="00AD3BBF"/>
    <w:rsid w:val="00AD613B"/>
    <w:rsid w:val="00AE079E"/>
    <w:rsid w:val="00AE0D0C"/>
    <w:rsid w:val="00AE1BA9"/>
    <w:rsid w:val="00AE2387"/>
    <w:rsid w:val="00AE6E19"/>
    <w:rsid w:val="00AE76A8"/>
    <w:rsid w:val="00AF09A0"/>
    <w:rsid w:val="00AF18A6"/>
    <w:rsid w:val="00AF18CA"/>
    <w:rsid w:val="00AF1CFD"/>
    <w:rsid w:val="00AF2AE5"/>
    <w:rsid w:val="00AF2B00"/>
    <w:rsid w:val="00AF3AD9"/>
    <w:rsid w:val="00AF4640"/>
    <w:rsid w:val="00AF5145"/>
    <w:rsid w:val="00AF58F3"/>
    <w:rsid w:val="00AF5ABA"/>
    <w:rsid w:val="00B0149D"/>
    <w:rsid w:val="00B04FE2"/>
    <w:rsid w:val="00B05126"/>
    <w:rsid w:val="00B05777"/>
    <w:rsid w:val="00B05B5E"/>
    <w:rsid w:val="00B10C3C"/>
    <w:rsid w:val="00B11271"/>
    <w:rsid w:val="00B112A5"/>
    <w:rsid w:val="00B116FF"/>
    <w:rsid w:val="00B118CF"/>
    <w:rsid w:val="00B12833"/>
    <w:rsid w:val="00B140E9"/>
    <w:rsid w:val="00B14557"/>
    <w:rsid w:val="00B15438"/>
    <w:rsid w:val="00B17281"/>
    <w:rsid w:val="00B2131B"/>
    <w:rsid w:val="00B21BF3"/>
    <w:rsid w:val="00B222E2"/>
    <w:rsid w:val="00B230A8"/>
    <w:rsid w:val="00B2310C"/>
    <w:rsid w:val="00B23328"/>
    <w:rsid w:val="00B23B81"/>
    <w:rsid w:val="00B242B1"/>
    <w:rsid w:val="00B24E54"/>
    <w:rsid w:val="00B25994"/>
    <w:rsid w:val="00B27646"/>
    <w:rsid w:val="00B32C18"/>
    <w:rsid w:val="00B33037"/>
    <w:rsid w:val="00B33732"/>
    <w:rsid w:val="00B35C7E"/>
    <w:rsid w:val="00B36448"/>
    <w:rsid w:val="00B377F6"/>
    <w:rsid w:val="00B416B1"/>
    <w:rsid w:val="00B426A2"/>
    <w:rsid w:val="00B43376"/>
    <w:rsid w:val="00B44CCC"/>
    <w:rsid w:val="00B44EAC"/>
    <w:rsid w:val="00B465C8"/>
    <w:rsid w:val="00B472C9"/>
    <w:rsid w:val="00B47F43"/>
    <w:rsid w:val="00B506AC"/>
    <w:rsid w:val="00B50D1B"/>
    <w:rsid w:val="00B50E2C"/>
    <w:rsid w:val="00B51364"/>
    <w:rsid w:val="00B517ED"/>
    <w:rsid w:val="00B52F1D"/>
    <w:rsid w:val="00B53170"/>
    <w:rsid w:val="00B536A8"/>
    <w:rsid w:val="00B54AE6"/>
    <w:rsid w:val="00B54F8C"/>
    <w:rsid w:val="00B56D06"/>
    <w:rsid w:val="00B5765A"/>
    <w:rsid w:val="00B60C22"/>
    <w:rsid w:val="00B616A0"/>
    <w:rsid w:val="00B620CA"/>
    <w:rsid w:val="00B6232A"/>
    <w:rsid w:val="00B62B8F"/>
    <w:rsid w:val="00B649F7"/>
    <w:rsid w:val="00B667C6"/>
    <w:rsid w:val="00B66DB7"/>
    <w:rsid w:val="00B67ADB"/>
    <w:rsid w:val="00B716B3"/>
    <w:rsid w:val="00B71C25"/>
    <w:rsid w:val="00B71D4B"/>
    <w:rsid w:val="00B7214B"/>
    <w:rsid w:val="00B73636"/>
    <w:rsid w:val="00B7370E"/>
    <w:rsid w:val="00B73C08"/>
    <w:rsid w:val="00B7439C"/>
    <w:rsid w:val="00B7657E"/>
    <w:rsid w:val="00B76793"/>
    <w:rsid w:val="00B76C42"/>
    <w:rsid w:val="00B76CBC"/>
    <w:rsid w:val="00B80C63"/>
    <w:rsid w:val="00B8390E"/>
    <w:rsid w:val="00B83CA3"/>
    <w:rsid w:val="00B84219"/>
    <w:rsid w:val="00B84275"/>
    <w:rsid w:val="00B85068"/>
    <w:rsid w:val="00B85154"/>
    <w:rsid w:val="00B85546"/>
    <w:rsid w:val="00B85D8E"/>
    <w:rsid w:val="00B87377"/>
    <w:rsid w:val="00B87EA2"/>
    <w:rsid w:val="00B913AA"/>
    <w:rsid w:val="00B91481"/>
    <w:rsid w:val="00B91B01"/>
    <w:rsid w:val="00B9205C"/>
    <w:rsid w:val="00B925BA"/>
    <w:rsid w:val="00B95673"/>
    <w:rsid w:val="00B961C8"/>
    <w:rsid w:val="00B96C2A"/>
    <w:rsid w:val="00B96FD4"/>
    <w:rsid w:val="00B97971"/>
    <w:rsid w:val="00BA04E1"/>
    <w:rsid w:val="00BA18D1"/>
    <w:rsid w:val="00BA19E0"/>
    <w:rsid w:val="00BA1F8A"/>
    <w:rsid w:val="00BA258C"/>
    <w:rsid w:val="00BA3EDB"/>
    <w:rsid w:val="00BA4441"/>
    <w:rsid w:val="00BA46B0"/>
    <w:rsid w:val="00BA47DA"/>
    <w:rsid w:val="00BA4E91"/>
    <w:rsid w:val="00BA5E59"/>
    <w:rsid w:val="00BA75F2"/>
    <w:rsid w:val="00BB1A4D"/>
    <w:rsid w:val="00BB304B"/>
    <w:rsid w:val="00BB347F"/>
    <w:rsid w:val="00BB36ED"/>
    <w:rsid w:val="00BB50DE"/>
    <w:rsid w:val="00BB641A"/>
    <w:rsid w:val="00BB6DED"/>
    <w:rsid w:val="00BB79A4"/>
    <w:rsid w:val="00BB7A89"/>
    <w:rsid w:val="00BB7CBB"/>
    <w:rsid w:val="00BC08D4"/>
    <w:rsid w:val="00BC0CB8"/>
    <w:rsid w:val="00BC0EE4"/>
    <w:rsid w:val="00BC1B82"/>
    <w:rsid w:val="00BC1D46"/>
    <w:rsid w:val="00BC21D7"/>
    <w:rsid w:val="00BC4A61"/>
    <w:rsid w:val="00BC52EB"/>
    <w:rsid w:val="00BC5978"/>
    <w:rsid w:val="00BC5A14"/>
    <w:rsid w:val="00BD0100"/>
    <w:rsid w:val="00BD297C"/>
    <w:rsid w:val="00BD2BB6"/>
    <w:rsid w:val="00BD483C"/>
    <w:rsid w:val="00BD499A"/>
    <w:rsid w:val="00BD532D"/>
    <w:rsid w:val="00BD6F03"/>
    <w:rsid w:val="00BD6FDA"/>
    <w:rsid w:val="00BD77B5"/>
    <w:rsid w:val="00BD7A55"/>
    <w:rsid w:val="00BE00E4"/>
    <w:rsid w:val="00BE0270"/>
    <w:rsid w:val="00BE0965"/>
    <w:rsid w:val="00BE0DD9"/>
    <w:rsid w:val="00BE180E"/>
    <w:rsid w:val="00BE21A8"/>
    <w:rsid w:val="00BE2827"/>
    <w:rsid w:val="00BE2CB6"/>
    <w:rsid w:val="00BE331A"/>
    <w:rsid w:val="00BE4444"/>
    <w:rsid w:val="00BE48B7"/>
    <w:rsid w:val="00BE53BC"/>
    <w:rsid w:val="00BE5574"/>
    <w:rsid w:val="00BE5CDB"/>
    <w:rsid w:val="00BE74B4"/>
    <w:rsid w:val="00BE74D9"/>
    <w:rsid w:val="00BF01E3"/>
    <w:rsid w:val="00BF0B84"/>
    <w:rsid w:val="00BF19A0"/>
    <w:rsid w:val="00BF2280"/>
    <w:rsid w:val="00BF4843"/>
    <w:rsid w:val="00BF4B69"/>
    <w:rsid w:val="00BF5F81"/>
    <w:rsid w:val="00BF6462"/>
    <w:rsid w:val="00BF6F8D"/>
    <w:rsid w:val="00BF7738"/>
    <w:rsid w:val="00C00471"/>
    <w:rsid w:val="00C014C6"/>
    <w:rsid w:val="00C01839"/>
    <w:rsid w:val="00C04F50"/>
    <w:rsid w:val="00C05E06"/>
    <w:rsid w:val="00C06FED"/>
    <w:rsid w:val="00C076D3"/>
    <w:rsid w:val="00C1041E"/>
    <w:rsid w:val="00C1044E"/>
    <w:rsid w:val="00C10EB9"/>
    <w:rsid w:val="00C11E3B"/>
    <w:rsid w:val="00C1233D"/>
    <w:rsid w:val="00C12AFA"/>
    <w:rsid w:val="00C12E9A"/>
    <w:rsid w:val="00C15648"/>
    <w:rsid w:val="00C17244"/>
    <w:rsid w:val="00C2020E"/>
    <w:rsid w:val="00C20265"/>
    <w:rsid w:val="00C20ECB"/>
    <w:rsid w:val="00C21CA1"/>
    <w:rsid w:val="00C21FB0"/>
    <w:rsid w:val="00C24142"/>
    <w:rsid w:val="00C25B6F"/>
    <w:rsid w:val="00C25CA5"/>
    <w:rsid w:val="00C2648E"/>
    <w:rsid w:val="00C27BE2"/>
    <w:rsid w:val="00C30194"/>
    <w:rsid w:val="00C30F85"/>
    <w:rsid w:val="00C31129"/>
    <w:rsid w:val="00C313E7"/>
    <w:rsid w:val="00C34EEE"/>
    <w:rsid w:val="00C3561D"/>
    <w:rsid w:val="00C3654D"/>
    <w:rsid w:val="00C410EB"/>
    <w:rsid w:val="00C4196A"/>
    <w:rsid w:val="00C41CF2"/>
    <w:rsid w:val="00C41E47"/>
    <w:rsid w:val="00C42F00"/>
    <w:rsid w:val="00C44924"/>
    <w:rsid w:val="00C461EB"/>
    <w:rsid w:val="00C50077"/>
    <w:rsid w:val="00C51720"/>
    <w:rsid w:val="00C520D7"/>
    <w:rsid w:val="00C52B35"/>
    <w:rsid w:val="00C5372C"/>
    <w:rsid w:val="00C53769"/>
    <w:rsid w:val="00C56832"/>
    <w:rsid w:val="00C57869"/>
    <w:rsid w:val="00C60DF5"/>
    <w:rsid w:val="00C60FED"/>
    <w:rsid w:val="00C627A3"/>
    <w:rsid w:val="00C64C2F"/>
    <w:rsid w:val="00C6528A"/>
    <w:rsid w:val="00C665F2"/>
    <w:rsid w:val="00C6749F"/>
    <w:rsid w:val="00C676D3"/>
    <w:rsid w:val="00C7054B"/>
    <w:rsid w:val="00C72AE9"/>
    <w:rsid w:val="00C7375A"/>
    <w:rsid w:val="00C74048"/>
    <w:rsid w:val="00C74654"/>
    <w:rsid w:val="00C74775"/>
    <w:rsid w:val="00C74F0F"/>
    <w:rsid w:val="00C754A8"/>
    <w:rsid w:val="00C75F55"/>
    <w:rsid w:val="00C76725"/>
    <w:rsid w:val="00C81867"/>
    <w:rsid w:val="00C81AAE"/>
    <w:rsid w:val="00C847AA"/>
    <w:rsid w:val="00C84C3A"/>
    <w:rsid w:val="00C86300"/>
    <w:rsid w:val="00C8679C"/>
    <w:rsid w:val="00C8685C"/>
    <w:rsid w:val="00C87645"/>
    <w:rsid w:val="00C87795"/>
    <w:rsid w:val="00C8788F"/>
    <w:rsid w:val="00C93936"/>
    <w:rsid w:val="00C948E7"/>
    <w:rsid w:val="00C963E5"/>
    <w:rsid w:val="00C967BE"/>
    <w:rsid w:val="00C96E4A"/>
    <w:rsid w:val="00C97546"/>
    <w:rsid w:val="00C975A8"/>
    <w:rsid w:val="00C97688"/>
    <w:rsid w:val="00C97773"/>
    <w:rsid w:val="00C9786B"/>
    <w:rsid w:val="00C97D39"/>
    <w:rsid w:val="00CA1482"/>
    <w:rsid w:val="00CA1957"/>
    <w:rsid w:val="00CA2159"/>
    <w:rsid w:val="00CA21E3"/>
    <w:rsid w:val="00CA2ACE"/>
    <w:rsid w:val="00CA3B1F"/>
    <w:rsid w:val="00CA3B41"/>
    <w:rsid w:val="00CA3BA7"/>
    <w:rsid w:val="00CA3D0C"/>
    <w:rsid w:val="00CA7866"/>
    <w:rsid w:val="00CA7F24"/>
    <w:rsid w:val="00CB1580"/>
    <w:rsid w:val="00CB1A38"/>
    <w:rsid w:val="00CB21B3"/>
    <w:rsid w:val="00CB4072"/>
    <w:rsid w:val="00CB517A"/>
    <w:rsid w:val="00CB61C9"/>
    <w:rsid w:val="00CB62EE"/>
    <w:rsid w:val="00CB730C"/>
    <w:rsid w:val="00CC0F4A"/>
    <w:rsid w:val="00CC0F68"/>
    <w:rsid w:val="00CC22B1"/>
    <w:rsid w:val="00CC2C93"/>
    <w:rsid w:val="00CC2DC4"/>
    <w:rsid w:val="00CC384C"/>
    <w:rsid w:val="00CC3988"/>
    <w:rsid w:val="00CC53F4"/>
    <w:rsid w:val="00CC5AF3"/>
    <w:rsid w:val="00CC68BF"/>
    <w:rsid w:val="00CC7C45"/>
    <w:rsid w:val="00CD13B1"/>
    <w:rsid w:val="00CD28EC"/>
    <w:rsid w:val="00CD2DC8"/>
    <w:rsid w:val="00CD561D"/>
    <w:rsid w:val="00CD6EF5"/>
    <w:rsid w:val="00CE20E9"/>
    <w:rsid w:val="00CE3DD3"/>
    <w:rsid w:val="00CE4053"/>
    <w:rsid w:val="00CE4954"/>
    <w:rsid w:val="00CE5016"/>
    <w:rsid w:val="00CE596E"/>
    <w:rsid w:val="00CE5FEF"/>
    <w:rsid w:val="00CF1160"/>
    <w:rsid w:val="00CF3482"/>
    <w:rsid w:val="00CF4940"/>
    <w:rsid w:val="00CF4CD4"/>
    <w:rsid w:val="00CF72AC"/>
    <w:rsid w:val="00D004E5"/>
    <w:rsid w:val="00D0136A"/>
    <w:rsid w:val="00D0142A"/>
    <w:rsid w:val="00D0150B"/>
    <w:rsid w:val="00D0280B"/>
    <w:rsid w:val="00D038D7"/>
    <w:rsid w:val="00D052E6"/>
    <w:rsid w:val="00D05DDB"/>
    <w:rsid w:val="00D073F9"/>
    <w:rsid w:val="00D07DD7"/>
    <w:rsid w:val="00D10717"/>
    <w:rsid w:val="00D13DF1"/>
    <w:rsid w:val="00D13EDA"/>
    <w:rsid w:val="00D1722E"/>
    <w:rsid w:val="00D20B08"/>
    <w:rsid w:val="00D2261D"/>
    <w:rsid w:val="00D228B8"/>
    <w:rsid w:val="00D24515"/>
    <w:rsid w:val="00D2526B"/>
    <w:rsid w:val="00D266A9"/>
    <w:rsid w:val="00D27660"/>
    <w:rsid w:val="00D30E94"/>
    <w:rsid w:val="00D31401"/>
    <w:rsid w:val="00D324DA"/>
    <w:rsid w:val="00D32A14"/>
    <w:rsid w:val="00D32B43"/>
    <w:rsid w:val="00D339A1"/>
    <w:rsid w:val="00D344F3"/>
    <w:rsid w:val="00D3524B"/>
    <w:rsid w:val="00D357A4"/>
    <w:rsid w:val="00D36238"/>
    <w:rsid w:val="00D36EB1"/>
    <w:rsid w:val="00D375AE"/>
    <w:rsid w:val="00D4029D"/>
    <w:rsid w:val="00D44EDE"/>
    <w:rsid w:val="00D451A5"/>
    <w:rsid w:val="00D451C1"/>
    <w:rsid w:val="00D45283"/>
    <w:rsid w:val="00D477C3"/>
    <w:rsid w:val="00D47DE7"/>
    <w:rsid w:val="00D51271"/>
    <w:rsid w:val="00D51828"/>
    <w:rsid w:val="00D53DC5"/>
    <w:rsid w:val="00D5465D"/>
    <w:rsid w:val="00D5517C"/>
    <w:rsid w:val="00D55406"/>
    <w:rsid w:val="00D5615B"/>
    <w:rsid w:val="00D56E84"/>
    <w:rsid w:val="00D60759"/>
    <w:rsid w:val="00D6293F"/>
    <w:rsid w:val="00D662E4"/>
    <w:rsid w:val="00D670D3"/>
    <w:rsid w:val="00D67470"/>
    <w:rsid w:val="00D6792F"/>
    <w:rsid w:val="00D67B99"/>
    <w:rsid w:val="00D67FC9"/>
    <w:rsid w:val="00D709B5"/>
    <w:rsid w:val="00D729D1"/>
    <w:rsid w:val="00D73AAF"/>
    <w:rsid w:val="00D73B35"/>
    <w:rsid w:val="00D75B0B"/>
    <w:rsid w:val="00D775D2"/>
    <w:rsid w:val="00D80D94"/>
    <w:rsid w:val="00D8118D"/>
    <w:rsid w:val="00D82637"/>
    <w:rsid w:val="00D83D34"/>
    <w:rsid w:val="00D85155"/>
    <w:rsid w:val="00D85F3F"/>
    <w:rsid w:val="00D86169"/>
    <w:rsid w:val="00D8652F"/>
    <w:rsid w:val="00D875E3"/>
    <w:rsid w:val="00D91421"/>
    <w:rsid w:val="00D91CBD"/>
    <w:rsid w:val="00D926E9"/>
    <w:rsid w:val="00D92B66"/>
    <w:rsid w:val="00D9348C"/>
    <w:rsid w:val="00D93CC1"/>
    <w:rsid w:val="00D93EB9"/>
    <w:rsid w:val="00D942A3"/>
    <w:rsid w:val="00D9583F"/>
    <w:rsid w:val="00D97E49"/>
    <w:rsid w:val="00DA08BF"/>
    <w:rsid w:val="00DA12F6"/>
    <w:rsid w:val="00DA1419"/>
    <w:rsid w:val="00DA2603"/>
    <w:rsid w:val="00DA2818"/>
    <w:rsid w:val="00DA2876"/>
    <w:rsid w:val="00DA40F8"/>
    <w:rsid w:val="00DA4875"/>
    <w:rsid w:val="00DA4917"/>
    <w:rsid w:val="00DA5117"/>
    <w:rsid w:val="00DA61B6"/>
    <w:rsid w:val="00DA68C1"/>
    <w:rsid w:val="00DA7808"/>
    <w:rsid w:val="00DB35F8"/>
    <w:rsid w:val="00DB57B7"/>
    <w:rsid w:val="00DB67E5"/>
    <w:rsid w:val="00DB68CD"/>
    <w:rsid w:val="00DB73AB"/>
    <w:rsid w:val="00DB761D"/>
    <w:rsid w:val="00DB7C28"/>
    <w:rsid w:val="00DC13F9"/>
    <w:rsid w:val="00DC1D72"/>
    <w:rsid w:val="00DC2E2C"/>
    <w:rsid w:val="00DC545A"/>
    <w:rsid w:val="00DC585F"/>
    <w:rsid w:val="00DC77F2"/>
    <w:rsid w:val="00DC78DB"/>
    <w:rsid w:val="00DC7F7D"/>
    <w:rsid w:val="00DD028A"/>
    <w:rsid w:val="00DD08C1"/>
    <w:rsid w:val="00DD19C8"/>
    <w:rsid w:val="00DD2278"/>
    <w:rsid w:val="00DD4F3E"/>
    <w:rsid w:val="00DD67A9"/>
    <w:rsid w:val="00DD75C0"/>
    <w:rsid w:val="00DD7C85"/>
    <w:rsid w:val="00DE2574"/>
    <w:rsid w:val="00DE2C5D"/>
    <w:rsid w:val="00DE58C9"/>
    <w:rsid w:val="00DE58D7"/>
    <w:rsid w:val="00DE62BC"/>
    <w:rsid w:val="00DE7572"/>
    <w:rsid w:val="00DE7BEA"/>
    <w:rsid w:val="00DE7DAF"/>
    <w:rsid w:val="00DF19F6"/>
    <w:rsid w:val="00DF376E"/>
    <w:rsid w:val="00DF431A"/>
    <w:rsid w:val="00DF62C6"/>
    <w:rsid w:val="00DF6D21"/>
    <w:rsid w:val="00DF7C00"/>
    <w:rsid w:val="00E00BBD"/>
    <w:rsid w:val="00E01F2F"/>
    <w:rsid w:val="00E02136"/>
    <w:rsid w:val="00E0219A"/>
    <w:rsid w:val="00E02370"/>
    <w:rsid w:val="00E02392"/>
    <w:rsid w:val="00E02F84"/>
    <w:rsid w:val="00E03E17"/>
    <w:rsid w:val="00E042FF"/>
    <w:rsid w:val="00E05C1A"/>
    <w:rsid w:val="00E064CA"/>
    <w:rsid w:val="00E06813"/>
    <w:rsid w:val="00E10053"/>
    <w:rsid w:val="00E111E4"/>
    <w:rsid w:val="00E13B47"/>
    <w:rsid w:val="00E15B99"/>
    <w:rsid w:val="00E16FAA"/>
    <w:rsid w:val="00E171C2"/>
    <w:rsid w:val="00E20598"/>
    <w:rsid w:val="00E20664"/>
    <w:rsid w:val="00E2148E"/>
    <w:rsid w:val="00E21C56"/>
    <w:rsid w:val="00E22425"/>
    <w:rsid w:val="00E24926"/>
    <w:rsid w:val="00E24E04"/>
    <w:rsid w:val="00E2580D"/>
    <w:rsid w:val="00E2583C"/>
    <w:rsid w:val="00E2789E"/>
    <w:rsid w:val="00E27F2F"/>
    <w:rsid w:val="00E30294"/>
    <w:rsid w:val="00E315D6"/>
    <w:rsid w:val="00E3258F"/>
    <w:rsid w:val="00E330AB"/>
    <w:rsid w:val="00E3317B"/>
    <w:rsid w:val="00E3386F"/>
    <w:rsid w:val="00E341F0"/>
    <w:rsid w:val="00E350BD"/>
    <w:rsid w:val="00E3540A"/>
    <w:rsid w:val="00E35AE0"/>
    <w:rsid w:val="00E36335"/>
    <w:rsid w:val="00E373B4"/>
    <w:rsid w:val="00E37B5C"/>
    <w:rsid w:val="00E37CF8"/>
    <w:rsid w:val="00E407AC"/>
    <w:rsid w:val="00E413A5"/>
    <w:rsid w:val="00E41AF8"/>
    <w:rsid w:val="00E4296A"/>
    <w:rsid w:val="00E43380"/>
    <w:rsid w:val="00E44274"/>
    <w:rsid w:val="00E44603"/>
    <w:rsid w:val="00E44F24"/>
    <w:rsid w:val="00E455B4"/>
    <w:rsid w:val="00E46FA7"/>
    <w:rsid w:val="00E47328"/>
    <w:rsid w:val="00E479DF"/>
    <w:rsid w:val="00E505D8"/>
    <w:rsid w:val="00E50B83"/>
    <w:rsid w:val="00E51530"/>
    <w:rsid w:val="00E5252F"/>
    <w:rsid w:val="00E528C6"/>
    <w:rsid w:val="00E535BD"/>
    <w:rsid w:val="00E54596"/>
    <w:rsid w:val="00E55578"/>
    <w:rsid w:val="00E56000"/>
    <w:rsid w:val="00E56378"/>
    <w:rsid w:val="00E57457"/>
    <w:rsid w:val="00E60175"/>
    <w:rsid w:val="00E6160E"/>
    <w:rsid w:val="00E63F00"/>
    <w:rsid w:val="00E642DC"/>
    <w:rsid w:val="00E64F71"/>
    <w:rsid w:val="00E64FC2"/>
    <w:rsid w:val="00E65240"/>
    <w:rsid w:val="00E67590"/>
    <w:rsid w:val="00E67A1A"/>
    <w:rsid w:val="00E703B1"/>
    <w:rsid w:val="00E7045C"/>
    <w:rsid w:val="00E718EA"/>
    <w:rsid w:val="00E71A6E"/>
    <w:rsid w:val="00E72E55"/>
    <w:rsid w:val="00E733D4"/>
    <w:rsid w:val="00E74228"/>
    <w:rsid w:val="00E74A24"/>
    <w:rsid w:val="00E76BBE"/>
    <w:rsid w:val="00E77101"/>
    <w:rsid w:val="00E808C9"/>
    <w:rsid w:val="00E80943"/>
    <w:rsid w:val="00E81135"/>
    <w:rsid w:val="00E8148D"/>
    <w:rsid w:val="00E818C3"/>
    <w:rsid w:val="00E82DCF"/>
    <w:rsid w:val="00E84DC4"/>
    <w:rsid w:val="00E8561A"/>
    <w:rsid w:val="00E85DE8"/>
    <w:rsid w:val="00E86672"/>
    <w:rsid w:val="00E86E0C"/>
    <w:rsid w:val="00E900CF"/>
    <w:rsid w:val="00E908C6"/>
    <w:rsid w:val="00E93450"/>
    <w:rsid w:val="00E9372A"/>
    <w:rsid w:val="00E93AFD"/>
    <w:rsid w:val="00E95441"/>
    <w:rsid w:val="00E979A5"/>
    <w:rsid w:val="00E97C50"/>
    <w:rsid w:val="00EA03D8"/>
    <w:rsid w:val="00EA0DB1"/>
    <w:rsid w:val="00EA507E"/>
    <w:rsid w:val="00EA5747"/>
    <w:rsid w:val="00EA7745"/>
    <w:rsid w:val="00EB0F28"/>
    <w:rsid w:val="00EB3B2C"/>
    <w:rsid w:val="00EB3F96"/>
    <w:rsid w:val="00EB3FA2"/>
    <w:rsid w:val="00EB4281"/>
    <w:rsid w:val="00EB4A81"/>
    <w:rsid w:val="00EB5264"/>
    <w:rsid w:val="00EB60D0"/>
    <w:rsid w:val="00EC03D2"/>
    <w:rsid w:val="00EC0719"/>
    <w:rsid w:val="00EC09D5"/>
    <w:rsid w:val="00EC202F"/>
    <w:rsid w:val="00EC25AB"/>
    <w:rsid w:val="00EC3DF9"/>
    <w:rsid w:val="00EC4F93"/>
    <w:rsid w:val="00EC5679"/>
    <w:rsid w:val="00EC5764"/>
    <w:rsid w:val="00EC5DBE"/>
    <w:rsid w:val="00EC5DE6"/>
    <w:rsid w:val="00EC6C65"/>
    <w:rsid w:val="00ED0FC6"/>
    <w:rsid w:val="00ED1C3D"/>
    <w:rsid w:val="00ED2264"/>
    <w:rsid w:val="00ED2B1D"/>
    <w:rsid w:val="00ED412E"/>
    <w:rsid w:val="00ED41A8"/>
    <w:rsid w:val="00ED44D2"/>
    <w:rsid w:val="00ED452D"/>
    <w:rsid w:val="00ED5035"/>
    <w:rsid w:val="00ED5703"/>
    <w:rsid w:val="00ED5DD6"/>
    <w:rsid w:val="00ED6AF2"/>
    <w:rsid w:val="00ED7BC1"/>
    <w:rsid w:val="00EE04D4"/>
    <w:rsid w:val="00EE29BE"/>
    <w:rsid w:val="00EE3C34"/>
    <w:rsid w:val="00EE3CDA"/>
    <w:rsid w:val="00EF038F"/>
    <w:rsid w:val="00EF07C3"/>
    <w:rsid w:val="00EF1944"/>
    <w:rsid w:val="00EF493E"/>
    <w:rsid w:val="00EF607A"/>
    <w:rsid w:val="00EF6331"/>
    <w:rsid w:val="00EF6482"/>
    <w:rsid w:val="00EF71FF"/>
    <w:rsid w:val="00EF773B"/>
    <w:rsid w:val="00F00241"/>
    <w:rsid w:val="00F00777"/>
    <w:rsid w:val="00F01AED"/>
    <w:rsid w:val="00F02876"/>
    <w:rsid w:val="00F064C3"/>
    <w:rsid w:val="00F109A7"/>
    <w:rsid w:val="00F10BFD"/>
    <w:rsid w:val="00F10D7E"/>
    <w:rsid w:val="00F11D60"/>
    <w:rsid w:val="00F12451"/>
    <w:rsid w:val="00F1303C"/>
    <w:rsid w:val="00F132E8"/>
    <w:rsid w:val="00F14FD4"/>
    <w:rsid w:val="00F15550"/>
    <w:rsid w:val="00F15E8D"/>
    <w:rsid w:val="00F175AF"/>
    <w:rsid w:val="00F205FB"/>
    <w:rsid w:val="00F20DD7"/>
    <w:rsid w:val="00F21CF8"/>
    <w:rsid w:val="00F22A61"/>
    <w:rsid w:val="00F2357B"/>
    <w:rsid w:val="00F236DC"/>
    <w:rsid w:val="00F2464A"/>
    <w:rsid w:val="00F247BC"/>
    <w:rsid w:val="00F2482C"/>
    <w:rsid w:val="00F25233"/>
    <w:rsid w:val="00F25EAF"/>
    <w:rsid w:val="00F26AC0"/>
    <w:rsid w:val="00F2719D"/>
    <w:rsid w:val="00F27A13"/>
    <w:rsid w:val="00F3032E"/>
    <w:rsid w:val="00F3124A"/>
    <w:rsid w:val="00F313E8"/>
    <w:rsid w:val="00F31EFE"/>
    <w:rsid w:val="00F3277D"/>
    <w:rsid w:val="00F32822"/>
    <w:rsid w:val="00F33D35"/>
    <w:rsid w:val="00F340F0"/>
    <w:rsid w:val="00F34F38"/>
    <w:rsid w:val="00F350F7"/>
    <w:rsid w:val="00F35253"/>
    <w:rsid w:val="00F36405"/>
    <w:rsid w:val="00F36950"/>
    <w:rsid w:val="00F371E7"/>
    <w:rsid w:val="00F3733F"/>
    <w:rsid w:val="00F37625"/>
    <w:rsid w:val="00F41E87"/>
    <w:rsid w:val="00F42120"/>
    <w:rsid w:val="00F428F8"/>
    <w:rsid w:val="00F43B83"/>
    <w:rsid w:val="00F44EBF"/>
    <w:rsid w:val="00F45EB3"/>
    <w:rsid w:val="00F47502"/>
    <w:rsid w:val="00F47697"/>
    <w:rsid w:val="00F517F3"/>
    <w:rsid w:val="00F53132"/>
    <w:rsid w:val="00F531DC"/>
    <w:rsid w:val="00F53F88"/>
    <w:rsid w:val="00F54274"/>
    <w:rsid w:val="00F5456A"/>
    <w:rsid w:val="00F545FC"/>
    <w:rsid w:val="00F547FE"/>
    <w:rsid w:val="00F54E12"/>
    <w:rsid w:val="00F56446"/>
    <w:rsid w:val="00F573F1"/>
    <w:rsid w:val="00F57AF7"/>
    <w:rsid w:val="00F57CAC"/>
    <w:rsid w:val="00F61FFC"/>
    <w:rsid w:val="00F62A93"/>
    <w:rsid w:val="00F62AF9"/>
    <w:rsid w:val="00F62CDB"/>
    <w:rsid w:val="00F62F06"/>
    <w:rsid w:val="00F644AD"/>
    <w:rsid w:val="00F646BE"/>
    <w:rsid w:val="00F64FF5"/>
    <w:rsid w:val="00F66320"/>
    <w:rsid w:val="00F663A8"/>
    <w:rsid w:val="00F66A76"/>
    <w:rsid w:val="00F674BA"/>
    <w:rsid w:val="00F6767A"/>
    <w:rsid w:val="00F67E6A"/>
    <w:rsid w:val="00F70A48"/>
    <w:rsid w:val="00F70BAD"/>
    <w:rsid w:val="00F71668"/>
    <w:rsid w:val="00F73140"/>
    <w:rsid w:val="00F74364"/>
    <w:rsid w:val="00F74666"/>
    <w:rsid w:val="00F7568A"/>
    <w:rsid w:val="00F77C1A"/>
    <w:rsid w:val="00F81073"/>
    <w:rsid w:val="00F812E4"/>
    <w:rsid w:val="00F815BB"/>
    <w:rsid w:val="00F825C9"/>
    <w:rsid w:val="00F8344B"/>
    <w:rsid w:val="00F83EEA"/>
    <w:rsid w:val="00F8461A"/>
    <w:rsid w:val="00F84BEC"/>
    <w:rsid w:val="00F852BE"/>
    <w:rsid w:val="00F87CAF"/>
    <w:rsid w:val="00F87FA4"/>
    <w:rsid w:val="00F90063"/>
    <w:rsid w:val="00F90A3D"/>
    <w:rsid w:val="00F91222"/>
    <w:rsid w:val="00F92352"/>
    <w:rsid w:val="00F9267B"/>
    <w:rsid w:val="00F94ACE"/>
    <w:rsid w:val="00F94AE5"/>
    <w:rsid w:val="00F94EAF"/>
    <w:rsid w:val="00F96AF2"/>
    <w:rsid w:val="00F96F50"/>
    <w:rsid w:val="00F970A7"/>
    <w:rsid w:val="00F9738D"/>
    <w:rsid w:val="00FA2228"/>
    <w:rsid w:val="00FA2A03"/>
    <w:rsid w:val="00FA59C4"/>
    <w:rsid w:val="00FA59C6"/>
    <w:rsid w:val="00FA5A3F"/>
    <w:rsid w:val="00FA5B04"/>
    <w:rsid w:val="00FB0167"/>
    <w:rsid w:val="00FB0EBB"/>
    <w:rsid w:val="00FB13A2"/>
    <w:rsid w:val="00FB15EB"/>
    <w:rsid w:val="00FB3A29"/>
    <w:rsid w:val="00FB41AF"/>
    <w:rsid w:val="00FB47DE"/>
    <w:rsid w:val="00FB4A1C"/>
    <w:rsid w:val="00FB60CC"/>
    <w:rsid w:val="00FB60FB"/>
    <w:rsid w:val="00FB6635"/>
    <w:rsid w:val="00FB6B37"/>
    <w:rsid w:val="00FC111B"/>
    <w:rsid w:val="00FC1DE5"/>
    <w:rsid w:val="00FC206B"/>
    <w:rsid w:val="00FC23C7"/>
    <w:rsid w:val="00FC2710"/>
    <w:rsid w:val="00FC3E40"/>
    <w:rsid w:val="00FC3FB7"/>
    <w:rsid w:val="00FC4378"/>
    <w:rsid w:val="00FC52C1"/>
    <w:rsid w:val="00FC5A6D"/>
    <w:rsid w:val="00FC5B2A"/>
    <w:rsid w:val="00FC65D0"/>
    <w:rsid w:val="00FD0284"/>
    <w:rsid w:val="00FD1078"/>
    <w:rsid w:val="00FD12DB"/>
    <w:rsid w:val="00FD1306"/>
    <w:rsid w:val="00FD3713"/>
    <w:rsid w:val="00FD4587"/>
    <w:rsid w:val="00FD57E2"/>
    <w:rsid w:val="00FD6921"/>
    <w:rsid w:val="00FD77C2"/>
    <w:rsid w:val="00FE1F8E"/>
    <w:rsid w:val="00FE2ED7"/>
    <w:rsid w:val="00FE34B0"/>
    <w:rsid w:val="00FE3AFB"/>
    <w:rsid w:val="00FE3E6F"/>
    <w:rsid w:val="00FE58C5"/>
    <w:rsid w:val="00FE5ADE"/>
    <w:rsid w:val="00FE5C0B"/>
    <w:rsid w:val="00FE788D"/>
    <w:rsid w:val="00FE797F"/>
    <w:rsid w:val="00FF052C"/>
    <w:rsid w:val="00FF05CB"/>
    <w:rsid w:val="00FF1B26"/>
    <w:rsid w:val="00FF211E"/>
    <w:rsid w:val="00FF27FB"/>
    <w:rsid w:val="00FF3E5C"/>
    <w:rsid w:val="00FF4658"/>
    <w:rsid w:val="00FF556A"/>
    <w:rsid w:val="00FF609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A3C56C42-C2BB-4C69-A941-45FEB851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1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7B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7BDA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F7BDA"/>
    <w:rPr>
      <w:vertAlign w:val="superscript"/>
    </w:rPr>
  </w:style>
  <w:style w:type="paragraph" w:customStyle="1" w:styleId="xmsonormal">
    <w:name w:val="xmsonormal"/>
    <w:basedOn w:val="Normln"/>
    <w:rsid w:val="000510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pk-token">
    <w:name w:val="xpk-token"/>
    <w:basedOn w:val="Standardnpsmoodstavce"/>
    <w:rsid w:val="00051022"/>
  </w:style>
  <w:style w:type="paragraph" w:customStyle="1" w:styleId="xmsonormal0">
    <w:name w:val="x_msonormal"/>
    <w:basedOn w:val="Normln"/>
    <w:rsid w:val="00162D23"/>
    <w:pPr>
      <w:overflowPunct/>
      <w:autoSpaceDE/>
      <w:autoSpaceDN/>
      <w:adjustRightInd/>
      <w:jc w:val="left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baonli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baonlin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amonitor.cz/kategorie/cba-hypomonito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baonlin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F6F5-D843-4129-900A-FD170C2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vlachova</dc:creator>
  <cp:lastModifiedBy>Možná, Radana (ČBA)</cp:lastModifiedBy>
  <cp:revision>2</cp:revision>
  <cp:lastPrinted>2024-03-13T13:06:00Z</cp:lastPrinted>
  <dcterms:created xsi:type="dcterms:W3CDTF">2024-03-14T05:13:00Z</dcterms:created>
  <dcterms:modified xsi:type="dcterms:W3CDTF">2024-03-14T05:13:00Z</dcterms:modified>
</cp:coreProperties>
</file>