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245D2" w14:textId="790F0950" w:rsidR="00266E32" w:rsidRPr="00906FDC" w:rsidRDefault="00266E32" w:rsidP="002B1A4A">
      <w:pPr>
        <w:spacing w:after="120"/>
        <w:rPr>
          <w:rFonts w:ascii="Calibri" w:hAnsi="Calibri" w:cs="Arial"/>
          <w:b/>
          <w:color w:val="13576B"/>
          <w:sz w:val="36"/>
          <w:szCs w:val="36"/>
        </w:rPr>
      </w:pPr>
      <w:r w:rsidRPr="00906FDC">
        <w:rPr>
          <w:rFonts w:ascii="Calibri" w:hAnsi="Calibri" w:cs="Arial"/>
          <w:b/>
          <w:color w:val="13576B"/>
          <w:sz w:val="36"/>
          <w:szCs w:val="36"/>
        </w:rPr>
        <w:t>MAKROEKONOMICKÁ PROGNÓZA ČBA</w:t>
      </w:r>
    </w:p>
    <w:p w14:paraId="240C088F" w14:textId="26DE8671" w:rsidR="00266E32" w:rsidRPr="00906FDC" w:rsidRDefault="00D41530" w:rsidP="00266E32">
      <w:pPr>
        <w:jc w:val="left"/>
        <w:rPr>
          <w:rFonts w:ascii="Calibri" w:hAnsi="Calibri" w:cs="Arial"/>
          <w:b/>
          <w:color w:val="13576B"/>
          <w:sz w:val="32"/>
          <w:szCs w:val="32"/>
        </w:rPr>
      </w:pPr>
      <w:r>
        <w:rPr>
          <w:rFonts w:ascii="Calibri" w:hAnsi="Calibri" w:cs="Arial"/>
          <w:b/>
          <w:color w:val="13576B"/>
          <w:sz w:val="32"/>
          <w:szCs w:val="32"/>
        </w:rPr>
        <w:t>Listopad</w:t>
      </w:r>
      <w:r w:rsidR="00FF1673">
        <w:rPr>
          <w:rFonts w:ascii="Calibri" w:hAnsi="Calibri" w:cs="Arial"/>
          <w:b/>
          <w:color w:val="13576B"/>
          <w:sz w:val="32"/>
          <w:szCs w:val="32"/>
        </w:rPr>
        <w:t xml:space="preserve"> </w:t>
      </w:r>
      <w:r w:rsidR="000366C2" w:rsidRPr="00906FDC">
        <w:rPr>
          <w:rFonts w:ascii="Calibri" w:hAnsi="Calibri" w:cs="Arial"/>
          <w:b/>
          <w:color w:val="13576B"/>
          <w:sz w:val="32"/>
          <w:szCs w:val="32"/>
        </w:rPr>
        <w:t>20</w:t>
      </w:r>
      <w:r w:rsidR="00335332" w:rsidRPr="00906FDC">
        <w:rPr>
          <w:rFonts w:ascii="Calibri" w:hAnsi="Calibri" w:cs="Arial"/>
          <w:b/>
          <w:color w:val="13576B"/>
          <w:sz w:val="32"/>
          <w:szCs w:val="32"/>
        </w:rPr>
        <w:t>2</w:t>
      </w:r>
      <w:r w:rsidR="00FF1673">
        <w:rPr>
          <w:rFonts w:ascii="Calibri" w:hAnsi="Calibri" w:cs="Arial"/>
          <w:b/>
          <w:color w:val="13576B"/>
          <w:sz w:val="32"/>
          <w:szCs w:val="32"/>
        </w:rPr>
        <w:t>4</w:t>
      </w:r>
      <w:r w:rsidR="000366C2" w:rsidRPr="00906FDC">
        <w:rPr>
          <w:rFonts w:ascii="Calibri" w:hAnsi="Calibri" w:cs="Arial"/>
          <w:b/>
          <w:color w:val="13576B"/>
          <w:sz w:val="32"/>
          <w:szCs w:val="32"/>
        </w:rPr>
        <w:t xml:space="preserve">: </w:t>
      </w:r>
      <w:r w:rsidR="00201AC5">
        <w:rPr>
          <w:rFonts w:ascii="Calibri" w:hAnsi="Calibri" w:cs="Arial"/>
          <w:b/>
          <w:color w:val="13576B"/>
          <w:sz w:val="32"/>
          <w:szCs w:val="32"/>
        </w:rPr>
        <w:t xml:space="preserve">Růst tuzemské ekonomiky </w:t>
      </w:r>
      <w:r w:rsidR="00E552A3">
        <w:rPr>
          <w:rFonts w:ascii="Calibri" w:hAnsi="Calibri" w:cs="Arial"/>
          <w:b/>
          <w:color w:val="13576B"/>
          <w:sz w:val="32"/>
          <w:szCs w:val="32"/>
        </w:rPr>
        <w:t xml:space="preserve">bude letos </w:t>
      </w:r>
      <w:r>
        <w:rPr>
          <w:rFonts w:ascii="Calibri" w:hAnsi="Calibri" w:cs="Arial"/>
          <w:b/>
          <w:color w:val="13576B"/>
          <w:sz w:val="32"/>
          <w:szCs w:val="32"/>
        </w:rPr>
        <w:t>mírný</w:t>
      </w:r>
      <w:r w:rsidR="00A46AFF">
        <w:rPr>
          <w:rFonts w:ascii="Calibri" w:hAnsi="Calibri" w:cs="Arial"/>
          <w:b/>
          <w:color w:val="13576B"/>
          <w:sz w:val="32"/>
          <w:szCs w:val="32"/>
        </w:rPr>
        <w:t xml:space="preserve">, </w:t>
      </w:r>
      <w:r>
        <w:rPr>
          <w:rFonts w:ascii="Calibri" w:hAnsi="Calibri" w:cs="Arial"/>
          <w:b/>
          <w:color w:val="13576B"/>
          <w:sz w:val="32"/>
          <w:szCs w:val="32"/>
        </w:rPr>
        <w:t xml:space="preserve">v příštím roce </w:t>
      </w:r>
      <w:r w:rsidR="00B46B97">
        <w:rPr>
          <w:rFonts w:ascii="Calibri" w:hAnsi="Calibri" w:cs="Arial"/>
          <w:b/>
          <w:color w:val="13576B"/>
          <w:sz w:val="32"/>
          <w:szCs w:val="32"/>
        </w:rPr>
        <w:t>cílí těsně nad</w:t>
      </w:r>
      <w:r w:rsidR="00E73B21">
        <w:rPr>
          <w:rFonts w:ascii="Calibri" w:hAnsi="Calibri" w:cs="Arial"/>
          <w:b/>
          <w:color w:val="13576B"/>
          <w:sz w:val="32"/>
          <w:szCs w:val="32"/>
        </w:rPr>
        <w:t xml:space="preserve"> 2 %</w:t>
      </w:r>
      <w:r>
        <w:rPr>
          <w:rFonts w:ascii="Calibri" w:hAnsi="Calibri" w:cs="Arial"/>
          <w:b/>
          <w:color w:val="13576B"/>
          <w:sz w:val="32"/>
          <w:szCs w:val="32"/>
        </w:rPr>
        <w:t xml:space="preserve">, bude ale pomalejší, než čekala </w:t>
      </w:r>
      <w:r w:rsidR="0010293D">
        <w:rPr>
          <w:rFonts w:ascii="Calibri" w:hAnsi="Calibri" w:cs="Arial"/>
          <w:b/>
          <w:color w:val="13576B"/>
          <w:sz w:val="32"/>
          <w:szCs w:val="32"/>
        </w:rPr>
        <w:t>srpnová</w:t>
      </w:r>
      <w:r>
        <w:rPr>
          <w:rFonts w:ascii="Calibri" w:hAnsi="Calibri" w:cs="Arial"/>
          <w:b/>
          <w:color w:val="13576B"/>
          <w:sz w:val="32"/>
          <w:szCs w:val="32"/>
        </w:rPr>
        <w:t xml:space="preserve"> prognóza</w:t>
      </w:r>
    </w:p>
    <w:p w14:paraId="47BA50B7" w14:textId="03FE959C" w:rsidR="008B1328" w:rsidRPr="00906FDC" w:rsidRDefault="00266E32" w:rsidP="00983579">
      <w:pPr>
        <w:pStyle w:val="Normlnweb"/>
        <w:jc w:val="both"/>
        <w:rPr>
          <w:rFonts w:ascii="Calibri" w:hAnsi="Calibri" w:cs="Calibri"/>
          <w:color w:val="13576B"/>
          <w:sz w:val="20"/>
        </w:rPr>
      </w:pPr>
      <w:r w:rsidRPr="00906FDC">
        <w:rPr>
          <w:rFonts w:ascii="Calibri" w:hAnsi="Calibri" w:cs="Calibri"/>
          <w:b/>
          <w:color w:val="13576B"/>
          <w:sz w:val="20"/>
        </w:rPr>
        <w:t xml:space="preserve">Praha, </w:t>
      </w:r>
      <w:r w:rsidR="00D41530">
        <w:rPr>
          <w:rFonts w:ascii="Calibri" w:hAnsi="Calibri" w:cs="Calibri"/>
          <w:b/>
          <w:color w:val="13576B"/>
          <w:sz w:val="20"/>
        </w:rPr>
        <w:t>14</w:t>
      </w:r>
      <w:r w:rsidRPr="00906FDC">
        <w:rPr>
          <w:rFonts w:ascii="Calibri" w:hAnsi="Calibri" w:cs="Calibri"/>
          <w:b/>
          <w:color w:val="13576B"/>
          <w:sz w:val="20"/>
        </w:rPr>
        <w:t xml:space="preserve">. </w:t>
      </w:r>
      <w:r w:rsidR="00D41530">
        <w:rPr>
          <w:rFonts w:ascii="Calibri" w:hAnsi="Calibri" w:cs="Calibri"/>
          <w:b/>
          <w:color w:val="13576B"/>
          <w:sz w:val="20"/>
        </w:rPr>
        <w:t xml:space="preserve">listopadu </w:t>
      </w:r>
      <w:r w:rsidRPr="00906FDC">
        <w:rPr>
          <w:rFonts w:ascii="Calibri" w:hAnsi="Calibri" w:cs="Calibri"/>
          <w:b/>
          <w:color w:val="13576B"/>
          <w:sz w:val="20"/>
        </w:rPr>
        <w:t>202</w:t>
      </w:r>
      <w:r w:rsidR="00FF1673">
        <w:rPr>
          <w:rFonts w:ascii="Calibri" w:hAnsi="Calibri" w:cs="Calibri"/>
          <w:b/>
          <w:color w:val="13576B"/>
          <w:sz w:val="20"/>
        </w:rPr>
        <w:t>4</w:t>
      </w:r>
      <w:r w:rsidRPr="00906FDC">
        <w:rPr>
          <w:rFonts w:ascii="Calibri" w:hAnsi="Calibri" w:cs="Calibri"/>
          <w:b/>
          <w:color w:val="13576B"/>
          <w:sz w:val="20"/>
        </w:rPr>
        <w:t xml:space="preserve"> – Hlavní ekonomové bank zastoupení v </w:t>
      </w:r>
      <w:r w:rsidR="005E1864" w:rsidRPr="00906FDC">
        <w:rPr>
          <w:rFonts w:ascii="Calibri" w:hAnsi="Calibri" w:cs="Calibri"/>
          <w:b/>
          <w:color w:val="13576B"/>
          <w:sz w:val="20"/>
        </w:rPr>
        <w:t>p</w:t>
      </w:r>
      <w:r w:rsidRPr="00906FDC">
        <w:rPr>
          <w:rFonts w:ascii="Calibri" w:hAnsi="Calibri" w:cs="Calibri"/>
          <w:b/>
          <w:color w:val="13576B"/>
          <w:sz w:val="20"/>
        </w:rPr>
        <w:t xml:space="preserve">rognostickém panelu České bankovní asociace (ČBA) </w:t>
      </w:r>
      <w:r w:rsidR="006A1E09" w:rsidRPr="00906FDC">
        <w:rPr>
          <w:rFonts w:ascii="Calibri" w:hAnsi="Calibri" w:cs="Calibri"/>
          <w:b/>
          <w:color w:val="13576B"/>
          <w:sz w:val="20"/>
        </w:rPr>
        <w:t xml:space="preserve">očekávají, že tuzemská ekonomika v letošním roce </w:t>
      </w:r>
      <w:r w:rsidR="008E2A55">
        <w:rPr>
          <w:rFonts w:ascii="Calibri" w:hAnsi="Calibri" w:cs="Calibri"/>
          <w:b/>
          <w:color w:val="13576B"/>
          <w:sz w:val="20"/>
        </w:rPr>
        <w:t>vzroste</w:t>
      </w:r>
      <w:r w:rsidR="00821693">
        <w:rPr>
          <w:rFonts w:ascii="Calibri" w:hAnsi="Calibri" w:cs="Calibri"/>
          <w:b/>
          <w:color w:val="13576B"/>
          <w:sz w:val="20"/>
        </w:rPr>
        <w:t xml:space="preserve"> o </w:t>
      </w:r>
      <w:r w:rsidR="0010293D">
        <w:rPr>
          <w:rFonts w:ascii="Calibri" w:hAnsi="Calibri" w:cs="Calibri"/>
          <w:b/>
          <w:color w:val="13576B"/>
          <w:sz w:val="20"/>
        </w:rPr>
        <w:t>1</w:t>
      </w:r>
      <w:r w:rsidR="00C416EF">
        <w:rPr>
          <w:rFonts w:ascii="Calibri" w:hAnsi="Calibri" w:cs="Calibri"/>
          <w:b/>
          <w:color w:val="13576B"/>
          <w:sz w:val="20"/>
        </w:rPr>
        <w:t xml:space="preserve"> </w:t>
      </w:r>
      <w:r w:rsidR="00821693">
        <w:rPr>
          <w:rFonts w:ascii="Calibri" w:hAnsi="Calibri" w:cs="Calibri"/>
          <w:b/>
          <w:color w:val="13576B"/>
          <w:sz w:val="20"/>
        </w:rPr>
        <w:t>%</w:t>
      </w:r>
      <w:r w:rsidR="00060800">
        <w:rPr>
          <w:rFonts w:ascii="Calibri" w:hAnsi="Calibri" w:cs="Calibri"/>
          <w:b/>
          <w:color w:val="13576B"/>
          <w:sz w:val="20"/>
        </w:rPr>
        <w:t>,</w:t>
      </w:r>
      <w:r w:rsidR="00821693">
        <w:rPr>
          <w:rFonts w:ascii="Calibri" w:hAnsi="Calibri" w:cs="Calibri"/>
          <w:b/>
          <w:color w:val="13576B"/>
          <w:sz w:val="20"/>
        </w:rPr>
        <w:t xml:space="preserve"> </w:t>
      </w:r>
      <w:r w:rsidR="0010293D">
        <w:rPr>
          <w:rFonts w:ascii="Calibri" w:hAnsi="Calibri" w:cs="Calibri"/>
          <w:b/>
          <w:color w:val="13576B"/>
          <w:sz w:val="20"/>
        </w:rPr>
        <w:t>což je obdobná hodnota očekáváná minulou prognóz</w:t>
      </w:r>
      <w:r w:rsidR="008E2A55">
        <w:rPr>
          <w:rFonts w:ascii="Calibri" w:hAnsi="Calibri" w:cs="Calibri"/>
          <w:b/>
          <w:color w:val="13576B"/>
          <w:sz w:val="20"/>
        </w:rPr>
        <w:t>ou</w:t>
      </w:r>
      <w:r w:rsidR="0010293D">
        <w:rPr>
          <w:rFonts w:ascii="Calibri" w:hAnsi="Calibri" w:cs="Calibri"/>
          <w:b/>
          <w:color w:val="13576B"/>
          <w:sz w:val="20"/>
        </w:rPr>
        <w:t xml:space="preserve">. </w:t>
      </w:r>
      <w:r w:rsidR="006A1E09" w:rsidRPr="00906FDC">
        <w:rPr>
          <w:rFonts w:ascii="Calibri" w:hAnsi="Calibri" w:cs="Calibri"/>
          <w:b/>
          <w:color w:val="13576B"/>
          <w:sz w:val="20"/>
        </w:rPr>
        <w:t xml:space="preserve">Pro příští rok </w:t>
      </w:r>
      <w:r w:rsidR="008919FD">
        <w:rPr>
          <w:rFonts w:ascii="Calibri" w:hAnsi="Calibri" w:cs="Calibri"/>
          <w:b/>
          <w:color w:val="13576B"/>
          <w:sz w:val="20"/>
        </w:rPr>
        <w:t>se předpokládá</w:t>
      </w:r>
      <w:r w:rsidR="00162CD4">
        <w:rPr>
          <w:rFonts w:ascii="Calibri" w:hAnsi="Calibri" w:cs="Calibri"/>
          <w:b/>
          <w:color w:val="13576B"/>
          <w:sz w:val="20"/>
        </w:rPr>
        <w:t xml:space="preserve"> zrychlení HDP o 2,</w:t>
      </w:r>
      <w:r w:rsidR="0010293D">
        <w:rPr>
          <w:rFonts w:ascii="Calibri" w:hAnsi="Calibri" w:cs="Calibri"/>
          <w:b/>
          <w:color w:val="13576B"/>
          <w:sz w:val="20"/>
        </w:rPr>
        <w:t>3</w:t>
      </w:r>
      <w:r w:rsidR="00162CD4">
        <w:rPr>
          <w:rFonts w:ascii="Calibri" w:hAnsi="Calibri" w:cs="Calibri"/>
          <w:b/>
          <w:color w:val="13576B"/>
          <w:sz w:val="20"/>
        </w:rPr>
        <w:t xml:space="preserve"> %</w:t>
      </w:r>
      <w:r w:rsidR="0010293D">
        <w:rPr>
          <w:rFonts w:ascii="Calibri" w:hAnsi="Calibri" w:cs="Calibri"/>
          <w:b/>
          <w:color w:val="13576B"/>
          <w:sz w:val="20"/>
        </w:rPr>
        <w:t xml:space="preserve">. Odhad růstu pro příští rok byl oproti srpnu přehodnocen téměř o půl procentního bodu níže, </w:t>
      </w:r>
      <w:r w:rsidR="00D318CA">
        <w:rPr>
          <w:rFonts w:ascii="Calibri" w:hAnsi="Calibri" w:cs="Calibri"/>
          <w:b/>
          <w:color w:val="13576B"/>
          <w:sz w:val="20"/>
        </w:rPr>
        <w:t xml:space="preserve">a to </w:t>
      </w:r>
      <w:r w:rsidR="0010293D">
        <w:rPr>
          <w:rFonts w:ascii="Calibri" w:hAnsi="Calibri" w:cs="Calibri"/>
          <w:b/>
          <w:color w:val="13576B"/>
          <w:sz w:val="20"/>
        </w:rPr>
        <w:t xml:space="preserve">zejména z důvodu slabšího vývoje v zahraničí. </w:t>
      </w:r>
      <w:r w:rsidR="006B2CA3">
        <w:rPr>
          <w:rFonts w:ascii="Calibri" w:hAnsi="Calibri" w:cs="Calibri"/>
          <w:b/>
          <w:color w:val="13576B"/>
          <w:sz w:val="20"/>
        </w:rPr>
        <w:t>Průměrná i</w:t>
      </w:r>
      <w:r w:rsidR="00032B41" w:rsidRPr="00906FDC">
        <w:rPr>
          <w:rFonts w:ascii="Calibri" w:hAnsi="Calibri" w:cs="Calibri"/>
          <w:b/>
          <w:color w:val="13576B"/>
          <w:sz w:val="20"/>
        </w:rPr>
        <w:t>nflac</w:t>
      </w:r>
      <w:r w:rsidR="00C8570C" w:rsidRPr="00906FDC">
        <w:rPr>
          <w:rFonts w:ascii="Calibri" w:hAnsi="Calibri" w:cs="Calibri"/>
          <w:b/>
          <w:color w:val="13576B"/>
          <w:sz w:val="20"/>
        </w:rPr>
        <w:t xml:space="preserve">e letos </w:t>
      </w:r>
      <w:r w:rsidR="00821693">
        <w:rPr>
          <w:rFonts w:ascii="Calibri" w:hAnsi="Calibri" w:cs="Calibri"/>
          <w:b/>
          <w:color w:val="13576B"/>
          <w:sz w:val="20"/>
        </w:rPr>
        <w:t>poklesne na 2,</w:t>
      </w:r>
      <w:r w:rsidR="0010293D">
        <w:rPr>
          <w:rFonts w:ascii="Calibri" w:hAnsi="Calibri" w:cs="Calibri"/>
          <w:b/>
          <w:color w:val="13576B"/>
          <w:sz w:val="20"/>
        </w:rPr>
        <w:t>4</w:t>
      </w:r>
      <w:r w:rsidR="00821693">
        <w:rPr>
          <w:rFonts w:ascii="Calibri" w:hAnsi="Calibri" w:cs="Calibri"/>
          <w:b/>
          <w:color w:val="13576B"/>
          <w:sz w:val="20"/>
        </w:rPr>
        <w:t xml:space="preserve"> </w:t>
      </w:r>
      <w:r w:rsidR="006A1E09" w:rsidRPr="00906FDC">
        <w:rPr>
          <w:rFonts w:ascii="Calibri" w:hAnsi="Calibri" w:cs="Calibri"/>
          <w:b/>
          <w:color w:val="13576B"/>
          <w:sz w:val="20"/>
        </w:rPr>
        <w:t>%</w:t>
      </w:r>
      <w:r w:rsidR="00846667">
        <w:rPr>
          <w:rFonts w:ascii="Calibri" w:hAnsi="Calibri" w:cs="Calibri"/>
          <w:b/>
          <w:color w:val="13576B"/>
          <w:sz w:val="20"/>
        </w:rPr>
        <w:t xml:space="preserve"> a </w:t>
      </w:r>
      <w:r w:rsidR="0087452E">
        <w:rPr>
          <w:rFonts w:ascii="Calibri" w:hAnsi="Calibri" w:cs="Calibri"/>
          <w:b/>
          <w:color w:val="13576B"/>
          <w:sz w:val="20"/>
        </w:rPr>
        <w:t>na</w:t>
      </w:r>
      <w:r w:rsidR="00846667">
        <w:rPr>
          <w:rFonts w:ascii="Calibri" w:hAnsi="Calibri" w:cs="Calibri"/>
          <w:b/>
          <w:color w:val="13576B"/>
          <w:sz w:val="20"/>
        </w:rPr>
        <w:t xml:space="preserve"> obdobné úrovni by </w:t>
      </w:r>
      <w:r w:rsidR="00C53807">
        <w:rPr>
          <w:rFonts w:ascii="Calibri" w:hAnsi="Calibri" w:cs="Calibri"/>
          <w:b/>
          <w:color w:val="13576B"/>
          <w:sz w:val="20"/>
        </w:rPr>
        <w:t xml:space="preserve">se </w:t>
      </w:r>
      <w:r w:rsidR="00846667">
        <w:rPr>
          <w:rFonts w:ascii="Calibri" w:hAnsi="Calibri" w:cs="Calibri"/>
          <w:b/>
          <w:color w:val="13576B"/>
          <w:sz w:val="20"/>
        </w:rPr>
        <w:t>měl</w:t>
      </w:r>
      <w:r w:rsidR="00C53807">
        <w:rPr>
          <w:rFonts w:ascii="Calibri" w:hAnsi="Calibri" w:cs="Calibri"/>
          <w:b/>
          <w:color w:val="13576B"/>
          <w:sz w:val="20"/>
        </w:rPr>
        <w:t xml:space="preserve">a pohybovat </w:t>
      </w:r>
      <w:r w:rsidR="00846667">
        <w:rPr>
          <w:rFonts w:ascii="Calibri" w:hAnsi="Calibri" w:cs="Calibri"/>
          <w:b/>
          <w:color w:val="13576B"/>
          <w:sz w:val="20"/>
        </w:rPr>
        <w:t>i v příštím roce</w:t>
      </w:r>
      <w:r w:rsidR="002900B3">
        <w:rPr>
          <w:rFonts w:ascii="Calibri" w:hAnsi="Calibri" w:cs="Calibri"/>
          <w:b/>
          <w:color w:val="13576B"/>
          <w:sz w:val="20"/>
        </w:rPr>
        <w:t>, odhady však byly mírně zvýšeny jak pro letošní, tak příští rok</w:t>
      </w:r>
      <w:r w:rsidR="00846667">
        <w:rPr>
          <w:rFonts w:ascii="Calibri" w:hAnsi="Calibri" w:cs="Calibri"/>
          <w:b/>
          <w:color w:val="13576B"/>
          <w:sz w:val="20"/>
        </w:rPr>
        <w:t xml:space="preserve">. </w:t>
      </w:r>
      <w:r w:rsidR="008E2A55">
        <w:rPr>
          <w:rFonts w:ascii="Calibri" w:hAnsi="Calibri" w:cs="Calibri"/>
          <w:b/>
          <w:color w:val="13576B"/>
          <w:sz w:val="20"/>
        </w:rPr>
        <w:t xml:space="preserve">Koncem příštího roku by však měla být inflace u 2% cíle ČNB. </w:t>
      </w:r>
      <w:r w:rsidR="00821693">
        <w:rPr>
          <w:rFonts w:ascii="Calibri" w:hAnsi="Calibri" w:cs="Calibri"/>
          <w:b/>
          <w:color w:val="13576B"/>
          <w:sz w:val="20"/>
        </w:rPr>
        <w:t>N</w:t>
      </w:r>
      <w:r w:rsidR="007B5FE5" w:rsidRPr="00906FDC">
        <w:rPr>
          <w:rFonts w:ascii="Calibri" w:hAnsi="Calibri" w:cs="Calibri"/>
          <w:b/>
          <w:color w:val="13576B"/>
          <w:sz w:val="20"/>
        </w:rPr>
        <w:t xml:space="preserve">ominální </w:t>
      </w:r>
      <w:r w:rsidR="006A1E09" w:rsidRPr="00906FDC">
        <w:rPr>
          <w:rFonts w:ascii="Calibri" w:hAnsi="Calibri" w:cs="Calibri"/>
          <w:b/>
          <w:color w:val="13576B"/>
          <w:sz w:val="20"/>
        </w:rPr>
        <w:t xml:space="preserve">mzdy </w:t>
      </w:r>
      <w:r w:rsidR="008919FD">
        <w:rPr>
          <w:rFonts w:ascii="Calibri" w:hAnsi="Calibri" w:cs="Calibri"/>
          <w:b/>
          <w:color w:val="13576B"/>
          <w:sz w:val="20"/>
        </w:rPr>
        <w:t>letos</w:t>
      </w:r>
      <w:r w:rsidR="006A1E09" w:rsidRPr="00906FDC">
        <w:rPr>
          <w:rFonts w:ascii="Calibri" w:hAnsi="Calibri" w:cs="Calibri"/>
          <w:b/>
          <w:color w:val="13576B"/>
          <w:sz w:val="20"/>
        </w:rPr>
        <w:t xml:space="preserve"> </w:t>
      </w:r>
      <w:r w:rsidR="0010293D">
        <w:rPr>
          <w:rFonts w:ascii="Calibri" w:hAnsi="Calibri" w:cs="Calibri"/>
          <w:b/>
          <w:color w:val="13576B"/>
          <w:sz w:val="20"/>
        </w:rPr>
        <w:t xml:space="preserve">vzrostou </w:t>
      </w:r>
      <w:r w:rsidR="00C416EF">
        <w:rPr>
          <w:rFonts w:ascii="Calibri" w:hAnsi="Calibri" w:cs="Calibri"/>
          <w:b/>
          <w:color w:val="13576B"/>
          <w:sz w:val="20"/>
        </w:rPr>
        <w:t>o necelých</w:t>
      </w:r>
      <w:r w:rsidR="006A1E09" w:rsidRPr="00906FDC">
        <w:rPr>
          <w:rFonts w:ascii="Calibri" w:hAnsi="Calibri" w:cs="Calibri"/>
          <w:b/>
          <w:color w:val="13576B"/>
          <w:sz w:val="20"/>
        </w:rPr>
        <w:t xml:space="preserve"> </w:t>
      </w:r>
      <w:r w:rsidR="00C416EF">
        <w:rPr>
          <w:rFonts w:ascii="Calibri" w:hAnsi="Calibri" w:cs="Calibri"/>
          <w:b/>
          <w:color w:val="13576B"/>
          <w:sz w:val="20"/>
        </w:rPr>
        <w:t>7</w:t>
      </w:r>
      <w:r w:rsidR="00821693">
        <w:rPr>
          <w:rFonts w:ascii="Calibri" w:hAnsi="Calibri" w:cs="Calibri"/>
          <w:b/>
          <w:color w:val="13576B"/>
          <w:sz w:val="20"/>
        </w:rPr>
        <w:t xml:space="preserve"> </w:t>
      </w:r>
      <w:r w:rsidR="006A1E09" w:rsidRPr="00906FDC">
        <w:rPr>
          <w:rFonts w:ascii="Calibri" w:hAnsi="Calibri" w:cs="Calibri"/>
          <w:b/>
          <w:color w:val="13576B"/>
          <w:sz w:val="20"/>
        </w:rPr>
        <w:t xml:space="preserve">%, v reálném vyjádření </w:t>
      </w:r>
      <w:r w:rsidR="00821693">
        <w:rPr>
          <w:rFonts w:ascii="Calibri" w:hAnsi="Calibri" w:cs="Calibri"/>
          <w:b/>
          <w:color w:val="13576B"/>
          <w:sz w:val="20"/>
        </w:rPr>
        <w:t xml:space="preserve">pak o </w:t>
      </w:r>
      <w:r w:rsidR="00C416EF">
        <w:rPr>
          <w:rFonts w:ascii="Calibri" w:hAnsi="Calibri" w:cs="Calibri"/>
          <w:b/>
          <w:color w:val="13576B"/>
          <w:sz w:val="20"/>
        </w:rPr>
        <w:t>více než</w:t>
      </w:r>
      <w:r w:rsidR="00821693">
        <w:rPr>
          <w:rFonts w:ascii="Calibri" w:hAnsi="Calibri" w:cs="Calibri"/>
          <w:b/>
          <w:color w:val="13576B"/>
          <w:sz w:val="20"/>
        </w:rPr>
        <w:t xml:space="preserve"> 4 %, což </w:t>
      </w:r>
      <w:r w:rsidR="00BB5FA5">
        <w:rPr>
          <w:rFonts w:ascii="Calibri" w:hAnsi="Calibri" w:cs="Calibri"/>
          <w:b/>
          <w:color w:val="13576B"/>
          <w:sz w:val="20"/>
        </w:rPr>
        <w:t>představuje</w:t>
      </w:r>
      <w:r w:rsidR="00821693">
        <w:rPr>
          <w:rFonts w:ascii="Calibri" w:hAnsi="Calibri" w:cs="Calibri"/>
          <w:b/>
          <w:color w:val="13576B"/>
          <w:sz w:val="20"/>
        </w:rPr>
        <w:t xml:space="preserve"> první </w:t>
      </w:r>
      <w:r w:rsidR="00060800">
        <w:rPr>
          <w:rFonts w:ascii="Calibri" w:hAnsi="Calibri" w:cs="Calibri"/>
          <w:b/>
          <w:color w:val="13576B"/>
          <w:sz w:val="20"/>
        </w:rPr>
        <w:t xml:space="preserve">celoroční </w:t>
      </w:r>
      <w:r w:rsidR="00821693">
        <w:rPr>
          <w:rFonts w:ascii="Calibri" w:hAnsi="Calibri" w:cs="Calibri"/>
          <w:b/>
          <w:color w:val="13576B"/>
          <w:sz w:val="20"/>
        </w:rPr>
        <w:t xml:space="preserve">růst reálných mezd </w:t>
      </w:r>
      <w:r w:rsidR="00591B8C">
        <w:rPr>
          <w:rFonts w:ascii="Calibri" w:hAnsi="Calibri" w:cs="Calibri"/>
          <w:b/>
          <w:color w:val="13576B"/>
          <w:sz w:val="20"/>
        </w:rPr>
        <w:t>po dvou</w:t>
      </w:r>
      <w:r w:rsidR="006B2CA3">
        <w:rPr>
          <w:rFonts w:ascii="Calibri" w:hAnsi="Calibri" w:cs="Calibri"/>
          <w:b/>
          <w:color w:val="13576B"/>
          <w:sz w:val="20"/>
        </w:rPr>
        <w:t>leté přestávce</w:t>
      </w:r>
      <w:r w:rsidR="00591B8C">
        <w:rPr>
          <w:rFonts w:ascii="Calibri" w:hAnsi="Calibri" w:cs="Calibri"/>
          <w:b/>
          <w:color w:val="13576B"/>
          <w:sz w:val="20"/>
        </w:rPr>
        <w:t xml:space="preserve">. </w:t>
      </w:r>
      <w:r w:rsidR="00D260F0">
        <w:rPr>
          <w:rFonts w:ascii="Calibri" w:hAnsi="Calibri" w:cs="Calibri"/>
          <w:b/>
          <w:color w:val="13576B"/>
          <w:sz w:val="20"/>
        </w:rPr>
        <w:t>Určité známky ochlazování na trhu práce</w:t>
      </w:r>
      <w:r w:rsidR="008919FD">
        <w:rPr>
          <w:rFonts w:ascii="Calibri" w:hAnsi="Calibri" w:cs="Calibri"/>
          <w:b/>
          <w:color w:val="13576B"/>
          <w:sz w:val="20"/>
        </w:rPr>
        <w:t xml:space="preserve"> sice jsou již</w:t>
      </w:r>
      <w:r w:rsidR="00D260F0">
        <w:rPr>
          <w:rFonts w:ascii="Calibri" w:hAnsi="Calibri" w:cs="Calibri"/>
          <w:b/>
          <w:color w:val="13576B"/>
          <w:sz w:val="20"/>
        </w:rPr>
        <w:t xml:space="preserve"> viditelné, </w:t>
      </w:r>
      <w:r w:rsidR="00F57DE2">
        <w:rPr>
          <w:rFonts w:ascii="Calibri" w:hAnsi="Calibri" w:cs="Calibri"/>
          <w:b/>
          <w:color w:val="13576B"/>
          <w:sz w:val="20"/>
        </w:rPr>
        <w:t>slabý ekonomický vývoj</w:t>
      </w:r>
      <w:r w:rsidR="00D260F0">
        <w:rPr>
          <w:rFonts w:ascii="Calibri" w:hAnsi="Calibri" w:cs="Calibri"/>
          <w:b/>
          <w:color w:val="13576B"/>
          <w:sz w:val="20"/>
        </w:rPr>
        <w:t xml:space="preserve"> na něj</w:t>
      </w:r>
      <w:r w:rsidR="00D260F0" w:rsidRPr="00906FDC">
        <w:rPr>
          <w:rFonts w:ascii="Calibri" w:hAnsi="Calibri" w:cs="Calibri"/>
          <w:b/>
          <w:color w:val="13576B"/>
          <w:sz w:val="20"/>
        </w:rPr>
        <w:t xml:space="preserve"> </w:t>
      </w:r>
      <w:r w:rsidR="008919FD">
        <w:rPr>
          <w:rFonts w:ascii="Calibri" w:hAnsi="Calibri" w:cs="Calibri"/>
          <w:b/>
          <w:color w:val="13576B"/>
          <w:sz w:val="20"/>
        </w:rPr>
        <w:t xml:space="preserve">však prozatím </w:t>
      </w:r>
      <w:r w:rsidR="00D260F0" w:rsidRPr="00906FDC">
        <w:rPr>
          <w:rFonts w:ascii="Calibri" w:hAnsi="Calibri" w:cs="Calibri"/>
          <w:b/>
          <w:color w:val="13576B"/>
          <w:sz w:val="20"/>
        </w:rPr>
        <w:t>dopad</w:t>
      </w:r>
      <w:r w:rsidR="00D260F0">
        <w:rPr>
          <w:rFonts w:ascii="Calibri" w:hAnsi="Calibri" w:cs="Calibri"/>
          <w:b/>
          <w:color w:val="13576B"/>
          <w:sz w:val="20"/>
        </w:rPr>
        <w:t>l</w:t>
      </w:r>
      <w:r w:rsidR="00D260F0" w:rsidRPr="00906FDC">
        <w:rPr>
          <w:rFonts w:ascii="Calibri" w:hAnsi="Calibri" w:cs="Calibri"/>
          <w:b/>
          <w:color w:val="13576B"/>
          <w:sz w:val="20"/>
        </w:rPr>
        <w:t xml:space="preserve"> </w:t>
      </w:r>
      <w:r w:rsidR="008919FD">
        <w:rPr>
          <w:rFonts w:ascii="Calibri" w:hAnsi="Calibri" w:cs="Calibri"/>
          <w:b/>
          <w:color w:val="13576B"/>
          <w:sz w:val="20"/>
        </w:rPr>
        <w:t>velmi omezeně</w:t>
      </w:r>
      <w:r w:rsidR="00D260F0">
        <w:rPr>
          <w:rFonts w:ascii="Calibri" w:hAnsi="Calibri" w:cs="Calibri"/>
          <w:b/>
          <w:color w:val="13576B"/>
          <w:sz w:val="20"/>
        </w:rPr>
        <w:t>.</w:t>
      </w:r>
      <w:r w:rsidR="004333DE" w:rsidRPr="00906FDC">
        <w:rPr>
          <w:rFonts w:ascii="Calibri" w:hAnsi="Calibri" w:cs="Calibri"/>
          <w:b/>
          <w:color w:val="13576B"/>
          <w:sz w:val="20"/>
        </w:rPr>
        <w:t xml:space="preserve"> </w:t>
      </w:r>
      <w:r w:rsidR="008D487B" w:rsidRPr="00906FDC">
        <w:rPr>
          <w:rFonts w:ascii="Calibri" w:hAnsi="Calibri" w:cs="Calibri"/>
          <w:b/>
          <w:color w:val="13576B"/>
          <w:sz w:val="20"/>
        </w:rPr>
        <w:t>Úrokov</w:t>
      </w:r>
      <w:r w:rsidR="00104E9B" w:rsidRPr="00906FDC">
        <w:rPr>
          <w:rFonts w:ascii="Calibri" w:hAnsi="Calibri" w:cs="Calibri"/>
          <w:b/>
          <w:color w:val="13576B"/>
          <w:sz w:val="20"/>
        </w:rPr>
        <w:t>é</w:t>
      </w:r>
      <w:r w:rsidR="008D487B" w:rsidRPr="00906FDC">
        <w:rPr>
          <w:rFonts w:ascii="Calibri" w:hAnsi="Calibri" w:cs="Calibri"/>
          <w:b/>
          <w:color w:val="13576B"/>
          <w:sz w:val="20"/>
        </w:rPr>
        <w:t xml:space="preserve"> sazby ČNB </w:t>
      </w:r>
      <w:r w:rsidR="0087452E">
        <w:rPr>
          <w:rFonts w:ascii="Calibri" w:hAnsi="Calibri" w:cs="Calibri"/>
          <w:b/>
          <w:color w:val="13576B"/>
          <w:sz w:val="20"/>
        </w:rPr>
        <w:t>letos</w:t>
      </w:r>
      <w:r w:rsidR="00AA6176">
        <w:rPr>
          <w:rFonts w:ascii="Calibri" w:hAnsi="Calibri" w:cs="Calibri"/>
          <w:b/>
          <w:color w:val="13576B"/>
          <w:sz w:val="20"/>
        </w:rPr>
        <w:t xml:space="preserve"> již</w:t>
      </w:r>
      <w:r w:rsidR="0087452E">
        <w:rPr>
          <w:rFonts w:ascii="Calibri" w:hAnsi="Calibri" w:cs="Calibri"/>
          <w:b/>
          <w:color w:val="13576B"/>
          <w:sz w:val="20"/>
        </w:rPr>
        <w:t xml:space="preserve"> patrně klesat nebudou, ačkoli zde je konsensus rozdělen a část ekonomů očekává ještě jedno snížení na prosincovém </w:t>
      </w:r>
      <w:r w:rsidR="00E73B21">
        <w:rPr>
          <w:rFonts w:ascii="Calibri" w:hAnsi="Calibri" w:cs="Calibri"/>
          <w:b/>
          <w:color w:val="13576B"/>
          <w:sz w:val="20"/>
        </w:rPr>
        <w:t xml:space="preserve">měnovém </w:t>
      </w:r>
      <w:r w:rsidR="0087452E">
        <w:rPr>
          <w:rFonts w:ascii="Calibri" w:hAnsi="Calibri" w:cs="Calibri"/>
          <w:b/>
          <w:color w:val="13576B"/>
          <w:sz w:val="20"/>
        </w:rPr>
        <w:t>jednání</w:t>
      </w:r>
      <w:r w:rsidR="00FE75CA">
        <w:rPr>
          <w:rFonts w:ascii="Calibri" w:hAnsi="Calibri" w:cs="Calibri"/>
          <w:b/>
          <w:color w:val="13576B"/>
          <w:sz w:val="20"/>
        </w:rPr>
        <w:t xml:space="preserve">, </w:t>
      </w:r>
      <w:r w:rsidR="0087452E">
        <w:rPr>
          <w:rFonts w:ascii="Calibri" w:hAnsi="Calibri" w:cs="Calibri"/>
          <w:b/>
          <w:color w:val="13576B"/>
          <w:sz w:val="20"/>
        </w:rPr>
        <w:t xml:space="preserve">do konce </w:t>
      </w:r>
      <w:r w:rsidR="00821693">
        <w:rPr>
          <w:rFonts w:ascii="Calibri" w:hAnsi="Calibri" w:cs="Calibri"/>
          <w:b/>
          <w:color w:val="13576B"/>
          <w:sz w:val="20"/>
        </w:rPr>
        <w:t>příští</w:t>
      </w:r>
      <w:r w:rsidR="0087452E">
        <w:rPr>
          <w:rFonts w:ascii="Calibri" w:hAnsi="Calibri" w:cs="Calibri"/>
          <w:b/>
          <w:color w:val="13576B"/>
          <w:sz w:val="20"/>
        </w:rPr>
        <w:t>ho</w:t>
      </w:r>
      <w:r w:rsidR="00821693">
        <w:rPr>
          <w:rFonts w:ascii="Calibri" w:hAnsi="Calibri" w:cs="Calibri"/>
          <w:b/>
          <w:color w:val="13576B"/>
          <w:sz w:val="20"/>
        </w:rPr>
        <w:t xml:space="preserve"> ro</w:t>
      </w:r>
      <w:r w:rsidR="0087452E">
        <w:rPr>
          <w:rFonts w:ascii="Calibri" w:hAnsi="Calibri" w:cs="Calibri"/>
          <w:b/>
          <w:color w:val="13576B"/>
          <w:sz w:val="20"/>
        </w:rPr>
        <w:t>ku</w:t>
      </w:r>
      <w:r w:rsidR="00821693">
        <w:rPr>
          <w:rFonts w:ascii="Calibri" w:hAnsi="Calibri" w:cs="Calibri"/>
          <w:b/>
          <w:color w:val="13576B"/>
          <w:sz w:val="20"/>
        </w:rPr>
        <w:t xml:space="preserve"> </w:t>
      </w:r>
      <w:r w:rsidR="0087452E">
        <w:rPr>
          <w:rFonts w:ascii="Calibri" w:hAnsi="Calibri" w:cs="Calibri"/>
          <w:b/>
          <w:color w:val="13576B"/>
          <w:sz w:val="20"/>
        </w:rPr>
        <w:t>by se měla hlavní sazba dostat na</w:t>
      </w:r>
      <w:r w:rsidR="007560A8">
        <w:rPr>
          <w:rFonts w:ascii="Calibri" w:hAnsi="Calibri" w:cs="Calibri"/>
          <w:b/>
          <w:color w:val="13576B"/>
          <w:sz w:val="20"/>
        </w:rPr>
        <w:t> </w:t>
      </w:r>
      <w:r w:rsidR="00821693">
        <w:rPr>
          <w:rFonts w:ascii="Calibri" w:hAnsi="Calibri" w:cs="Calibri"/>
          <w:b/>
          <w:color w:val="13576B"/>
          <w:sz w:val="20"/>
        </w:rPr>
        <w:t>3</w:t>
      </w:r>
      <w:r w:rsidR="007560A8">
        <w:rPr>
          <w:rFonts w:ascii="Calibri" w:hAnsi="Calibri" w:cs="Calibri"/>
          <w:b/>
          <w:color w:val="13576B"/>
          <w:sz w:val="20"/>
        </w:rPr>
        <w:t>,</w:t>
      </w:r>
      <w:r w:rsidR="00FE75CA">
        <w:rPr>
          <w:rFonts w:ascii="Calibri" w:hAnsi="Calibri" w:cs="Calibri"/>
          <w:b/>
          <w:color w:val="13576B"/>
          <w:sz w:val="20"/>
        </w:rPr>
        <w:t>2</w:t>
      </w:r>
      <w:r w:rsidR="007560A8">
        <w:rPr>
          <w:rFonts w:ascii="Calibri" w:hAnsi="Calibri" w:cs="Calibri"/>
          <w:b/>
          <w:color w:val="13576B"/>
          <w:sz w:val="20"/>
        </w:rPr>
        <w:t>5</w:t>
      </w:r>
      <w:r w:rsidR="00821693">
        <w:rPr>
          <w:rFonts w:ascii="Calibri" w:hAnsi="Calibri" w:cs="Calibri"/>
          <w:b/>
          <w:color w:val="13576B"/>
          <w:sz w:val="20"/>
        </w:rPr>
        <w:t xml:space="preserve"> %.</w:t>
      </w:r>
      <w:r w:rsidR="00B11E30" w:rsidRPr="00906FDC">
        <w:rPr>
          <w:rFonts w:ascii="Calibri" w:hAnsi="Calibri" w:cs="Calibri"/>
          <w:b/>
          <w:color w:val="13576B"/>
          <w:sz w:val="20"/>
        </w:rPr>
        <w:t xml:space="preserve"> Kurz koruny</w:t>
      </w:r>
      <w:r w:rsidR="007560A8">
        <w:rPr>
          <w:rFonts w:ascii="Calibri" w:hAnsi="Calibri" w:cs="Calibri"/>
          <w:b/>
          <w:color w:val="13576B"/>
          <w:sz w:val="20"/>
        </w:rPr>
        <w:t xml:space="preserve"> byl v nové prognóze přehodnocen</w:t>
      </w:r>
      <w:r w:rsidR="0087452E">
        <w:rPr>
          <w:rFonts w:ascii="Calibri" w:hAnsi="Calibri" w:cs="Calibri"/>
          <w:b/>
          <w:color w:val="13576B"/>
          <w:sz w:val="20"/>
        </w:rPr>
        <w:t xml:space="preserve"> </w:t>
      </w:r>
      <w:r w:rsidR="007560A8">
        <w:rPr>
          <w:rFonts w:ascii="Calibri" w:hAnsi="Calibri" w:cs="Calibri"/>
          <w:b/>
          <w:color w:val="13576B"/>
          <w:sz w:val="20"/>
        </w:rPr>
        <w:t xml:space="preserve">směrem ke slabším hodnotám a </w:t>
      </w:r>
      <w:r w:rsidR="0087452E">
        <w:rPr>
          <w:rFonts w:ascii="Calibri" w:hAnsi="Calibri" w:cs="Calibri"/>
          <w:b/>
          <w:color w:val="13576B"/>
          <w:sz w:val="20"/>
        </w:rPr>
        <w:t xml:space="preserve">koncem letošního roku </w:t>
      </w:r>
      <w:r w:rsidR="007560A8">
        <w:rPr>
          <w:rFonts w:ascii="Calibri" w:hAnsi="Calibri" w:cs="Calibri"/>
          <w:b/>
          <w:color w:val="13576B"/>
          <w:sz w:val="20"/>
        </w:rPr>
        <w:t>by se měl pohybovat u 25</w:t>
      </w:r>
      <w:r w:rsidR="0087452E">
        <w:rPr>
          <w:rFonts w:ascii="Calibri" w:hAnsi="Calibri" w:cs="Calibri"/>
          <w:b/>
          <w:color w:val="13576B"/>
          <w:sz w:val="20"/>
        </w:rPr>
        <w:t>,1</w:t>
      </w:r>
      <w:r w:rsidR="007560A8">
        <w:rPr>
          <w:rFonts w:ascii="Calibri" w:hAnsi="Calibri" w:cs="Calibri"/>
          <w:b/>
          <w:color w:val="13576B"/>
          <w:sz w:val="20"/>
        </w:rPr>
        <w:t xml:space="preserve"> Kč za euro, </w:t>
      </w:r>
      <w:r w:rsidR="0087452E">
        <w:rPr>
          <w:rFonts w:ascii="Calibri" w:hAnsi="Calibri" w:cs="Calibri"/>
          <w:b/>
          <w:color w:val="13576B"/>
          <w:sz w:val="20"/>
        </w:rPr>
        <w:t>do konce příštího roku se očekává posílení k úrovni 24,7 Kč za euro</w:t>
      </w:r>
      <w:r w:rsidR="007560A8">
        <w:rPr>
          <w:rFonts w:ascii="Calibri" w:hAnsi="Calibri" w:cs="Calibri"/>
          <w:b/>
          <w:color w:val="13576B"/>
          <w:sz w:val="20"/>
        </w:rPr>
        <w:t>.</w:t>
      </w:r>
    </w:p>
    <w:p w14:paraId="031813F8" w14:textId="4B5C1171" w:rsidR="001C333D" w:rsidRPr="00FC11E3" w:rsidRDefault="006756EC" w:rsidP="001C333D">
      <w:pPr>
        <w:rPr>
          <w:rFonts w:ascii="Calibri" w:hAnsi="Calibri" w:cs="Calibri"/>
          <w:b/>
          <w:color w:val="13576B"/>
          <w:sz w:val="22"/>
          <w:szCs w:val="22"/>
        </w:rPr>
      </w:pPr>
      <w:r w:rsidRPr="00FC11E3">
        <w:rPr>
          <w:rFonts w:ascii="Calibri" w:hAnsi="Calibri" w:cs="Calibri"/>
          <w:b/>
          <w:color w:val="13576B"/>
          <w:sz w:val="22"/>
          <w:szCs w:val="22"/>
        </w:rPr>
        <w:t>Nejistota globálního vývoje přetrvává</w:t>
      </w:r>
    </w:p>
    <w:p w14:paraId="76BA416F" w14:textId="3EDE056D" w:rsidR="00F73328" w:rsidRDefault="00FE75CA" w:rsidP="00786866">
      <w:pPr>
        <w:rPr>
          <w:rFonts w:ascii="Calibri" w:hAnsi="Calibri" w:cs="Calibri"/>
          <w:sz w:val="20"/>
        </w:rPr>
      </w:pPr>
      <w:r w:rsidRPr="00FE75CA">
        <w:rPr>
          <w:rFonts w:ascii="Calibri" w:hAnsi="Calibri" w:cs="Calibri"/>
          <w:sz w:val="20"/>
        </w:rPr>
        <w:t>Vývoj v</w:t>
      </w:r>
      <w:r>
        <w:rPr>
          <w:rFonts w:ascii="Calibri" w:hAnsi="Calibri" w:cs="Calibri"/>
          <w:sz w:val="20"/>
        </w:rPr>
        <w:t> </w:t>
      </w:r>
      <w:r w:rsidRPr="00FE75CA">
        <w:rPr>
          <w:rFonts w:ascii="Calibri" w:hAnsi="Calibri" w:cs="Calibri"/>
          <w:sz w:val="20"/>
        </w:rPr>
        <w:t>zahraničí</w:t>
      </w:r>
      <w:r>
        <w:rPr>
          <w:rFonts w:ascii="Calibri" w:hAnsi="Calibri" w:cs="Calibri"/>
          <w:sz w:val="20"/>
        </w:rPr>
        <w:t xml:space="preserve"> přináší pro tuzemskou ekonomiku řadu výzev a nadále patří mezi hlavní faktory </w:t>
      </w:r>
      <w:r w:rsidR="008E2A55">
        <w:rPr>
          <w:rFonts w:ascii="Calibri" w:hAnsi="Calibri" w:cs="Calibri"/>
          <w:sz w:val="20"/>
        </w:rPr>
        <w:t xml:space="preserve">jejího </w:t>
      </w:r>
      <w:r>
        <w:rPr>
          <w:rFonts w:ascii="Calibri" w:hAnsi="Calibri" w:cs="Calibri"/>
          <w:sz w:val="20"/>
        </w:rPr>
        <w:t>pomalejšího zotavování. Zejména kombinace strukturálních i cyklických potíží německé ekonomiky je jeden z</w:t>
      </w:r>
      <w:r w:rsidR="008E2A55">
        <w:rPr>
          <w:rFonts w:ascii="Calibri" w:hAnsi="Calibri" w:cs="Calibri"/>
          <w:sz w:val="20"/>
        </w:rPr>
        <w:t xml:space="preserve"> hlavních </w:t>
      </w:r>
      <w:r>
        <w:rPr>
          <w:rFonts w:ascii="Calibri" w:hAnsi="Calibri" w:cs="Calibri"/>
          <w:sz w:val="20"/>
        </w:rPr>
        <w:t xml:space="preserve">důvodů, proč se v letošním roce nenaplnila příznivější očekávání rychlejšího růstu a proč je i růst pro příští rok postupně revidován k nižším hodnotám. </w:t>
      </w:r>
      <w:r w:rsidR="006A62C6">
        <w:rPr>
          <w:rFonts w:ascii="Calibri" w:hAnsi="Calibri" w:cs="Calibri"/>
          <w:sz w:val="20"/>
        </w:rPr>
        <w:t xml:space="preserve">Řada zemí EU je stále citelně ovlivněna vyššími cenami energií, což negativně dopadá zejména na energeticky náročná odvětví a </w:t>
      </w:r>
      <w:r w:rsidR="004A511A">
        <w:rPr>
          <w:rFonts w:ascii="Calibri" w:hAnsi="Calibri" w:cs="Calibri"/>
          <w:sz w:val="20"/>
        </w:rPr>
        <w:t xml:space="preserve">jejich konkurenceschopnost. Evropský průmysl se tak potýká s recesí a setrvává stále </w:t>
      </w:r>
      <w:r w:rsidR="00276138">
        <w:rPr>
          <w:rFonts w:ascii="Calibri" w:hAnsi="Calibri" w:cs="Calibri"/>
          <w:sz w:val="20"/>
        </w:rPr>
        <w:t xml:space="preserve">blízko </w:t>
      </w:r>
      <w:r w:rsidR="004A511A">
        <w:rPr>
          <w:rFonts w:ascii="Calibri" w:hAnsi="Calibri" w:cs="Calibri"/>
          <w:sz w:val="20"/>
        </w:rPr>
        <w:t>úrovn</w:t>
      </w:r>
      <w:r w:rsidR="00276138">
        <w:rPr>
          <w:rFonts w:ascii="Calibri" w:hAnsi="Calibri" w:cs="Calibri"/>
          <w:sz w:val="20"/>
        </w:rPr>
        <w:t>ě</w:t>
      </w:r>
      <w:r w:rsidR="004A511A">
        <w:rPr>
          <w:rFonts w:ascii="Calibri" w:hAnsi="Calibri" w:cs="Calibri"/>
          <w:sz w:val="20"/>
        </w:rPr>
        <w:t xml:space="preserve"> produkce roku 2019. </w:t>
      </w:r>
      <w:r>
        <w:rPr>
          <w:rFonts w:ascii="Calibri" w:hAnsi="Calibri" w:cs="Calibri"/>
          <w:sz w:val="20"/>
        </w:rPr>
        <w:t>Výsledky amerických voleb</w:t>
      </w:r>
      <w:r w:rsidR="004A511A">
        <w:rPr>
          <w:rFonts w:ascii="Calibri" w:hAnsi="Calibri" w:cs="Calibri"/>
          <w:sz w:val="20"/>
        </w:rPr>
        <w:t xml:space="preserve"> jsou z pohledu pravděpodobného zavedení silnějších protekcionistických opatření a obchodních tarifů dalším negativním faktorem pro tuzemskou ekonomiku, ačkoli </w:t>
      </w:r>
      <w:r>
        <w:rPr>
          <w:rFonts w:ascii="Calibri" w:hAnsi="Calibri" w:cs="Calibri"/>
          <w:sz w:val="20"/>
        </w:rPr>
        <w:t>prozatím nevedly k</w:t>
      </w:r>
      <w:r w:rsidR="004A511A">
        <w:rPr>
          <w:rFonts w:ascii="Calibri" w:hAnsi="Calibri" w:cs="Calibri"/>
          <w:sz w:val="20"/>
        </w:rPr>
        <w:t> </w:t>
      </w:r>
      <w:r>
        <w:rPr>
          <w:rFonts w:ascii="Calibri" w:hAnsi="Calibri" w:cs="Calibri"/>
          <w:sz w:val="20"/>
        </w:rPr>
        <w:t>výraznější</w:t>
      </w:r>
      <w:r w:rsidR="00E73B21">
        <w:rPr>
          <w:rFonts w:ascii="Calibri" w:hAnsi="Calibri" w:cs="Calibri"/>
          <w:sz w:val="20"/>
        </w:rPr>
        <w:t>m</w:t>
      </w:r>
      <w:r w:rsidR="004A511A">
        <w:rPr>
          <w:rFonts w:ascii="Calibri" w:hAnsi="Calibri" w:cs="Calibri"/>
          <w:sz w:val="20"/>
        </w:rPr>
        <w:t>u tlaku na kurz koruny. To je patrně dáno i vysokými rezervami centrální bank</w:t>
      </w:r>
      <w:r w:rsidR="00AA6176">
        <w:rPr>
          <w:rFonts w:ascii="Calibri" w:hAnsi="Calibri" w:cs="Calibri"/>
          <w:sz w:val="20"/>
        </w:rPr>
        <w:t>y</w:t>
      </w:r>
      <w:r w:rsidR="004A511A">
        <w:rPr>
          <w:rFonts w:ascii="Calibri" w:hAnsi="Calibri" w:cs="Calibri"/>
          <w:sz w:val="20"/>
        </w:rPr>
        <w:t>, která může v případě potřeby korunu podpořit, čehož si je trh vědom.</w:t>
      </w:r>
    </w:p>
    <w:p w14:paraId="55266F8A" w14:textId="5A2F5550" w:rsidR="004A511A" w:rsidRDefault="004A511A" w:rsidP="00786866">
      <w:pPr>
        <w:rPr>
          <w:rFonts w:ascii="Calibri" w:hAnsi="Calibri" w:cs="Calibri"/>
          <w:sz w:val="20"/>
        </w:rPr>
      </w:pPr>
      <w:r w:rsidRPr="00FE75CA">
        <w:rPr>
          <w:rFonts w:ascii="Calibri" w:hAnsi="Calibri" w:cs="Calibri"/>
          <w:noProof/>
          <w:sz w:val="20"/>
        </w:rPr>
        <mc:AlternateContent>
          <mc:Choice Requires="wps">
            <w:drawing>
              <wp:anchor distT="45720" distB="45720" distL="114300" distR="114300" simplePos="0" relativeHeight="251664384" behindDoc="0" locked="0" layoutInCell="1" allowOverlap="1" wp14:anchorId="3E7E5370" wp14:editId="00445118">
                <wp:simplePos x="0" y="0"/>
                <wp:positionH relativeFrom="margin">
                  <wp:posOffset>-37102</wp:posOffset>
                </wp:positionH>
                <wp:positionV relativeFrom="paragraph">
                  <wp:posOffset>160382</wp:posOffset>
                </wp:positionV>
                <wp:extent cx="6461760" cy="777875"/>
                <wp:effectExtent l="0" t="0" r="15240" b="2222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77875"/>
                        </a:xfrm>
                        <a:prstGeom prst="rect">
                          <a:avLst/>
                        </a:prstGeom>
                        <a:solidFill>
                          <a:srgbClr val="FFFFFF"/>
                        </a:solidFill>
                        <a:ln w="9525">
                          <a:solidFill>
                            <a:srgbClr val="000000"/>
                          </a:solidFill>
                          <a:miter lim="800000"/>
                          <a:headEnd/>
                          <a:tailEnd/>
                        </a:ln>
                      </wps:spPr>
                      <wps:txbx>
                        <w:txbxContent>
                          <w:p w14:paraId="33B02031" w14:textId="61D59744" w:rsidR="00BF5C5A" w:rsidRPr="0059682A" w:rsidRDefault="00BF5C5A" w:rsidP="00BF5C5A">
                            <w:pPr>
                              <w:rPr>
                                <w:rFonts w:ascii="Calibri" w:hAnsi="Calibri" w:cs="Calibri"/>
                                <w:b/>
                                <w:bCs/>
                                <w:sz w:val="20"/>
                              </w:rPr>
                            </w:pPr>
                            <w:r w:rsidRPr="0059682A">
                              <w:rPr>
                                <w:rFonts w:ascii="Calibri" w:hAnsi="Calibri" w:cs="Calibri"/>
                                <w:b/>
                                <w:bCs/>
                                <w:sz w:val="20"/>
                              </w:rPr>
                              <w:t>Jakub Seidler, hlavní ekonom České bankovní asociace:</w:t>
                            </w:r>
                          </w:p>
                          <w:p w14:paraId="06CFC5A8" w14:textId="27484C6B" w:rsidR="00BF5C5A" w:rsidRPr="0032297D" w:rsidRDefault="0059682A" w:rsidP="00BF5C5A">
                            <w:pPr>
                              <w:rPr>
                                <w:rFonts w:ascii="Calibri" w:hAnsi="Calibri" w:cs="Calibri"/>
                                <w:i/>
                                <w:iCs/>
                                <w:sz w:val="20"/>
                              </w:rPr>
                            </w:pPr>
                            <w:bookmarkStart w:id="0" w:name="_Hlk173838755"/>
                            <w:bookmarkStart w:id="1" w:name="_Hlk173838756"/>
                            <w:bookmarkStart w:id="2" w:name="_Hlk173838757"/>
                            <w:bookmarkStart w:id="3" w:name="_Hlk173838758"/>
                            <w:r>
                              <w:rPr>
                                <w:rFonts w:ascii="Calibri" w:hAnsi="Calibri" w:cs="Calibri"/>
                                <w:i/>
                                <w:iCs/>
                                <w:sz w:val="20"/>
                              </w:rPr>
                              <w:t>„</w:t>
                            </w:r>
                            <w:r w:rsidR="007560A8" w:rsidRPr="0059682A">
                              <w:rPr>
                                <w:rFonts w:ascii="Calibri" w:hAnsi="Calibri" w:cs="Calibri"/>
                                <w:i/>
                                <w:iCs/>
                                <w:sz w:val="20"/>
                              </w:rPr>
                              <w:t xml:space="preserve">Vývoj </w:t>
                            </w:r>
                            <w:r>
                              <w:rPr>
                                <w:rFonts w:ascii="Calibri" w:hAnsi="Calibri" w:cs="Calibri"/>
                                <w:i/>
                                <w:iCs/>
                                <w:sz w:val="20"/>
                              </w:rPr>
                              <w:t>z</w:t>
                            </w:r>
                            <w:r w:rsidR="007560A8" w:rsidRPr="0059682A">
                              <w:rPr>
                                <w:rFonts w:ascii="Calibri" w:hAnsi="Calibri" w:cs="Calibri"/>
                                <w:i/>
                                <w:iCs/>
                                <w:sz w:val="20"/>
                              </w:rPr>
                              <w:t xml:space="preserve">ahraničí </w:t>
                            </w:r>
                            <w:r>
                              <w:rPr>
                                <w:rFonts w:ascii="Calibri" w:hAnsi="Calibri" w:cs="Calibri"/>
                                <w:i/>
                                <w:iCs/>
                                <w:sz w:val="20"/>
                              </w:rPr>
                              <w:t>poptávky stále zaostává za očekáváním a slabší výkon zejména Německa způsobuje jen velmi opatrné oživování tuzemské ekonomiky. Ta v letošním roce bude růst kolem 1 % a pro příští rok se odhady snižují blíže ke 2 % s tím, že rizika jsou ve směru slabšího růstu</w:t>
                            </w:r>
                            <w:bookmarkEnd w:id="0"/>
                            <w:bookmarkEnd w:id="1"/>
                            <w:bookmarkEnd w:id="2"/>
                            <w:bookmarkEnd w:id="3"/>
                            <w:r>
                              <w:rPr>
                                <w:rFonts w:ascii="Calibri" w:hAnsi="Calibri" w:cs="Calibri"/>
                                <w:i/>
                                <w:iCs/>
                                <w:sz w:val="20"/>
                              </w:rPr>
                              <w:t xml:space="preserve"> z titulu pokračujícího útlumu v</w:t>
                            </w:r>
                            <w:r w:rsidR="004A511A">
                              <w:rPr>
                                <w:rFonts w:ascii="Calibri" w:hAnsi="Calibri" w:cs="Calibri"/>
                                <w:i/>
                                <w:iCs/>
                                <w:sz w:val="20"/>
                              </w:rPr>
                              <w:t> </w:t>
                            </w:r>
                            <w:r>
                              <w:rPr>
                                <w:rFonts w:ascii="Calibri" w:hAnsi="Calibri" w:cs="Calibri"/>
                                <w:i/>
                                <w:iCs/>
                                <w:sz w:val="20"/>
                              </w:rPr>
                              <w:t>průmyslu</w:t>
                            </w:r>
                            <w:r w:rsidR="004A511A">
                              <w:rPr>
                                <w:rFonts w:ascii="Calibri" w:hAnsi="Calibri" w:cs="Calibri"/>
                                <w:i/>
                                <w:iCs/>
                                <w:sz w:val="20"/>
                              </w:rPr>
                              <w:t xml:space="preserve"> a zahraničním obchodě</w:t>
                            </w:r>
                            <w:r>
                              <w:rPr>
                                <w:rFonts w:ascii="Calibri" w:hAnsi="Calibri" w:cs="Calibri"/>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E5370" id="_x0000_t202" coordsize="21600,21600" o:spt="202" path="m,l,21600r21600,l21600,xe">
                <v:stroke joinstyle="miter"/>
                <v:path gradientshapeok="t" o:connecttype="rect"/>
              </v:shapetype>
              <v:shape id="Textové pole 2" o:spid="_x0000_s1026" type="#_x0000_t202" style="position:absolute;left:0;text-align:left;margin-left:-2.9pt;margin-top:12.65pt;width:508.8pt;height:6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">
                <v:textbox>
                  <w:txbxContent>
                    <w:p w14:paraId="33B02031" w14:textId="61D59744" w:rsidR="00BF5C5A" w:rsidRPr="0059682A" w:rsidRDefault="00BF5C5A" w:rsidP="00BF5C5A">
                      <w:pPr>
                        <w:rPr>
                          <w:rFonts w:ascii="Calibri" w:hAnsi="Calibri" w:cs="Calibri"/>
                          <w:b/>
                          <w:bCs/>
                          <w:sz w:val="20"/>
                        </w:rPr>
                      </w:pPr>
                      <w:r w:rsidRPr="0059682A">
                        <w:rPr>
                          <w:rFonts w:ascii="Calibri" w:hAnsi="Calibri" w:cs="Calibri"/>
                          <w:b/>
                          <w:bCs/>
                          <w:sz w:val="20"/>
                        </w:rPr>
                        <w:t>Jakub Seidler, hlavní ekonom České bankovní asociace:</w:t>
                      </w:r>
                    </w:p>
                    <w:p w14:paraId="06CFC5A8" w14:textId="27484C6B" w:rsidR="00BF5C5A" w:rsidRPr="0032297D" w:rsidRDefault="0059682A" w:rsidP="00BF5C5A">
                      <w:pPr>
                        <w:rPr>
                          <w:rFonts w:ascii="Calibri" w:hAnsi="Calibri" w:cs="Calibri"/>
                          <w:i/>
                          <w:iCs/>
                          <w:sz w:val="20"/>
                        </w:rPr>
                      </w:pPr>
                      <w:bookmarkStart w:id="4" w:name="_Hlk173838755"/>
                      <w:bookmarkStart w:id="5" w:name="_Hlk173838756"/>
                      <w:bookmarkStart w:id="6" w:name="_Hlk173838757"/>
                      <w:bookmarkStart w:id="7" w:name="_Hlk173838758"/>
                      <w:r>
                        <w:rPr>
                          <w:rFonts w:ascii="Calibri" w:hAnsi="Calibri" w:cs="Calibri"/>
                          <w:i/>
                          <w:iCs/>
                          <w:sz w:val="20"/>
                        </w:rPr>
                        <w:t>„</w:t>
                      </w:r>
                      <w:r w:rsidR="007560A8" w:rsidRPr="0059682A">
                        <w:rPr>
                          <w:rFonts w:ascii="Calibri" w:hAnsi="Calibri" w:cs="Calibri"/>
                          <w:i/>
                          <w:iCs/>
                          <w:sz w:val="20"/>
                        </w:rPr>
                        <w:t xml:space="preserve">Vývoj </w:t>
                      </w:r>
                      <w:r>
                        <w:rPr>
                          <w:rFonts w:ascii="Calibri" w:hAnsi="Calibri" w:cs="Calibri"/>
                          <w:i/>
                          <w:iCs/>
                          <w:sz w:val="20"/>
                        </w:rPr>
                        <w:t>z</w:t>
                      </w:r>
                      <w:r w:rsidR="007560A8" w:rsidRPr="0059682A">
                        <w:rPr>
                          <w:rFonts w:ascii="Calibri" w:hAnsi="Calibri" w:cs="Calibri"/>
                          <w:i/>
                          <w:iCs/>
                          <w:sz w:val="20"/>
                        </w:rPr>
                        <w:t xml:space="preserve">ahraničí </w:t>
                      </w:r>
                      <w:r>
                        <w:rPr>
                          <w:rFonts w:ascii="Calibri" w:hAnsi="Calibri" w:cs="Calibri"/>
                          <w:i/>
                          <w:iCs/>
                          <w:sz w:val="20"/>
                        </w:rPr>
                        <w:t>poptávky stále zaostává za očekáváním a slabší výkon zejména Německa způsobuje jen velmi opatrné oživování tuzemské ekonomiky. Ta v letošním roce bude růst kolem 1 % a pro příští rok se odhady snižují blíže ke 2 % s tím, že rizika jsou ve směru slabšího růstu</w:t>
                      </w:r>
                      <w:bookmarkEnd w:id="4"/>
                      <w:bookmarkEnd w:id="5"/>
                      <w:bookmarkEnd w:id="6"/>
                      <w:bookmarkEnd w:id="7"/>
                      <w:r>
                        <w:rPr>
                          <w:rFonts w:ascii="Calibri" w:hAnsi="Calibri" w:cs="Calibri"/>
                          <w:i/>
                          <w:iCs/>
                          <w:sz w:val="20"/>
                        </w:rPr>
                        <w:t xml:space="preserve"> z titulu pokračujícího útlumu v</w:t>
                      </w:r>
                      <w:r w:rsidR="004A511A">
                        <w:rPr>
                          <w:rFonts w:ascii="Calibri" w:hAnsi="Calibri" w:cs="Calibri"/>
                          <w:i/>
                          <w:iCs/>
                          <w:sz w:val="20"/>
                        </w:rPr>
                        <w:t> </w:t>
                      </w:r>
                      <w:r>
                        <w:rPr>
                          <w:rFonts w:ascii="Calibri" w:hAnsi="Calibri" w:cs="Calibri"/>
                          <w:i/>
                          <w:iCs/>
                          <w:sz w:val="20"/>
                        </w:rPr>
                        <w:t>průmyslu</w:t>
                      </w:r>
                      <w:r w:rsidR="004A511A">
                        <w:rPr>
                          <w:rFonts w:ascii="Calibri" w:hAnsi="Calibri" w:cs="Calibri"/>
                          <w:i/>
                          <w:iCs/>
                          <w:sz w:val="20"/>
                        </w:rPr>
                        <w:t xml:space="preserve"> a zahraničním obchodě</w:t>
                      </w:r>
                      <w:r>
                        <w:rPr>
                          <w:rFonts w:ascii="Calibri" w:hAnsi="Calibri" w:cs="Calibri"/>
                          <w:i/>
                          <w:iCs/>
                          <w:sz w:val="20"/>
                        </w:rPr>
                        <w:t>.“</w:t>
                      </w:r>
                    </w:p>
                  </w:txbxContent>
                </v:textbox>
                <w10:wrap type="square" anchorx="margin"/>
              </v:shape>
            </w:pict>
          </mc:Fallback>
        </mc:AlternateContent>
      </w:r>
    </w:p>
    <w:p w14:paraId="10FEB783" w14:textId="634AEF70" w:rsidR="002C752B" w:rsidRPr="00FC11E3" w:rsidRDefault="00DD2480" w:rsidP="00AB39A4">
      <w:pPr>
        <w:rPr>
          <w:rFonts w:ascii="Calibri" w:hAnsi="Calibri" w:cs="Calibri"/>
          <w:b/>
          <w:color w:val="13576B"/>
          <w:sz w:val="22"/>
          <w:szCs w:val="22"/>
        </w:rPr>
      </w:pPr>
      <w:r>
        <w:rPr>
          <w:rFonts w:ascii="Calibri" w:hAnsi="Calibri" w:cs="Calibri"/>
          <w:b/>
          <w:color w:val="13576B"/>
          <w:sz w:val="22"/>
          <w:szCs w:val="22"/>
        </w:rPr>
        <w:t>T</w:t>
      </w:r>
      <w:r w:rsidR="00F201D6" w:rsidRPr="00FC11E3">
        <w:rPr>
          <w:rFonts w:ascii="Calibri" w:hAnsi="Calibri" w:cs="Calibri"/>
          <w:b/>
          <w:color w:val="13576B"/>
          <w:sz w:val="22"/>
          <w:szCs w:val="22"/>
        </w:rPr>
        <w:t>uzemsk</w:t>
      </w:r>
      <w:r>
        <w:rPr>
          <w:rFonts w:ascii="Calibri" w:hAnsi="Calibri" w:cs="Calibri"/>
          <w:b/>
          <w:color w:val="13576B"/>
          <w:sz w:val="22"/>
          <w:szCs w:val="22"/>
        </w:rPr>
        <w:t>á</w:t>
      </w:r>
      <w:r w:rsidR="00F201D6" w:rsidRPr="00FC11E3">
        <w:rPr>
          <w:rFonts w:ascii="Calibri" w:hAnsi="Calibri" w:cs="Calibri"/>
          <w:b/>
          <w:color w:val="13576B"/>
          <w:sz w:val="22"/>
          <w:szCs w:val="22"/>
        </w:rPr>
        <w:t xml:space="preserve"> ekonomik</w:t>
      </w:r>
      <w:r>
        <w:rPr>
          <w:rFonts w:ascii="Calibri" w:hAnsi="Calibri" w:cs="Calibri"/>
          <w:b/>
          <w:color w:val="13576B"/>
          <w:sz w:val="22"/>
          <w:szCs w:val="22"/>
        </w:rPr>
        <w:t>a roste letos jen mírně</w:t>
      </w:r>
    </w:p>
    <w:p w14:paraId="5533592E" w14:textId="497A35B1" w:rsidR="007201F3" w:rsidRDefault="0077118A" w:rsidP="00AB39A4">
      <w:pPr>
        <w:rPr>
          <w:rFonts w:ascii="Calibri" w:hAnsi="Calibri" w:cs="Calibri"/>
          <w:sz w:val="20"/>
        </w:rPr>
      </w:pPr>
      <w:r w:rsidRPr="00FC11E3">
        <w:rPr>
          <w:rFonts w:ascii="Calibri" w:hAnsi="Calibri" w:cs="Calibri"/>
          <w:b/>
          <w:bCs/>
          <w:sz w:val="20"/>
        </w:rPr>
        <w:t xml:space="preserve">Nová </w:t>
      </w:r>
      <w:r w:rsidR="00B3068D" w:rsidRPr="00FC11E3">
        <w:rPr>
          <w:rFonts w:ascii="Calibri" w:hAnsi="Calibri" w:cs="Calibri"/>
          <w:b/>
          <w:bCs/>
          <w:sz w:val="20"/>
        </w:rPr>
        <w:t>prognóz</w:t>
      </w:r>
      <w:r w:rsidR="00FA68D2" w:rsidRPr="00FC11E3">
        <w:rPr>
          <w:rFonts w:ascii="Calibri" w:hAnsi="Calibri" w:cs="Calibri"/>
          <w:b/>
          <w:bCs/>
          <w:sz w:val="20"/>
        </w:rPr>
        <w:t>a</w:t>
      </w:r>
      <w:r w:rsidR="00B3068D" w:rsidRPr="00FC11E3">
        <w:rPr>
          <w:rFonts w:ascii="Calibri" w:hAnsi="Calibri" w:cs="Calibri"/>
          <w:b/>
          <w:bCs/>
          <w:sz w:val="20"/>
        </w:rPr>
        <w:t xml:space="preserve"> ČBA</w:t>
      </w:r>
      <w:r w:rsidRPr="00FC11E3">
        <w:rPr>
          <w:rFonts w:ascii="Calibri" w:hAnsi="Calibri" w:cs="Calibri"/>
          <w:b/>
          <w:bCs/>
          <w:sz w:val="20"/>
        </w:rPr>
        <w:t xml:space="preserve"> pro letošní rok</w:t>
      </w:r>
      <w:r w:rsidR="00DF0182">
        <w:rPr>
          <w:rFonts w:ascii="Calibri" w:hAnsi="Calibri" w:cs="Calibri"/>
          <w:b/>
          <w:bCs/>
          <w:sz w:val="20"/>
        </w:rPr>
        <w:t xml:space="preserve"> nadále očekává růst tuzemské ekonomiky o 1 %, což je jen nepatrně nad</w:t>
      </w:r>
      <w:r w:rsidR="0033718B">
        <w:rPr>
          <w:rFonts w:ascii="Calibri" w:hAnsi="Calibri" w:cs="Calibri"/>
          <w:b/>
          <w:bCs/>
          <w:sz w:val="20"/>
        </w:rPr>
        <w:t xml:space="preserve"> odhadem</w:t>
      </w:r>
      <w:r w:rsidR="00DF0182">
        <w:rPr>
          <w:rFonts w:ascii="Calibri" w:hAnsi="Calibri" w:cs="Calibri"/>
          <w:b/>
          <w:bCs/>
          <w:sz w:val="20"/>
        </w:rPr>
        <w:t xml:space="preserve"> </w:t>
      </w:r>
      <w:r w:rsidR="0033718B">
        <w:rPr>
          <w:rFonts w:ascii="Calibri" w:hAnsi="Calibri" w:cs="Calibri"/>
          <w:b/>
          <w:bCs/>
          <w:sz w:val="20"/>
        </w:rPr>
        <w:t xml:space="preserve">minulé prognózy </w:t>
      </w:r>
      <w:r w:rsidR="00DF0182">
        <w:rPr>
          <w:rFonts w:ascii="Calibri" w:hAnsi="Calibri" w:cs="Calibri"/>
          <w:b/>
          <w:bCs/>
          <w:sz w:val="20"/>
        </w:rPr>
        <w:t>ve výši 0,9 %.</w:t>
      </w:r>
      <w:r w:rsidR="00D260F0">
        <w:rPr>
          <w:rFonts w:ascii="Calibri" w:hAnsi="Calibri" w:cs="Calibri"/>
          <w:b/>
          <w:bCs/>
          <w:sz w:val="20"/>
        </w:rPr>
        <w:t xml:space="preserve"> </w:t>
      </w:r>
      <w:r w:rsidR="00CE5236" w:rsidRPr="00FC11E3">
        <w:rPr>
          <w:rFonts w:ascii="Calibri" w:hAnsi="Calibri" w:cs="Calibri"/>
          <w:sz w:val="20"/>
        </w:rPr>
        <w:t>Dle p</w:t>
      </w:r>
      <w:r w:rsidR="00AC12D8" w:rsidRPr="00FC11E3">
        <w:rPr>
          <w:rFonts w:ascii="Calibri" w:hAnsi="Calibri" w:cs="Calibri"/>
          <w:sz w:val="20"/>
        </w:rPr>
        <w:t>ředběžn</w:t>
      </w:r>
      <w:r w:rsidR="00CE5236" w:rsidRPr="00FC11E3">
        <w:rPr>
          <w:rFonts w:ascii="Calibri" w:hAnsi="Calibri" w:cs="Calibri"/>
          <w:sz w:val="20"/>
        </w:rPr>
        <w:t>ého</w:t>
      </w:r>
      <w:r w:rsidR="00AC12D8" w:rsidRPr="00FC11E3">
        <w:rPr>
          <w:rFonts w:ascii="Calibri" w:hAnsi="Calibri" w:cs="Calibri"/>
          <w:sz w:val="20"/>
        </w:rPr>
        <w:t xml:space="preserve"> odhad</w:t>
      </w:r>
      <w:r w:rsidR="00CE5236" w:rsidRPr="00FC11E3">
        <w:rPr>
          <w:rFonts w:ascii="Calibri" w:hAnsi="Calibri" w:cs="Calibri"/>
          <w:sz w:val="20"/>
        </w:rPr>
        <w:t>u</w:t>
      </w:r>
      <w:r w:rsidR="00AC12D8" w:rsidRPr="00FC11E3">
        <w:rPr>
          <w:rFonts w:ascii="Calibri" w:hAnsi="Calibri" w:cs="Calibri"/>
          <w:sz w:val="20"/>
        </w:rPr>
        <w:t xml:space="preserve"> HDP za </w:t>
      </w:r>
      <w:r w:rsidR="00DF0182">
        <w:rPr>
          <w:rFonts w:ascii="Calibri" w:hAnsi="Calibri" w:cs="Calibri"/>
          <w:sz w:val="20"/>
        </w:rPr>
        <w:t>3</w:t>
      </w:r>
      <w:r w:rsidR="00AC12D8" w:rsidRPr="00FC11E3">
        <w:rPr>
          <w:rFonts w:ascii="Calibri" w:hAnsi="Calibri" w:cs="Calibri"/>
          <w:sz w:val="20"/>
        </w:rPr>
        <w:t>. čtvrtletí</w:t>
      </w:r>
      <w:r w:rsidR="00F201D6" w:rsidRPr="00FC11E3">
        <w:rPr>
          <w:rFonts w:ascii="Calibri" w:hAnsi="Calibri" w:cs="Calibri"/>
          <w:sz w:val="20"/>
        </w:rPr>
        <w:t xml:space="preserve"> letošního roku</w:t>
      </w:r>
      <w:r w:rsidR="007E5F13" w:rsidRPr="00FC11E3">
        <w:rPr>
          <w:rFonts w:ascii="Calibri" w:hAnsi="Calibri" w:cs="Calibri"/>
          <w:sz w:val="20"/>
        </w:rPr>
        <w:t xml:space="preserve"> </w:t>
      </w:r>
      <w:r w:rsidR="004A511A">
        <w:rPr>
          <w:rFonts w:ascii="Calibri" w:hAnsi="Calibri" w:cs="Calibri"/>
          <w:sz w:val="20"/>
        </w:rPr>
        <w:t>česká</w:t>
      </w:r>
      <w:r w:rsidR="00CE5236" w:rsidRPr="00FC11E3">
        <w:rPr>
          <w:rFonts w:ascii="Calibri" w:hAnsi="Calibri" w:cs="Calibri"/>
          <w:sz w:val="20"/>
        </w:rPr>
        <w:t xml:space="preserve"> ekonomika </w:t>
      </w:r>
      <w:r w:rsidR="00F201D6" w:rsidRPr="00FC11E3">
        <w:rPr>
          <w:rFonts w:ascii="Calibri" w:hAnsi="Calibri" w:cs="Calibri"/>
          <w:sz w:val="20"/>
        </w:rPr>
        <w:t xml:space="preserve">mezičtvrtletně </w:t>
      </w:r>
      <w:r w:rsidR="004A511A">
        <w:rPr>
          <w:rFonts w:ascii="Calibri" w:hAnsi="Calibri" w:cs="Calibri"/>
          <w:sz w:val="20"/>
        </w:rPr>
        <w:t>vz</w:t>
      </w:r>
      <w:r w:rsidR="00F201D6" w:rsidRPr="00FC11E3">
        <w:rPr>
          <w:rFonts w:ascii="Calibri" w:hAnsi="Calibri" w:cs="Calibri"/>
          <w:sz w:val="20"/>
        </w:rPr>
        <w:t>rostla o</w:t>
      </w:r>
      <w:r w:rsidR="00D318CA">
        <w:rPr>
          <w:rFonts w:ascii="Calibri" w:hAnsi="Calibri" w:cs="Calibri"/>
          <w:sz w:val="20"/>
        </w:rPr>
        <w:t> </w:t>
      </w:r>
      <w:r w:rsidR="00F201D6" w:rsidRPr="00FC11E3">
        <w:rPr>
          <w:rFonts w:ascii="Calibri" w:hAnsi="Calibri" w:cs="Calibri"/>
          <w:sz w:val="20"/>
        </w:rPr>
        <w:t>0,</w:t>
      </w:r>
      <w:r w:rsidR="00DD2480">
        <w:rPr>
          <w:rFonts w:ascii="Calibri" w:hAnsi="Calibri" w:cs="Calibri"/>
          <w:sz w:val="20"/>
        </w:rPr>
        <w:t>3</w:t>
      </w:r>
      <w:r w:rsidR="00F201D6" w:rsidRPr="00FC11E3">
        <w:rPr>
          <w:rFonts w:ascii="Calibri" w:hAnsi="Calibri" w:cs="Calibri"/>
          <w:sz w:val="20"/>
        </w:rPr>
        <w:t xml:space="preserve"> %</w:t>
      </w:r>
      <w:r w:rsidR="001A6522">
        <w:rPr>
          <w:rFonts w:ascii="Calibri" w:hAnsi="Calibri" w:cs="Calibri"/>
          <w:sz w:val="20"/>
        </w:rPr>
        <w:t xml:space="preserve"> (meziročně o 1,3 %)</w:t>
      </w:r>
      <w:r w:rsidR="00F201D6" w:rsidRPr="00FC11E3">
        <w:rPr>
          <w:rFonts w:ascii="Calibri" w:hAnsi="Calibri" w:cs="Calibri"/>
          <w:sz w:val="20"/>
        </w:rPr>
        <w:t xml:space="preserve"> a pokračuje tak</w:t>
      </w:r>
      <w:r w:rsidR="00DD2480">
        <w:rPr>
          <w:rFonts w:ascii="Calibri" w:hAnsi="Calibri" w:cs="Calibri"/>
          <w:sz w:val="20"/>
        </w:rPr>
        <w:t xml:space="preserve"> jen</w:t>
      </w:r>
      <w:r w:rsidR="00F201D6" w:rsidRPr="00FC11E3">
        <w:rPr>
          <w:rFonts w:ascii="Calibri" w:hAnsi="Calibri" w:cs="Calibri"/>
          <w:sz w:val="20"/>
        </w:rPr>
        <w:t xml:space="preserve"> v</w:t>
      </w:r>
      <w:r w:rsidR="00DD2480">
        <w:rPr>
          <w:rFonts w:ascii="Calibri" w:hAnsi="Calibri" w:cs="Calibri"/>
          <w:sz w:val="20"/>
        </w:rPr>
        <w:t>e</w:t>
      </w:r>
      <w:r w:rsidR="00F201D6" w:rsidRPr="00FC11E3">
        <w:rPr>
          <w:rFonts w:ascii="Calibri" w:hAnsi="Calibri" w:cs="Calibri"/>
          <w:sz w:val="20"/>
        </w:rPr>
        <w:t xml:space="preserve"> </w:t>
      </w:r>
      <w:r w:rsidR="00DD2480">
        <w:rPr>
          <w:rFonts w:ascii="Calibri" w:hAnsi="Calibri" w:cs="Calibri"/>
          <w:sz w:val="20"/>
        </w:rPr>
        <w:t xml:space="preserve">velmi </w:t>
      </w:r>
      <w:r w:rsidR="00D260F0">
        <w:rPr>
          <w:rFonts w:ascii="Calibri" w:hAnsi="Calibri" w:cs="Calibri"/>
          <w:sz w:val="20"/>
        </w:rPr>
        <w:t>slabém</w:t>
      </w:r>
      <w:r w:rsidR="00F201D6" w:rsidRPr="00FC11E3">
        <w:rPr>
          <w:rFonts w:ascii="Calibri" w:hAnsi="Calibri" w:cs="Calibri"/>
          <w:sz w:val="20"/>
        </w:rPr>
        <w:t xml:space="preserve"> oživování</w:t>
      </w:r>
      <w:r w:rsidR="00DD2480">
        <w:rPr>
          <w:rFonts w:ascii="Calibri" w:hAnsi="Calibri" w:cs="Calibri"/>
          <w:sz w:val="20"/>
        </w:rPr>
        <w:t xml:space="preserve">, které nenaplnilo očekávání z předešlé </w:t>
      </w:r>
      <w:r w:rsidR="0033718B">
        <w:rPr>
          <w:rFonts w:ascii="Calibri" w:hAnsi="Calibri" w:cs="Calibri"/>
          <w:sz w:val="20"/>
        </w:rPr>
        <w:t xml:space="preserve">srpnové </w:t>
      </w:r>
      <w:r w:rsidR="00DD2480">
        <w:rPr>
          <w:rFonts w:ascii="Calibri" w:hAnsi="Calibri" w:cs="Calibri"/>
          <w:sz w:val="20"/>
        </w:rPr>
        <w:t>prognózy</w:t>
      </w:r>
      <w:r w:rsidR="0033718B">
        <w:rPr>
          <w:rFonts w:ascii="Calibri" w:hAnsi="Calibri" w:cs="Calibri"/>
          <w:sz w:val="20"/>
        </w:rPr>
        <w:t xml:space="preserve"> ČBA</w:t>
      </w:r>
      <w:r w:rsidR="00DD2480">
        <w:rPr>
          <w:rFonts w:ascii="Calibri" w:hAnsi="Calibri" w:cs="Calibri"/>
          <w:sz w:val="20"/>
        </w:rPr>
        <w:t xml:space="preserve">. </w:t>
      </w:r>
      <w:r w:rsidR="004D77F2">
        <w:rPr>
          <w:rFonts w:ascii="Calibri" w:hAnsi="Calibri" w:cs="Calibri"/>
          <w:sz w:val="20"/>
        </w:rPr>
        <w:t xml:space="preserve">Ačkoli mezičtvrtletní růst v první polovině </w:t>
      </w:r>
      <w:r w:rsidR="00E73B21">
        <w:rPr>
          <w:rFonts w:ascii="Calibri" w:hAnsi="Calibri" w:cs="Calibri"/>
          <w:sz w:val="20"/>
        </w:rPr>
        <w:t xml:space="preserve">roku </w:t>
      </w:r>
      <w:r w:rsidR="00276138">
        <w:rPr>
          <w:rFonts w:ascii="Calibri" w:hAnsi="Calibri" w:cs="Calibri"/>
          <w:sz w:val="20"/>
        </w:rPr>
        <w:t>se po revizích ukázal</w:t>
      </w:r>
      <w:r w:rsidR="004D77F2">
        <w:rPr>
          <w:rFonts w:ascii="Calibri" w:hAnsi="Calibri" w:cs="Calibri"/>
          <w:sz w:val="20"/>
        </w:rPr>
        <w:t xml:space="preserve"> </w:t>
      </w:r>
      <w:r w:rsidR="00276138">
        <w:rPr>
          <w:rFonts w:ascii="Calibri" w:hAnsi="Calibri" w:cs="Calibri"/>
          <w:sz w:val="20"/>
        </w:rPr>
        <w:t xml:space="preserve">jako </w:t>
      </w:r>
      <w:r w:rsidR="004D77F2">
        <w:rPr>
          <w:rFonts w:ascii="Calibri" w:hAnsi="Calibri" w:cs="Calibri"/>
          <w:sz w:val="20"/>
        </w:rPr>
        <w:t xml:space="preserve">nepatrně </w:t>
      </w:r>
      <w:r w:rsidR="001A6522">
        <w:rPr>
          <w:rFonts w:ascii="Calibri" w:hAnsi="Calibri" w:cs="Calibri"/>
          <w:sz w:val="20"/>
        </w:rPr>
        <w:t>silnější</w:t>
      </w:r>
      <w:r w:rsidR="004D77F2">
        <w:rPr>
          <w:rFonts w:ascii="Calibri" w:hAnsi="Calibri" w:cs="Calibri"/>
          <w:sz w:val="20"/>
        </w:rPr>
        <w:t xml:space="preserve">, </w:t>
      </w:r>
      <w:r w:rsidR="0033718B">
        <w:rPr>
          <w:rFonts w:ascii="Calibri" w:hAnsi="Calibri" w:cs="Calibri"/>
          <w:sz w:val="20"/>
        </w:rPr>
        <w:t>předpokládané</w:t>
      </w:r>
      <w:r w:rsidR="004D77F2">
        <w:rPr>
          <w:rFonts w:ascii="Calibri" w:hAnsi="Calibri" w:cs="Calibri"/>
          <w:sz w:val="20"/>
        </w:rPr>
        <w:t xml:space="preserve"> zrychlení růstu v druhé polovině roku se</w:t>
      </w:r>
      <w:r w:rsidR="001A6522">
        <w:rPr>
          <w:rFonts w:ascii="Calibri" w:hAnsi="Calibri" w:cs="Calibri"/>
          <w:sz w:val="20"/>
        </w:rPr>
        <w:t xml:space="preserve"> naopak</w:t>
      </w:r>
      <w:r w:rsidR="004D77F2">
        <w:rPr>
          <w:rFonts w:ascii="Calibri" w:hAnsi="Calibri" w:cs="Calibri"/>
          <w:sz w:val="20"/>
        </w:rPr>
        <w:t xml:space="preserve"> </w:t>
      </w:r>
      <w:r w:rsidR="00276138">
        <w:rPr>
          <w:rFonts w:ascii="Calibri" w:hAnsi="Calibri" w:cs="Calibri"/>
          <w:sz w:val="20"/>
        </w:rPr>
        <w:t xml:space="preserve">podle předběžných indikátorů </w:t>
      </w:r>
      <w:r w:rsidR="00D318CA">
        <w:rPr>
          <w:rFonts w:ascii="Calibri" w:hAnsi="Calibri" w:cs="Calibri"/>
          <w:sz w:val="20"/>
        </w:rPr>
        <w:t>nedost</w:t>
      </w:r>
      <w:r w:rsidR="00B46B97">
        <w:rPr>
          <w:rFonts w:ascii="Calibri" w:hAnsi="Calibri" w:cs="Calibri"/>
          <w:sz w:val="20"/>
        </w:rPr>
        <w:t>av</w:t>
      </w:r>
      <w:r w:rsidR="00276138">
        <w:rPr>
          <w:rFonts w:ascii="Calibri" w:hAnsi="Calibri" w:cs="Calibri"/>
          <w:sz w:val="20"/>
        </w:rPr>
        <w:t>uje</w:t>
      </w:r>
      <w:r w:rsidR="004D77F2">
        <w:rPr>
          <w:rFonts w:ascii="Calibri" w:hAnsi="Calibri" w:cs="Calibri"/>
          <w:sz w:val="20"/>
        </w:rPr>
        <w:t>. Uveden</w:t>
      </w:r>
      <w:r w:rsidR="001A6522">
        <w:rPr>
          <w:rFonts w:ascii="Calibri" w:hAnsi="Calibri" w:cs="Calibri"/>
          <w:sz w:val="20"/>
        </w:rPr>
        <w:t>ý vývoj v průběhu roku</w:t>
      </w:r>
      <w:r w:rsidR="004D77F2">
        <w:rPr>
          <w:rFonts w:ascii="Calibri" w:hAnsi="Calibri" w:cs="Calibri"/>
          <w:sz w:val="20"/>
        </w:rPr>
        <w:t xml:space="preserve"> se</w:t>
      </w:r>
      <w:r w:rsidR="001A6522">
        <w:rPr>
          <w:rFonts w:ascii="Calibri" w:hAnsi="Calibri" w:cs="Calibri"/>
          <w:sz w:val="20"/>
        </w:rPr>
        <w:t xml:space="preserve"> </w:t>
      </w:r>
      <w:r w:rsidR="004D77F2">
        <w:rPr>
          <w:rFonts w:ascii="Calibri" w:hAnsi="Calibri" w:cs="Calibri"/>
          <w:sz w:val="20"/>
        </w:rPr>
        <w:t>vzájemně vykompenzoval a celkový odhad růstu pro letošní rok tak setrv</w:t>
      </w:r>
      <w:r w:rsidR="001A6522">
        <w:rPr>
          <w:rFonts w:ascii="Calibri" w:hAnsi="Calibri" w:cs="Calibri"/>
          <w:sz w:val="20"/>
        </w:rPr>
        <w:t>ává</w:t>
      </w:r>
      <w:r w:rsidR="004D77F2">
        <w:rPr>
          <w:rFonts w:ascii="Calibri" w:hAnsi="Calibri" w:cs="Calibri"/>
          <w:sz w:val="20"/>
        </w:rPr>
        <w:t xml:space="preserve"> u 1 %. </w:t>
      </w:r>
      <w:r w:rsidR="00DD2480">
        <w:rPr>
          <w:rFonts w:ascii="Calibri" w:hAnsi="Calibri" w:cs="Calibri"/>
          <w:sz w:val="20"/>
        </w:rPr>
        <w:t xml:space="preserve"> </w:t>
      </w:r>
      <w:r w:rsidR="00F201D6" w:rsidRPr="00FC11E3">
        <w:rPr>
          <w:rFonts w:ascii="Calibri" w:hAnsi="Calibri" w:cs="Calibri"/>
          <w:sz w:val="20"/>
        </w:rPr>
        <w:t xml:space="preserve">Prognóza očekává, že mezičtvrtletní tempo růstu </w:t>
      </w:r>
      <w:r w:rsidR="001A6522">
        <w:rPr>
          <w:rFonts w:ascii="Calibri" w:hAnsi="Calibri" w:cs="Calibri"/>
          <w:sz w:val="20"/>
        </w:rPr>
        <w:t>se v závěru roku zvýší na 0,5 % a v příštím roce se bude v průměru pohybovat kolem 0,6 %. Nenaplnění tohoto předpokladu by vedlo k dalším</w:t>
      </w:r>
      <w:r w:rsidR="00276138">
        <w:rPr>
          <w:rFonts w:ascii="Calibri" w:hAnsi="Calibri" w:cs="Calibri"/>
          <w:sz w:val="20"/>
        </w:rPr>
        <w:t>u</w:t>
      </w:r>
      <w:r w:rsidR="001A6522">
        <w:rPr>
          <w:rFonts w:ascii="Calibri" w:hAnsi="Calibri" w:cs="Calibri"/>
          <w:sz w:val="20"/>
        </w:rPr>
        <w:t xml:space="preserve"> snižování odhadu růstu pro příští rok směrem ke 2 % či mírně pod. </w:t>
      </w:r>
      <w:r w:rsidR="00F201D6" w:rsidRPr="00FC11E3">
        <w:rPr>
          <w:rFonts w:ascii="Calibri" w:hAnsi="Calibri" w:cs="Calibri"/>
          <w:sz w:val="20"/>
        </w:rPr>
        <w:t xml:space="preserve">Nadále </w:t>
      </w:r>
      <w:r w:rsidR="001A6522">
        <w:rPr>
          <w:rFonts w:ascii="Calibri" w:hAnsi="Calibri" w:cs="Calibri"/>
          <w:sz w:val="20"/>
        </w:rPr>
        <w:t xml:space="preserve">tak </w:t>
      </w:r>
      <w:r w:rsidR="00F201D6" w:rsidRPr="00FC11E3">
        <w:rPr>
          <w:rFonts w:ascii="Calibri" w:hAnsi="Calibri" w:cs="Calibri"/>
          <w:sz w:val="20"/>
        </w:rPr>
        <w:t xml:space="preserve">platí, že </w:t>
      </w:r>
      <w:r w:rsidR="001A6522">
        <w:rPr>
          <w:rFonts w:ascii="Calibri" w:hAnsi="Calibri" w:cs="Calibri"/>
          <w:sz w:val="20"/>
        </w:rPr>
        <w:t xml:space="preserve">očekávané </w:t>
      </w:r>
      <w:r w:rsidR="00F201D6" w:rsidRPr="00FC11E3">
        <w:rPr>
          <w:rFonts w:ascii="Calibri" w:hAnsi="Calibri" w:cs="Calibri"/>
          <w:sz w:val="20"/>
        </w:rPr>
        <w:t xml:space="preserve">oživování </w:t>
      </w:r>
      <w:r w:rsidR="001A6522">
        <w:rPr>
          <w:rFonts w:ascii="Calibri" w:hAnsi="Calibri" w:cs="Calibri"/>
          <w:sz w:val="20"/>
        </w:rPr>
        <w:t xml:space="preserve">tuzemské ekonomiky </w:t>
      </w:r>
      <w:r w:rsidR="00F201D6" w:rsidRPr="00FC11E3">
        <w:rPr>
          <w:rFonts w:ascii="Calibri" w:hAnsi="Calibri" w:cs="Calibri"/>
          <w:sz w:val="20"/>
        </w:rPr>
        <w:t>bude relativně pomalé</w:t>
      </w:r>
      <w:r w:rsidR="003A714E">
        <w:rPr>
          <w:rFonts w:ascii="Calibri" w:hAnsi="Calibri" w:cs="Calibri"/>
          <w:sz w:val="20"/>
        </w:rPr>
        <w:t xml:space="preserve"> a zatížené řadou rizik.</w:t>
      </w:r>
    </w:p>
    <w:p w14:paraId="3BD2EE7A" w14:textId="7A7F7ADE" w:rsidR="002A2CD8" w:rsidRDefault="002A2CD8" w:rsidP="00AB39A4">
      <w:pPr>
        <w:rPr>
          <w:rFonts w:ascii="Calibri" w:hAnsi="Calibri" w:cs="Calibri"/>
          <w:sz w:val="20"/>
        </w:rPr>
      </w:pPr>
    </w:p>
    <w:p w14:paraId="036F9B5F" w14:textId="20C377D1" w:rsidR="00092245" w:rsidRDefault="00AB342B" w:rsidP="00410C72">
      <w:pPr>
        <w:rPr>
          <w:rFonts w:ascii="Calibri" w:hAnsi="Calibri" w:cs="Calibri"/>
          <w:sz w:val="20"/>
        </w:rPr>
      </w:pPr>
      <w:r w:rsidRPr="00906FDC">
        <w:rPr>
          <w:rFonts w:ascii="Calibri" w:hAnsi="Calibri" w:cs="Calibri"/>
          <w:b/>
          <w:bCs/>
          <w:sz w:val="20"/>
        </w:rPr>
        <w:t xml:space="preserve">Prognóza </w:t>
      </w:r>
      <w:r w:rsidR="00FF1D71" w:rsidRPr="00906FDC">
        <w:rPr>
          <w:rFonts w:ascii="Calibri" w:hAnsi="Calibri" w:cs="Calibri"/>
          <w:b/>
          <w:bCs/>
          <w:sz w:val="20"/>
        </w:rPr>
        <w:t>předpokládá</w:t>
      </w:r>
      <w:r w:rsidR="00135CD7">
        <w:rPr>
          <w:rFonts w:ascii="Calibri" w:hAnsi="Calibri" w:cs="Calibri"/>
          <w:b/>
          <w:bCs/>
          <w:sz w:val="20"/>
        </w:rPr>
        <w:t>, že růst ekonomiky bude tažen zejména domácí poptávkou</w:t>
      </w:r>
      <w:r w:rsidR="002178D0">
        <w:rPr>
          <w:rFonts w:ascii="Calibri" w:hAnsi="Calibri" w:cs="Calibri"/>
          <w:b/>
          <w:bCs/>
          <w:sz w:val="20"/>
        </w:rPr>
        <w:t xml:space="preserve"> vzhledem k obnovenému růstu reálných mezd.</w:t>
      </w:r>
      <w:r w:rsidR="00135CD7">
        <w:rPr>
          <w:rFonts w:ascii="Calibri" w:hAnsi="Calibri" w:cs="Calibri"/>
          <w:b/>
          <w:bCs/>
          <w:sz w:val="20"/>
        </w:rPr>
        <w:t xml:space="preserve"> </w:t>
      </w:r>
      <w:r w:rsidR="00135CD7" w:rsidRPr="0033718B">
        <w:rPr>
          <w:rFonts w:ascii="Calibri" w:hAnsi="Calibri" w:cs="Calibri"/>
          <w:sz w:val="20"/>
        </w:rPr>
        <w:t xml:space="preserve">Spotřeba domácností </w:t>
      </w:r>
      <w:r w:rsidR="003A714E" w:rsidRPr="0033718B">
        <w:rPr>
          <w:rFonts w:ascii="Calibri" w:hAnsi="Calibri" w:cs="Calibri"/>
          <w:sz w:val="20"/>
        </w:rPr>
        <w:t>zač</w:t>
      </w:r>
      <w:r w:rsidR="00276138">
        <w:rPr>
          <w:rFonts w:ascii="Calibri" w:hAnsi="Calibri" w:cs="Calibri"/>
          <w:sz w:val="20"/>
        </w:rPr>
        <w:t>ala</w:t>
      </w:r>
      <w:r w:rsidR="003A714E" w:rsidRPr="0033718B">
        <w:rPr>
          <w:rFonts w:ascii="Calibri" w:hAnsi="Calibri" w:cs="Calibri"/>
          <w:sz w:val="20"/>
        </w:rPr>
        <w:t xml:space="preserve"> </w:t>
      </w:r>
      <w:r w:rsidR="00135CD7" w:rsidRPr="0033718B">
        <w:rPr>
          <w:rFonts w:ascii="Calibri" w:hAnsi="Calibri" w:cs="Calibri"/>
          <w:sz w:val="20"/>
        </w:rPr>
        <w:t xml:space="preserve">po poklesu v předešlých dvou letech opět růst, </w:t>
      </w:r>
      <w:r w:rsidR="00276138">
        <w:rPr>
          <w:rFonts w:ascii="Calibri" w:hAnsi="Calibri" w:cs="Calibri"/>
          <w:sz w:val="20"/>
        </w:rPr>
        <w:t xml:space="preserve">za celý </w:t>
      </w:r>
      <w:r w:rsidR="002A2CD8" w:rsidRPr="0033718B">
        <w:rPr>
          <w:rFonts w:ascii="Calibri" w:hAnsi="Calibri" w:cs="Calibri"/>
          <w:sz w:val="20"/>
        </w:rPr>
        <w:t>leto</w:t>
      </w:r>
      <w:r w:rsidR="00276138">
        <w:rPr>
          <w:rFonts w:ascii="Calibri" w:hAnsi="Calibri" w:cs="Calibri"/>
          <w:sz w:val="20"/>
        </w:rPr>
        <w:t>šek předpokládáme</w:t>
      </w:r>
      <w:r w:rsidR="00135CD7" w:rsidRPr="0033718B">
        <w:rPr>
          <w:rFonts w:ascii="Calibri" w:hAnsi="Calibri" w:cs="Calibri"/>
          <w:sz w:val="20"/>
        </w:rPr>
        <w:t xml:space="preserve"> o </w:t>
      </w:r>
      <w:r w:rsidR="0033718B" w:rsidRPr="0033718B">
        <w:rPr>
          <w:rFonts w:ascii="Calibri" w:hAnsi="Calibri" w:cs="Calibri"/>
          <w:sz w:val="20"/>
        </w:rPr>
        <w:t>1,8</w:t>
      </w:r>
      <w:r w:rsidR="006C4E14" w:rsidRPr="0033718B">
        <w:rPr>
          <w:rFonts w:ascii="Calibri" w:hAnsi="Calibri" w:cs="Calibri"/>
          <w:sz w:val="20"/>
        </w:rPr>
        <w:t xml:space="preserve"> %</w:t>
      </w:r>
      <w:r w:rsidR="0033718B" w:rsidRPr="0033718B">
        <w:rPr>
          <w:rFonts w:ascii="Calibri" w:hAnsi="Calibri" w:cs="Calibri"/>
          <w:sz w:val="20"/>
        </w:rPr>
        <w:t xml:space="preserve"> a </w:t>
      </w:r>
      <w:r w:rsidR="0033718B">
        <w:rPr>
          <w:rFonts w:ascii="Calibri" w:hAnsi="Calibri" w:cs="Calibri"/>
          <w:sz w:val="20"/>
        </w:rPr>
        <w:t xml:space="preserve">v příštím roce o necelá 3 %. V obou případech jde o nepatrně slabší dynamiku, </w:t>
      </w:r>
      <w:r w:rsidR="006C4E14">
        <w:rPr>
          <w:rFonts w:ascii="Calibri" w:hAnsi="Calibri" w:cs="Calibri"/>
          <w:sz w:val="20"/>
        </w:rPr>
        <w:t>než</w:t>
      </w:r>
      <w:r w:rsidR="007201F3">
        <w:rPr>
          <w:rFonts w:ascii="Calibri" w:hAnsi="Calibri" w:cs="Calibri"/>
          <w:sz w:val="20"/>
        </w:rPr>
        <w:t xml:space="preserve"> </w:t>
      </w:r>
      <w:r w:rsidR="00135CD7">
        <w:rPr>
          <w:rFonts w:ascii="Calibri" w:hAnsi="Calibri" w:cs="Calibri"/>
          <w:sz w:val="20"/>
        </w:rPr>
        <w:t xml:space="preserve">očekávala předešlá prognóza, </w:t>
      </w:r>
      <w:r w:rsidR="0033718B">
        <w:rPr>
          <w:rFonts w:ascii="Calibri" w:hAnsi="Calibri" w:cs="Calibri"/>
          <w:sz w:val="20"/>
        </w:rPr>
        <w:t>což je dáno pomalejším rozjezdem</w:t>
      </w:r>
      <w:r w:rsidR="003A714E">
        <w:rPr>
          <w:rFonts w:ascii="Calibri" w:hAnsi="Calibri" w:cs="Calibri"/>
          <w:sz w:val="20"/>
        </w:rPr>
        <w:t xml:space="preserve"> útrat domácností</w:t>
      </w:r>
      <w:r w:rsidR="0033718B">
        <w:rPr>
          <w:rFonts w:ascii="Calibri" w:hAnsi="Calibri" w:cs="Calibri"/>
          <w:sz w:val="20"/>
        </w:rPr>
        <w:t xml:space="preserve"> v letošním roce a nadále vyšší mírou úspor</w:t>
      </w:r>
      <w:r w:rsidR="00391C6F">
        <w:rPr>
          <w:rFonts w:ascii="Calibri" w:hAnsi="Calibri" w:cs="Calibri"/>
          <w:sz w:val="20"/>
        </w:rPr>
        <w:t xml:space="preserve"> v kontextu slabší důvěry a nejistot budoucího ekonomického vývoje</w:t>
      </w:r>
      <w:r w:rsidR="0033718B">
        <w:rPr>
          <w:rFonts w:ascii="Calibri" w:hAnsi="Calibri" w:cs="Calibri"/>
          <w:sz w:val="20"/>
        </w:rPr>
        <w:t xml:space="preserve">. </w:t>
      </w:r>
      <w:r w:rsidR="006C4E14">
        <w:rPr>
          <w:rFonts w:ascii="Calibri" w:hAnsi="Calibri" w:cs="Calibri"/>
          <w:sz w:val="20"/>
        </w:rPr>
        <w:t xml:space="preserve">Maloobchodní tržby bez </w:t>
      </w:r>
      <w:r w:rsidR="00D318CA">
        <w:rPr>
          <w:rFonts w:ascii="Calibri" w:hAnsi="Calibri" w:cs="Calibri"/>
          <w:sz w:val="20"/>
        </w:rPr>
        <w:t xml:space="preserve">prodejů </w:t>
      </w:r>
      <w:r w:rsidR="006C4E14">
        <w:rPr>
          <w:rFonts w:ascii="Calibri" w:hAnsi="Calibri" w:cs="Calibri"/>
          <w:sz w:val="20"/>
        </w:rPr>
        <w:t xml:space="preserve">automobilů </w:t>
      </w:r>
      <w:r w:rsidR="0033718B">
        <w:rPr>
          <w:rFonts w:ascii="Calibri" w:hAnsi="Calibri" w:cs="Calibri"/>
          <w:sz w:val="20"/>
        </w:rPr>
        <w:t xml:space="preserve">v meziročním pohledu rostou již přes 5 %, </w:t>
      </w:r>
      <w:r w:rsidR="0033718B">
        <w:rPr>
          <w:rFonts w:ascii="Calibri" w:hAnsi="Calibri" w:cs="Calibri"/>
          <w:sz w:val="20"/>
        </w:rPr>
        <w:lastRenderedPageBreak/>
        <w:t>celkově se však reálné tržby nachází stále pod průměrnou úrovn</w:t>
      </w:r>
      <w:r w:rsidR="00E9791F">
        <w:rPr>
          <w:rFonts w:ascii="Calibri" w:hAnsi="Calibri" w:cs="Calibri"/>
          <w:sz w:val="20"/>
        </w:rPr>
        <w:t>í</w:t>
      </w:r>
      <w:r w:rsidR="0033718B">
        <w:rPr>
          <w:rFonts w:ascii="Calibri" w:hAnsi="Calibri" w:cs="Calibri"/>
          <w:sz w:val="20"/>
        </w:rPr>
        <w:t xml:space="preserve"> roku 2019 a pouze u nepotravinářského zboží jsou o 7 % vyšší. </w:t>
      </w:r>
      <w:r w:rsidR="00135CD7">
        <w:rPr>
          <w:rFonts w:ascii="Calibri" w:hAnsi="Calibri" w:cs="Calibri"/>
          <w:sz w:val="20"/>
        </w:rPr>
        <w:t xml:space="preserve">Vládní spotřeba by měla </w:t>
      </w:r>
      <w:r w:rsidR="00087711">
        <w:rPr>
          <w:rFonts w:ascii="Calibri" w:hAnsi="Calibri" w:cs="Calibri"/>
          <w:sz w:val="20"/>
        </w:rPr>
        <w:t xml:space="preserve">letos </w:t>
      </w:r>
      <w:r w:rsidR="00135CD7">
        <w:rPr>
          <w:rFonts w:ascii="Calibri" w:hAnsi="Calibri" w:cs="Calibri"/>
          <w:sz w:val="20"/>
        </w:rPr>
        <w:t>růst</w:t>
      </w:r>
      <w:r w:rsidR="006C4E14">
        <w:rPr>
          <w:rFonts w:ascii="Calibri" w:hAnsi="Calibri" w:cs="Calibri"/>
          <w:sz w:val="20"/>
        </w:rPr>
        <w:t xml:space="preserve"> </w:t>
      </w:r>
      <w:r w:rsidR="00391C6F">
        <w:rPr>
          <w:rFonts w:ascii="Calibri" w:hAnsi="Calibri" w:cs="Calibri"/>
          <w:sz w:val="20"/>
        </w:rPr>
        <w:t>přes</w:t>
      </w:r>
      <w:r w:rsidR="006C4E14">
        <w:rPr>
          <w:rFonts w:ascii="Calibri" w:hAnsi="Calibri" w:cs="Calibri"/>
          <w:sz w:val="20"/>
        </w:rPr>
        <w:t xml:space="preserve"> 3</w:t>
      </w:r>
      <w:r w:rsidR="000B1869">
        <w:rPr>
          <w:rFonts w:ascii="Calibri" w:hAnsi="Calibri" w:cs="Calibri"/>
          <w:sz w:val="20"/>
        </w:rPr>
        <w:t> </w:t>
      </w:r>
      <w:r w:rsidR="006C4E14">
        <w:rPr>
          <w:rFonts w:ascii="Calibri" w:hAnsi="Calibri" w:cs="Calibri"/>
          <w:sz w:val="20"/>
        </w:rPr>
        <w:t>%, zde došlo k </w:t>
      </w:r>
      <w:r w:rsidR="00334D1C">
        <w:rPr>
          <w:rFonts w:ascii="Calibri" w:hAnsi="Calibri" w:cs="Calibri"/>
          <w:sz w:val="20"/>
        </w:rPr>
        <w:t>navýšení</w:t>
      </w:r>
      <w:r w:rsidR="006C4E14">
        <w:rPr>
          <w:rFonts w:ascii="Calibri" w:hAnsi="Calibri" w:cs="Calibri"/>
          <w:sz w:val="20"/>
        </w:rPr>
        <w:t xml:space="preserve"> odhadu oproti předešlé prognóze z titulu </w:t>
      </w:r>
      <w:r w:rsidR="00391C6F">
        <w:rPr>
          <w:rFonts w:ascii="Calibri" w:hAnsi="Calibri" w:cs="Calibri"/>
          <w:sz w:val="20"/>
        </w:rPr>
        <w:t xml:space="preserve">silnějších </w:t>
      </w:r>
      <w:r w:rsidR="000B1869">
        <w:rPr>
          <w:rFonts w:ascii="Calibri" w:hAnsi="Calibri" w:cs="Calibri"/>
          <w:sz w:val="20"/>
        </w:rPr>
        <w:t xml:space="preserve">údajů za první </w:t>
      </w:r>
      <w:r w:rsidR="00391C6F">
        <w:rPr>
          <w:rFonts w:ascii="Calibri" w:hAnsi="Calibri" w:cs="Calibri"/>
          <w:sz w:val="20"/>
        </w:rPr>
        <w:t xml:space="preserve">polovinu </w:t>
      </w:r>
      <w:r w:rsidR="000B1869">
        <w:rPr>
          <w:rFonts w:ascii="Calibri" w:hAnsi="Calibri" w:cs="Calibri"/>
          <w:sz w:val="20"/>
        </w:rPr>
        <w:t>letošního roku</w:t>
      </w:r>
      <w:r w:rsidR="00391C6F">
        <w:rPr>
          <w:rFonts w:ascii="Calibri" w:hAnsi="Calibri" w:cs="Calibri"/>
          <w:sz w:val="20"/>
        </w:rPr>
        <w:t xml:space="preserve"> a také dopadu zvýšených výdajů z titulu povodňových kompenzací.</w:t>
      </w:r>
      <w:r w:rsidR="000B1869">
        <w:rPr>
          <w:rFonts w:ascii="Calibri" w:hAnsi="Calibri" w:cs="Calibri"/>
          <w:sz w:val="20"/>
        </w:rPr>
        <w:t xml:space="preserve"> </w:t>
      </w:r>
      <w:r w:rsidR="00334D1C">
        <w:rPr>
          <w:rFonts w:ascii="Calibri" w:hAnsi="Calibri" w:cs="Calibri"/>
          <w:sz w:val="20"/>
        </w:rPr>
        <w:t xml:space="preserve">Investice budou letos </w:t>
      </w:r>
      <w:r w:rsidR="00391C6F">
        <w:rPr>
          <w:rFonts w:ascii="Calibri" w:hAnsi="Calibri" w:cs="Calibri"/>
          <w:sz w:val="20"/>
        </w:rPr>
        <w:t>růst jen mírně</w:t>
      </w:r>
      <w:r w:rsidR="00276138">
        <w:rPr>
          <w:rFonts w:ascii="Calibri" w:hAnsi="Calibri" w:cs="Calibri"/>
          <w:sz w:val="20"/>
        </w:rPr>
        <w:t xml:space="preserve"> (0,7 %)</w:t>
      </w:r>
      <w:r w:rsidR="00334D1C">
        <w:rPr>
          <w:rFonts w:ascii="Calibri" w:hAnsi="Calibri" w:cs="Calibri"/>
          <w:sz w:val="20"/>
        </w:rPr>
        <w:t xml:space="preserve">, jejich </w:t>
      </w:r>
      <w:r w:rsidR="003A714E">
        <w:rPr>
          <w:rFonts w:ascii="Calibri" w:hAnsi="Calibri" w:cs="Calibri"/>
          <w:sz w:val="20"/>
        </w:rPr>
        <w:t xml:space="preserve">slabý letošní vývoj </w:t>
      </w:r>
      <w:r w:rsidR="00334D1C">
        <w:rPr>
          <w:rFonts w:ascii="Calibri" w:hAnsi="Calibri" w:cs="Calibri"/>
          <w:sz w:val="20"/>
        </w:rPr>
        <w:t>bude spojen s cykl</w:t>
      </w:r>
      <w:r w:rsidR="006D0B66">
        <w:rPr>
          <w:rFonts w:ascii="Calibri" w:hAnsi="Calibri" w:cs="Calibri"/>
          <w:sz w:val="20"/>
        </w:rPr>
        <w:t>em</w:t>
      </w:r>
      <w:r w:rsidR="00334D1C">
        <w:rPr>
          <w:rFonts w:ascii="Calibri" w:hAnsi="Calibri" w:cs="Calibri"/>
          <w:sz w:val="20"/>
        </w:rPr>
        <w:t xml:space="preserve"> čerpání EU fondů</w:t>
      </w:r>
      <w:r w:rsidR="00D260F0">
        <w:rPr>
          <w:rFonts w:ascii="Calibri" w:hAnsi="Calibri" w:cs="Calibri"/>
          <w:sz w:val="20"/>
        </w:rPr>
        <w:t>, horším výhledem na ekonomiku</w:t>
      </w:r>
      <w:r w:rsidR="00334D1C">
        <w:rPr>
          <w:rFonts w:ascii="Calibri" w:hAnsi="Calibri" w:cs="Calibri"/>
          <w:sz w:val="20"/>
        </w:rPr>
        <w:t xml:space="preserve"> a také nižší ziskovostí firem. </w:t>
      </w:r>
      <w:r w:rsidR="00746400">
        <w:rPr>
          <w:rFonts w:ascii="Calibri" w:hAnsi="Calibri" w:cs="Calibri"/>
          <w:sz w:val="20"/>
        </w:rPr>
        <w:t>Zrychlit by pak měly až příští rok (2,6 %), což pak bude vytvářet patrně opět akumulaci zásob, které byly v předešlých letech výrazně rozkolísané.</w:t>
      </w:r>
      <w:r w:rsidR="002C1004">
        <w:rPr>
          <w:rFonts w:ascii="Calibri" w:hAnsi="Calibri" w:cs="Calibri"/>
          <w:sz w:val="20"/>
        </w:rPr>
        <w:t xml:space="preserve"> </w:t>
      </w:r>
      <w:r w:rsidR="006C4E14">
        <w:rPr>
          <w:rFonts w:ascii="Calibri" w:hAnsi="Calibri" w:cs="Calibri"/>
          <w:sz w:val="20"/>
        </w:rPr>
        <w:t>Vývoj zahraniční poptávky nepotvrdil očekávání robustnějšího oživení</w:t>
      </w:r>
      <w:r w:rsidR="00334D1C">
        <w:rPr>
          <w:rFonts w:ascii="Calibri" w:hAnsi="Calibri" w:cs="Calibri"/>
          <w:sz w:val="20"/>
        </w:rPr>
        <w:t xml:space="preserve"> z poslední prognózy, i</w:t>
      </w:r>
      <w:r w:rsidR="006C4E14">
        <w:rPr>
          <w:rFonts w:ascii="Calibri" w:hAnsi="Calibri" w:cs="Calibri"/>
          <w:sz w:val="20"/>
        </w:rPr>
        <w:t xml:space="preserve"> proto </w:t>
      </w:r>
      <w:r w:rsidR="00397E02">
        <w:rPr>
          <w:rFonts w:ascii="Calibri" w:hAnsi="Calibri" w:cs="Calibri"/>
          <w:sz w:val="20"/>
        </w:rPr>
        <w:t xml:space="preserve">byl </w:t>
      </w:r>
      <w:r w:rsidR="006C4E14">
        <w:rPr>
          <w:rFonts w:ascii="Calibri" w:hAnsi="Calibri" w:cs="Calibri"/>
          <w:sz w:val="20"/>
        </w:rPr>
        <w:t xml:space="preserve">vývoz pro letošní rok </w:t>
      </w:r>
      <w:r w:rsidR="00397E02">
        <w:rPr>
          <w:rFonts w:ascii="Calibri" w:hAnsi="Calibri" w:cs="Calibri"/>
          <w:sz w:val="20"/>
        </w:rPr>
        <w:t xml:space="preserve">revidován </w:t>
      </w:r>
      <w:r w:rsidR="006C4E14">
        <w:rPr>
          <w:rFonts w:ascii="Calibri" w:hAnsi="Calibri" w:cs="Calibri"/>
          <w:sz w:val="20"/>
        </w:rPr>
        <w:t>směrem ke slabším</w:t>
      </w:r>
      <w:r w:rsidR="003A714E">
        <w:rPr>
          <w:rFonts w:ascii="Calibri" w:hAnsi="Calibri" w:cs="Calibri"/>
          <w:sz w:val="20"/>
        </w:rPr>
        <w:t xml:space="preserve"> hodnotám.</w:t>
      </w:r>
      <w:r w:rsidR="008F621B">
        <w:rPr>
          <w:rFonts w:ascii="Calibri" w:hAnsi="Calibri" w:cs="Calibri"/>
          <w:sz w:val="20"/>
        </w:rPr>
        <w:t xml:space="preserve"> </w:t>
      </w:r>
    </w:p>
    <w:p w14:paraId="65A54C45" w14:textId="158BFC9E" w:rsidR="002B1A4A" w:rsidRPr="002C1004" w:rsidRDefault="00C900FE" w:rsidP="00635DD9">
      <w:pPr>
        <w:spacing w:before="80"/>
        <w:rPr>
          <w:rFonts w:ascii="Calibri" w:hAnsi="Calibri" w:cs="Calibri"/>
          <w:b/>
          <w:color w:val="13576B"/>
          <w:sz w:val="22"/>
          <w:szCs w:val="22"/>
        </w:rPr>
      </w:pPr>
      <w:r w:rsidRPr="002C1004">
        <w:rPr>
          <w:rFonts w:ascii="Calibri" w:hAnsi="Calibri" w:cs="Calibri"/>
          <w:b/>
          <w:color w:val="13576B"/>
          <w:sz w:val="22"/>
          <w:szCs w:val="22"/>
        </w:rPr>
        <w:t xml:space="preserve">Trh práce </w:t>
      </w:r>
      <w:r w:rsidR="00504A5F">
        <w:rPr>
          <w:rFonts w:ascii="Calibri" w:hAnsi="Calibri" w:cs="Calibri"/>
          <w:b/>
          <w:color w:val="13576B"/>
          <w:sz w:val="22"/>
          <w:szCs w:val="22"/>
        </w:rPr>
        <w:t xml:space="preserve">začíná mírně ochlazovat, </w:t>
      </w:r>
      <w:r w:rsidRPr="002C1004">
        <w:rPr>
          <w:rFonts w:ascii="Calibri" w:hAnsi="Calibri" w:cs="Calibri"/>
          <w:b/>
          <w:color w:val="13576B"/>
          <w:sz w:val="22"/>
          <w:szCs w:val="22"/>
        </w:rPr>
        <w:t xml:space="preserve">podíl nezaměstnaných osob se </w:t>
      </w:r>
      <w:r w:rsidR="00504A5F">
        <w:rPr>
          <w:rFonts w:ascii="Calibri" w:hAnsi="Calibri" w:cs="Calibri"/>
          <w:b/>
          <w:color w:val="13576B"/>
          <w:sz w:val="22"/>
          <w:szCs w:val="22"/>
        </w:rPr>
        <w:t xml:space="preserve">však </w:t>
      </w:r>
      <w:r w:rsidRPr="002C1004">
        <w:rPr>
          <w:rFonts w:ascii="Calibri" w:hAnsi="Calibri" w:cs="Calibri"/>
          <w:b/>
          <w:color w:val="13576B"/>
          <w:sz w:val="22"/>
          <w:szCs w:val="22"/>
        </w:rPr>
        <w:t>letos</w:t>
      </w:r>
      <w:r w:rsidR="0070077F" w:rsidRPr="002C1004">
        <w:rPr>
          <w:rFonts w:ascii="Calibri" w:hAnsi="Calibri" w:cs="Calibri"/>
          <w:b/>
          <w:color w:val="13576B"/>
          <w:sz w:val="22"/>
          <w:szCs w:val="22"/>
        </w:rPr>
        <w:t xml:space="preserve"> zvýší</w:t>
      </w:r>
      <w:r w:rsidRPr="002C1004">
        <w:rPr>
          <w:rFonts w:ascii="Calibri" w:hAnsi="Calibri" w:cs="Calibri"/>
          <w:b/>
          <w:color w:val="13576B"/>
          <w:sz w:val="22"/>
          <w:szCs w:val="22"/>
        </w:rPr>
        <w:t xml:space="preserve"> jen </w:t>
      </w:r>
      <w:r w:rsidR="00504A5F">
        <w:rPr>
          <w:rFonts w:ascii="Calibri" w:hAnsi="Calibri" w:cs="Calibri"/>
          <w:b/>
          <w:color w:val="13576B"/>
          <w:sz w:val="22"/>
          <w:szCs w:val="22"/>
        </w:rPr>
        <w:t>mírně</w:t>
      </w:r>
    </w:p>
    <w:p w14:paraId="7E15E8ED" w14:textId="56578414" w:rsidR="00CA69A8" w:rsidRDefault="009A7905" w:rsidP="00B4285D">
      <w:pPr>
        <w:rPr>
          <w:rFonts w:ascii="Calibri" w:hAnsi="Calibri" w:cs="Calibri"/>
          <w:sz w:val="20"/>
        </w:rPr>
      </w:pPr>
      <w:r w:rsidRPr="002C1004">
        <w:rPr>
          <w:rFonts w:ascii="Calibri" w:hAnsi="Calibri" w:cs="Calibri"/>
          <w:sz w:val="20"/>
        </w:rPr>
        <w:t xml:space="preserve">Tuzemský trh </w:t>
      </w:r>
      <w:r w:rsidR="00B20BCD" w:rsidRPr="002C1004">
        <w:rPr>
          <w:rFonts w:ascii="Calibri" w:hAnsi="Calibri" w:cs="Calibri"/>
          <w:sz w:val="20"/>
        </w:rPr>
        <w:t xml:space="preserve">práce </w:t>
      </w:r>
      <w:r w:rsidRPr="002C1004">
        <w:rPr>
          <w:rFonts w:ascii="Calibri" w:hAnsi="Calibri" w:cs="Calibri"/>
          <w:sz w:val="20"/>
        </w:rPr>
        <w:t xml:space="preserve">zůstává </w:t>
      </w:r>
      <w:r w:rsidR="00B20BCD" w:rsidRPr="002C1004">
        <w:rPr>
          <w:rFonts w:ascii="Calibri" w:hAnsi="Calibri" w:cs="Calibri"/>
          <w:sz w:val="20"/>
        </w:rPr>
        <w:t xml:space="preserve">nadále </w:t>
      </w:r>
      <w:r w:rsidR="00504A5F">
        <w:rPr>
          <w:rFonts w:ascii="Calibri" w:hAnsi="Calibri" w:cs="Calibri"/>
          <w:sz w:val="20"/>
        </w:rPr>
        <w:t xml:space="preserve">v kontextu ekonomického vývoje </w:t>
      </w:r>
      <w:r w:rsidR="007D4984">
        <w:rPr>
          <w:rFonts w:ascii="Calibri" w:hAnsi="Calibri" w:cs="Calibri"/>
          <w:sz w:val="20"/>
        </w:rPr>
        <w:t>napjatý,</w:t>
      </w:r>
      <w:r w:rsidR="007366FE" w:rsidRPr="002C1004">
        <w:rPr>
          <w:rFonts w:ascii="Calibri" w:hAnsi="Calibri" w:cs="Calibri"/>
          <w:sz w:val="20"/>
        </w:rPr>
        <w:t xml:space="preserve"> </w:t>
      </w:r>
      <w:r w:rsidR="00B20BCD" w:rsidRPr="002C1004">
        <w:rPr>
          <w:rFonts w:ascii="Calibri" w:hAnsi="Calibri" w:cs="Calibri"/>
          <w:sz w:val="20"/>
        </w:rPr>
        <w:t xml:space="preserve">míra nezaměstnanosti </w:t>
      </w:r>
      <w:r w:rsidRPr="002C1004">
        <w:rPr>
          <w:rFonts w:ascii="Calibri" w:hAnsi="Calibri" w:cs="Calibri"/>
          <w:sz w:val="20"/>
        </w:rPr>
        <w:t xml:space="preserve">je </w:t>
      </w:r>
      <w:r w:rsidR="00B20BCD" w:rsidRPr="002C1004">
        <w:rPr>
          <w:rFonts w:ascii="Calibri" w:hAnsi="Calibri" w:cs="Calibri"/>
          <w:sz w:val="20"/>
        </w:rPr>
        <w:t xml:space="preserve">nejnižší v zemích EU. </w:t>
      </w:r>
      <w:r w:rsidRPr="002C1004">
        <w:rPr>
          <w:rFonts w:ascii="Calibri" w:hAnsi="Calibri" w:cs="Calibri"/>
          <w:sz w:val="20"/>
        </w:rPr>
        <w:t>Celkový podíl nezaměstnaných osob v</w:t>
      </w:r>
      <w:r w:rsidR="007D4984">
        <w:rPr>
          <w:rFonts w:ascii="Calibri" w:hAnsi="Calibri" w:cs="Calibri"/>
          <w:sz w:val="20"/>
        </w:rPr>
        <w:t xml:space="preserve"> průměru za </w:t>
      </w:r>
      <w:r w:rsidRPr="002C1004">
        <w:rPr>
          <w:rFonts w:ascii="Calibri" w:hAnsi="Calibri" w:cs="Calibri"/>
          <w:sz w:val="20"/>
        </w:rPr>
        <w:t>ro</w:t>
      </w:r>
      <w:r w:rsidR="007D4984">
        <w:rPr>
          <w:rFonts w:ascii="Calibri" w:hAnsi="Calibri" w:cs="Calibri"/>
          <w:sz w:val="20"/>
        </w:rPr>
        <w:t>k</w:t>
      </w:r>
      <w:r w:rsidRPr="002C1004">
        <w:rPr>
          <w:rFonts w:ascii="Calibri" w:hAnsi="Calibri" w:cs="Calibri"/>
          <w:sz w:val="20"/>
        </w:rPr>
        <w:t xml:space="preserve"> 202</w:t>
      </w:r>
      <w:r w:rsidR="003B48EF" w:rsidRPr="002C1004">
        <w:rPr>
          <w:rFonts w:ascii="Calibri" w:hAnsi="Calibri" w:cs="Calibri"/>
          <w:sz w:val="20"/>
        </w:rPr>
        <w:t>3 dosáh</w:t>
      </w:r>
      <w:r w:rsidR="00CE5236" w:rsidRPr="002C1004">
        <w:rPr>
          <w:rFonts w:ascii="Calibri" w:hAnsi="Calibri" w:cs="Calibri"/>
          <w:sz w:val="20"/>
        </w:rPr>
        <w:t>l</w:t>
      </w:r>
      <w:r w:rsidR="003B48EF" w:rsidRPr="002C1004">
        <w:rPr>
          <w:rFonts w:ascii="Calibri" w:hAnsi="Calibri" w:cs="Calibri"/>
          <w:sz w:val="20"/>
        </w:rPr>
        <w:t xml:space="preserve"> 3,6 %</w:t>
      </w:r>
      <w:r w:rsidR="00CE5236" w:rsidRPr="002C1004">
        <w:rPr>
          <w:rFonts w:ascii="Calibri" w:hAnsi="Calibri" w:cs="Calibri"/>
          <w:sz w:val="20"/>
        </w:rPr>
        <w:t xml:space="preserve"> a v </w:t>
      </w:r>
      <w:r w:rsidR="00CE5236" w:rsidRPr="001E667D">
        <w:rPr>
          <w:rFonts w:ascii="Calibri" w:hAnsi="Calibri" w:cs="Calibri"/>
          <w:sz w:val="20"/>
        </w:rPr>
        <w:t xml:space="preserve">letošním roce se očekává jen nepatrný růst </w:t>
      </w:r>
      <w:r w:rsidR="00C74E3F" w:rsidRPr="001E667D">
        <w:rPr>
          <w:rFonts w:ascii="Calibri" w:hAnsi="Calibri" w:cs="Calibri"/>
          <w:sz w:val="20"/>
        </w:rPr>
        <w:t>na 3,8</w:t>
      </w:r>
      <w:r w:rsidR="001E667D" w:rsidRPr="001E667D">
        <w:rPr>
          <w:rFonts w:ascii="Calibri" w:hAnsi="Calibri" w:cs="Calibri"/>
          <w:sz w:val="20"/>
        </w:rPr>
        <w:t> </w:t>
      </w:r>
      <w:r w:rsidR="00C74E3F" w:rsidRPr="001E667D">
        <w:rPr>
          <w:rFonts w:ascii="Calibri" w:hAnsi="Calibri" w:cs="Calibri"/>
          <w:sz w:val="20"/>
        </w:rPr>
        <w:t>%</w:t>
      </w:r>
      <w:r w:rsidR="00DC1121" w:rsidRPr="001E667D">
        <w:rPr>
          <w:rFonts w:ascii="Calibri" w:hAnsi="Calibri" w:cs="Calibri"/>
          <w:sz w:val="20"/>
        </w:rPr>
        <w:t xml:space="preserve"> a v příštím roce na 3,9 %</w:t>
      </w:r>
      <w:r w:rsidR="005E6125" w:rsidRPr="001E667D">
        <w:rPr>
          <w:rFonts w:ascii="Calibri" w:hAnsi="Calibri" w:cs="Calibri"/>
          <w:sz w:val="20"/>
        </w:rPr>
        <w:t>.</w:t>
      </w:r>
      <w:r w:rsidR="00C74E3F" w:rsidRPr="001E667D">
        <w:rPr>
          <w:rFonts w:ascii="Calibri" w:hAnsi="Calibri" w:cs="Calibri"/>
          <w:sz w:val="20"/>
        </w:rPr>
        <w:t xml:space="preserve"> To je však stále nižší hodnota, než </w:t>
      </w:r>
      <w:r w:rsidR="00676F20" w:rsidRPr="001E667D">
        <w:rPr>
          <w:rFonts w:ascii="Calibri" w:hAnsi="Calibri" w:cs="Calibri"/>
          <w:sz w:val="20"/>
        </w:rPr>
        <w:t xml:space="preserve">jsme pozorovali </w:t>
      </w:r>
      <w:r w:rsidR="00C74E3F" w:rsidRPr="001E667D">
        <w:rPr>
          <w:rFonts w:ascii="Calibri" w:hAnsi="Calibri" w:cs="Calibri"/>
          <w:sz w:val="20"/>
        </w:rPr>
        <w:t xml:space="preserve">v roce 2017, kdy </w:t>
      </w:r>
      <w:r w:rsidR="001E667D">
        <w:rPr>
          <w:rFonts w:ascii="Calibri" w:hAnsi="Calibri" w:cs="Calibri"/>
          <w:sz w:val="20"/>
        </w:rPr>
        <w:t xml:space="preserve">se </w:t>
      </w:r>
      <w:r w:rsidR="001E667D" w:rsidRPr="001E667D">
        <w:rPr>
          <w:rFonts w:ascii="Calibri" w:hAnsi="Calibri" w:cs="Calibri"/>
          <w:sz w:val="20"/>
        </w:rPr>
        <w:t xml:space="preserve">již na pracovním trhu začaly objevovat </w:t>
      </w:r>
      <w:r w:rsidR="00C74E3F" w:rsidRPr="001E667D">
        <w:rPr>
          <w:rFonts w:ascii="Calibri" w:hAnsi="Calibri" w:cs="Calibri"/>
          <w:sz w:val="20"/>
        </w:rPr>
        <w:t>známk</w:t>
      </w:r>
      <w:r w:rsidR="001E667D" w:rsidRPr="001E667D">
        <w:rPr>
          <w:rFonts w:ascii="Calibri" w:hAnsi="Calibri" w:cs="Calibri"/>
          <w:sz w:val="20"/>
        </w:rPr>
        <w:t>y</w:t>
      </w:r>
      <w:r w:rsidR="00C74E3F" w:rsidRPr="001E667D">
        <w:rPr>
          <w:rFonts w:ascii="Calibri" w:hAnsi="Calibri" w:cs="Calibri"/>
          <w:sz w:val="20"/>
        </w:rPr>
        <w:t xml:space="preserve"> přehřívání. </w:t>
      </w:r>
      <w:r w:rsidR="005E6125" w:rsidRPr="001E667D">
        <w:rPr>
          <w:rFonts w:ascii="Calibri" w:hAnsi="Calibri" w:cs="Calibri"/>
          <w:sz w:val="20"/>
        </w:rPr>
        <w:t>Tuzemský trh práce je sice nadále ve stavu, kdy řada zaměstnavatelů má problém najít vhodné zaměstnance, určité známky ochlazování v</w:t>
      </w:r>
      <w:r w:rsidR="00C53807" w:rsidRPr="001E667D">
        <w:rPr>
          <w:rFonts w:ascii="Calibri" w:hAnsi="Calibri" w:cs="Calibri"/>
          <w:sz w:val="20"/>
        </w:rPr>
        <w:t> </w:t>
      </w:r>
      <w:r w:rsidR="005E6125" w:rsidRPr="001E667D">
        <w:rPr>
          <w:rFonts w:ascii="Calibri" w:hAnsi="Calibri" w:cs="Calibri"/>
          <w:sz w:val="20"/>
        </w:rPr>
        <w:t>posledních</w:t>
      </w:r>
      <w:r w:rsidR="00C53807" w:rsidRPr="001E667D">
        <w:rPr>
          <w:rFonts w:ascii="Calibri" w:hAnsi="Calibri" w:cs="Calibri"/>
          <w:sz w:val="20"/>
        </w:rPr>
        <w:t xml:space="preserve"> </w:t>
      </w:r>
      <w:r w:rsidR="002D48F8" w:rsidRPr="001E667D">
        <w:rPr>
          <w:rFonts w:ascii="Calibri" w:hAnsi="Calibri" w:cs="Calibri"/>
          <w:sz w:val="20"/>
        </w:rPr>
        <w:t>několika</w:t>
      </w:r>
      <w:r w:rsidR="005E6125" w:rsidRPr="001E667D">
        <w:rPr>
          <w:rFonts w:ascii="Calibri" w:hAnsi="Calibri" w:cs="Calibri"/>
          <w:sz w:val="20"/>
        </w:rPr>
        <w:t xml:space="preserve"> čtvrtletích </w:t>
      </w:r>
      <w:r w:rsidR="003A714E" w:rsidRPr="001E667D">
        <w:rPr>
          <w:rFonts w:ascii="Calibri" w:hAnsi="Calibri" w:cs="Calibri"/>
          <w:sz w:val="20"/>
        </w:rPr>
        <w:t xml:space="preserve">ovšem </w:t>
      </w:r>
      <w:r w:rsidR="005E6125" w:rsidRPr="001E667D">
        <w:rPr>
          <w:rFonts w:ascii="Calibri" w:hAnsi="Calibri" w:cs="Calibri"/>
          <w:sz w:val="20"/>
        </w:rPr>
        <w:t>patrné j</w:t>
      </w:r>
      <w:r w:rsidR="00796120" w:rsidRPr="001E667D">
        <w:rPr>
          <w:rFonts w:ascii="Calibri" w:hAnsi="Calibri" w:cs="Calibri"/>
          <w:sz w:val="20"/>
        </w:rPr>
        <w:t>sou</w:t>
      </w:r>
      <w:r w:rsidR="002D48F8" w:rsidRPr="001E667D">
        <w:rPr>
          <w:rFonts w:ascii="Calibri" w:hAnsi="Calibri" w:cs="Calibri"/>
          <w:sz w:val="20"/>
        </w:rPr>
        <w:t xml:space="preserve"> a obecná</w:t>
      </w:r>
      <w:r w:rsidR="002D48F8">
        <w:rPr>
          <w:rFonts w:ascii="Calibri" w:hAnsi="Calibri" w:cs="Calibri"/>
          <w:sz w:val="20"/>
        </w:rPr>
        <w:t xml:space="preserve"> míra nezaměstnanosti se v</w:t>
      </w:r>
      <w:r w:rsidR="003A5A57">
        <w:rPr>
          <w:rFonts w:ascii="Calibri" w:hAnsi="Calibri" w:cs="Calibri"/>
          <w:sz w:val="20"/>
        </w:rPr>
        <w:t xml:space="preserve"> září</w:t>
      </w:r>
      <w:r w:rsidR="002D48F8">
        <w:rPr>
          <w:rFonts w:ascii="Calibri" w:hAnsi="Calibri" w:cs="Calibri"/>
          <w:sz w:val="20"/>
        </w:rPr>
        <w:t xml:space="preserve"> nacházela </w:t>
      </w:r>
      <w:r w:rsidR="003A5A57">
        <w:rPr>
          <w:rFonts w:ascii="Calibri" w:hAnsi="Calibri" w:cs="Calibri"/>
          <w:sz w:val="20"/>
        </w:rPr>
        <w:t>na 2,9 %</w:t>
      </w:r>
      <w:r w:rsidR="00397E02">
        <w:rPr>
          <w:rFonts w:ascii="Calibri" w:hAnsi="Calibri" w:cs="Calibri"/>
          <w:sz w:val="20"/>
        </w:rPr>
        <w:t>,</w:t>
      </w:r>
      <w:r w:rsidR="002D48F8">
        <w:rPr>
          <w:rFonts w:ascii="Calibri" w:hAnsi="Calibri" w:cs="Calibri"/>
          <w:sz w:val="20"/>
        </w:rPr>
        <w:t xml:space="preserve"> tj. 0,</w:t>
      </w:r>
      <w:r w:rsidR="003A5A57">
        <w:rPr>
          <w:rFonts w:ascii="Calibri" w:hAnsi="Calibri" w:cs="Calibri"/>
          <w:sz w:val="20"/>
        </w:rPr>
        <w:t>2</w:t>
      </w:r>
      <w:r w:rsidR="002D48F8">
        <w:rPr>
          <w:rFonts w:ascii="Calibri" w:hAnsi="Calibri" w:cs="Calibri"/>
          <w:sz w:val="20"/>
        </w:rPr>
        <w:t xml:space="preserve"> </w:t>
      </w:r>
      <w:proofErr w:type="spellStart"/>
      <w:r w:rsidR="002D48F8">
        <w:rPr>
          <w:rFonts w:ascii="Calibri" w:hAnsi="Calibri" w:cs="Calibri"/>
          <w:sz w:val="20"/>
        </w:rPr>
        <w:t>p.b</w:t>
      </w:r>
      <w:proofErr w:type="spellEnd"/>
      <w:r w:rsidR="002D48F8">
        <w:rPr>
          <w:rFonts w:ascii="Calibri" w:hAnsi="Calibri" w:cs="Calibri"/>
          <w:sz w:val="20"/>
        </w:rPr>
        <w:t>. nad úrovní téhož období minulého roku</w:t>
      </w:r>
      <w:r w:rsidR="000E1460">
        <w:rPr>
          <w:rFonts w:ascii="Calibri" w:hAnsi="Calibri" w:cs="Calibri"/>
          <w:sz w:val="20"/>
        </w:rPr>
        <w:t xml:space="preserve">. Setrvale </w:t>
      </w:r>
      <w:r w:rsidR="003A5A57">
        <w:rPr>
          <w:rFonts w:ascii="Calibri" w:hAnsi="Calibri" w:cs="Calibri"/>
          <w:sz w:val="20"/>
        </w:rPr>
        <w:t xml:space="preserve">rostoucí trend má po sezónním očištění i podíl nezaměstnaných osob, který – ač mírně – </w:t>
      </w:r>
      <w:r w:rsidR="000E1460">
        <w:rPr>
          <w:rFonts w:ascii="Calibri" w:hAnsi="Calibri" w:cs="Calibri"/>
          <w:sz w:val="20"/>
        </w:rPr>
        <w:t>postupně</w:t>
      </w:r>
      <w:r w:rsidR="003A5A57">
        <w:rPr>
          <w:rFonts w:ascii="Calibri" w:hAnsi="Calibri" w:cs="Calibri"/>
          <w:sz w:val="20"/>
        </w:rPr>
        <w:t xml:space="preserve"> roste od konce minulého roku</w:t>
      </w:r>
      <w:r w:rsidR="001E667D">
        <w:rPr>
          <w:rFonts w:ascii="Calibri" w:hAnsi="Calibri" w:cs="Calibri"/>
          <w:sz w:val="20"/>
        </w:rPr>
        <w:t xml:space="preserve">, dle předběžných hodnot by však měl podíl nezaměstnaných osob v přespříštím roce opět mírně klesnout. </w:t>
      </w:r>
    </w:p>
    <w:p w14:paraId="72895A9E" w14:textId="51C5995C" w:rsidR="00CA69A8" w:rsidRDefault="00CA69A8" w:rsidP="00B4285D">
      <w:pPr>
        <w:rPr>
          <w:rFonts w:ascii="Calibri" w:hAnsi="Calibri" w:cs="Calibri"/>
          <w:sz w:val="20"/>
        </w:rPr>
      </w:pPr>
    </w:p>
    <w:p w14:paraId="1091B578" w14:textId="6BBEC554" w:rsidR="00D30A6F" w:rsidRDefault="0059682A" w:rsidP="00B4285D">
      <w:pPr>
        <w:rPr>
          <w:rFonts w:ascii="Calibri" w:hAnsi="Calibri" w:cs="Calibri"/>
          <w:sz w:val="20"/>
        </w:rPr>
      </w:pPr>
      <w:r w:rsidRPr="00FC11E3">
        <w:rPr>
          <w:b/>
          <w:bCs/>
          <w:noProof/>
          <w:sz w:val="20"/>
        </w:rPr>
        <mc:AlternateContent>
          <mc:Choice Requires="wps">
            <w:drawing>
              <wp:anchor distT="45720" distB="45720" distL="114300" distR="114300" simplePos="0" relativeHeight="251670528" behindDoc="0" locked="0" layoutInCell="1" allowOverlap="1" wp14:anchorId="55DB89FE" wp14:editId="09989D73">
                <wp:simplePos x="0" y="0"/>
                <wp:positionH relativeFrom="margin">
                  <wp:align>left</wp:align>
                </wp:positionH>
                <wp:positionV relativeFrom="paragraph">
                  <wp:posOffset>1013460</wp:posOffset>
                </wp:positionV>
                <wp:extent cx="6461760" cy="723265"/>
                <wp:effectExtent l="0" t="0" r="15240" b="1968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23265"/>
                        </a:xfrm>
                        <a:prstGeom prst="rect">
                          <a:avLst/>
                        </a:prstGeom>
                        <a:solidFill>
                          <a:srgbClr val="FFFFFF"/>
                        </a:solidFill>
                        <a:ln w="9525">
                          <a:solidFill>
                            <a:srgbClr val="000000"/>
                          </a:solidFill>
                          <a:miter lim="800000"/>
                          <a:headEnd/>
                          <a:tailEnd/>
                        </a:ln>
                      </wps:spPr>
                      <wps:txbx>
                        <w:txbxContent>
                          <w:p w14:paraId="07B64C8E" w14:textId="77777777" w:rsidR="0059682A" w:rsidRPr="00D41530" w:rsidRDefault="0059682A" w:rsidP="0059682A">
                            <w:pPr>
                              <w:rPr>
                                <w:rFonts w:ascii="Calibri" w:hAnsi="Calibri" w:cs="Calibri"/>
                                <w:b/>
                                <w:bCs/>
                                <w:sz w:val="20"/>
                              </w:rPr>
                            </w:pPr>
                            <w:r w:rsidRPr="00D41530">
                              <w:rPr>
                                <w:rFonts w:ascii="Calibri" w:hAnsi="Calibri" w:cs="Calibri"/>
                                <w:b/>
                                <w:bCs/>
                                <w:sz w:val="20"/>
                              </w:rPr>
                              <w:t xml:space="preserve">Jan </w:t>
                            </w:r>
                            <w:proofErr w:type="spellStart"/>
                            <w:r w:rsidRPr="00D41530">
                              <w:rPr>
                                <w:rFonts w:ascii="Calibri" w:hAnsi="Calibri" w:cs="Calibri"/>
                                <w:b/>
                                <w:bCs/>
                                <w:sz w:val="20"/>
                              </w:rPr>
                              <w:t>Vejmělek</w:t>
                            </w:r>
                            <w:proofErr w:type="spellEnd"/>
                            <w:r w:rsidRPr="00D41530">
                              <w:rPr>
                                <w:rFonts w:ascii="Calibri" w:hAnsi="Calibri" w:cs="Calibri"/>
                                <w:b/>
                                <w:bCs/>
                                <w:sz w:val="20"/>
                              </w:rPr>
                              <w:t>, hlavní ekonom Komerční banky:</w:t>
                            </w:r>
                          </w:p>
                          <w:p w14:paraId="77A38F31" w14:textId="77777777" w:rsidR="0059682A" w:rsidRPr="00F37DC9" w:rsidRDefault="0059682A" w:rsidP="0059682A">
                            <w:pPr>
                              <w:rPr>
                                <w:rFonts w:ascii="Calibri" w:hAnsi="Calibri" w:cs="Calibri"/>
                                <w:i/>
                                <w:iCs/>
                              </w:rPr>
                            </w:pPr>
                            <w:r w:rsidRPr="0059682A">
                              <w:rPr>
                                <w:rFonts w:ascii="Calibri" w:hAnsi="Calibri" w:cs="Calibri"/>
                                <w:i/>
                                <w:iCs/>
                                <w:sz w:val="20"/>
                              </w:rPr>
                              <w:t>„Růst nominálních mezd by se měl v letošním i příštím roce pohybovat kolem 6 %. S ohledem na předchozí hluboký pokles reálných mezd to ale bude znamenat, že kupní síla domácností a stejně tak i jejich spotřeba se bude obnovovat jen pozvolna.</w:t>
                            </w:r>
                            <w:r>
                              <w:rPr>
                                <w:rFonts w:ascii="Calibri" w:hAnsi="Calibri" w:cs="Calibri"/>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B89FE" id="Textové pole 1" o:spid="_x0000_s1027" type="#_x0000_t202" style="position:absolute;left:0;text-align:left;margin-left:0;margin-top:79.8pt;width:508.8pt;height:56.9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">
                <v:textbox>
                  <w:txbxContent>
                    <w:p w14:paraId="07B64C8E" w14:textId="77777777" w:rsidR="0059682A" w:rsidRPr="00D41530" w:rsidRDefault="0059682A" w:rsidP="0059682A">
                      <w:pPr>
                        <w:rPr>
                          <w:rFonts w:ascii="Calibri" w:hAnsi="Calibri" w:cs="Calibri"/>
                          <w:b/>
                          <w:bCs/>
                          <w:sz w:val="20"/>
                        </w:rPr>
                      </w:pPr>
                      <w:r w:rsidRPr="00D41530">
                        <w:rPr>
                          <w:rFonts w:ascii="Calibri" w:hAnsi="Calibri" w:cs="Calibri"/>
                          <w:b/>
                          <w:bCs/>
                          <w:sz w:val="20"/>
                        </w:rPr>
                        <w:t xml:space="preserve">Jan </w:t>
                      </w:r>
                      <w:proofErr w:type="spellStart"/>
                      <w:r w:rsidRPr="00D41530">
                        <w:rPr>
                          <w:rFonts w:ascii="Calibri" w:hAnsi="Calibri" w:cs="Calibri"/>
                          <w:b/>
                          <w:bCs/>
                          <w:sz w:val="20"/>
                        </w:rPr>
                        <w:t>Vejmělek</w:t>
                      </w:r>
                      <w:proofErr w:type="spellEnd"/>
                      <w:r w:rsidRPr="00D41530">
                        <w:rPr>
                          <w:rFonts w:ascii="Calibri" w:hAnsi="Calibri" w:cs="Calibri"/>
                          <w:b/>
                          <w:bCs/>
                          <w:sz w:val="20"/>
                        </w:rPr>
                        <w:t>, hlavní ekonom Komerční banky:</w:t>
                      </w:r>
                    </w:p>
                    <w:p w14:paraId="77A38F31" w14:textId="77777777" w:rsidR="0059682A" w:rsidRPr="00F37DC9" w:rsidRDefault="0059682A" w:rsidP="0059682A">
                      <w:pPr>
                        <w:rPr>
                          <w:rFonts w:ascii="Calibri" w:hAnsi="Calibri" w:cs="Calibri"/>
                          <w:i/>
                          <w:iCs/>
                        </w:rPr>
                      </w:pPr>
                      <w:r w:rsidRPr="0059682A">
                        <w:rPr>
                          <w:rFonts w:ascii="Calibri" w:hAnsi="Calibri" w:cs="Calibri"/>
                          <w:i/>
                          <w:iCs/>
                          <w:sz w:val="20"/>
                        </w:rPr>
                        <w:t>„Růst nominálních mezd by se měl v letošním i příštím roce pohybovat kolem 6 %. S ohledem na předchozí hluboký pokles reálných mezd to ale bude znamenat, že kupní síla domácností a stejně tak i jejich spotřeba se bude obnovovat jen pozvolna.</w:t>
                      </w:r>
                      <w:r>
                        <w:rPr>
                          <w:rFonts w:ascii="Calibri" w:hAnsi="Calibri" w:cs="Calibri"/>
                          <w:i/>
                          <w:iCs/>
                          <w:sz w:val="20"/>
                        </w:rPr>
                        <w:t>“</w:t>
                      </w:r>
                    </w:p>
                  </w:txbxContent>
                </v:textbox>
                <w10:wrap type="square" anchorx="margin"/>
              </v:shape>
            </w:pict>
          </mc:Fallback>
        </mc:AlternateContent>
      </w:r>
      <w:r w:rsidR="00774F0B">
        <w:rPr>
          <w:rFonts w:ascii="Calibri" w:hAnsi="Calibri" w:cs="Calibri"/>
          <w:b/>
          <w:bCs/>
          <w:sz w:val="20"/>
        </w:rPr>
        <w:t>N</w:t>
      </w:r>
      <w:r w:rsidR="0065523B">
        <w:rPr>
          <w:rFonts w:ascii="Calibri" w:hAnsi="Calibri" w:cs="Calibri"/>
          <w:b/>
          <w:bCs/>
          <w:sz w:val="20"/>
        </w:rPr>
        <w:t xml:space="preserve">ominální </w:t>
      </w:r>
      <w:r w:rsidR="00D27F2C">
        <w:rPr>
          <w:rFonts w:ascii="Calibri" w:hAnsi="Calibri" w:cs="Calibri"/>
          <w:b/>
          <w:bCs/>
          <w:sz w:val="20"/>
        </w:rPr>
        <w:t>průměrn</w:t>
      </w:r>
      <w:r w:rsidR="00774F0B">
        <w:rPr>
          <w:rFonts w:ascii="Calibri" w:hAnsi="Calibri" w:cs="Calibri"/>
          <w:b/>
          <w:bCs/>
          <w:sz w:val="20"/>
        </w:rPr>
        <w:t>á</w:t>
      </w:r>
      <w:r w:rsidR="00D27F2C">
        <w:rPr>
          <w:rFonts w:ascii="Calibri" w:hAnsi="Calibri" w:cs="Calibri"/>
          <w:b/>
          <w:bCs/>
          <w:sz w:val="20"/>
        </w:rPr>
        <w:t xml:space="preserve"> mzd</w:t>
      </w:r>
      <w:r w:rsidR="00774F0B">
        <w:rPr>
          <w:rFonts w:ascii="Calibri" w:hAnsi="Calibri" w:cs="Calibri"/>
          <w:b/>
          <w:bCs/>
          <w:sz w:val="20"/>
        </w:rPr>
        <w:t>a</w:t>
      </w:r>
      <w:r w:rsidR="00D27F2C">
        <w:rPr>
          <w:rFonts w:ascii="Calibri" w:hAnsi="Calibri" w:cs="Calibri"/>
          <w:b/>
          <w:bCs/>
          <w:sz w:val="20"/>
        </w:rPr>
        <w:t xml:space="preserve"> </w:t>
      </w:r>
      <w:r w:rsidR="00912FA3">
        <w:rPr>
          <w:rFonts w:ascii="Calibri" w:hAnsi="Calibri" w:cs="Calibri"/>
          <w:b/>
          <w:bCs/>
          <w:sz w:val="20"/>
        </w:rPr>
        <w:t xml:space="preserve">letos </w:t>
      </w:r>
      <w:r w:rsidR="00774F0B">
        <w:rPr>
          <w:rFonts w:ascii="Calibri" w:hAnsi="Calibri" w:cs="Calibri"/>
          <w:b/>
          <w:bCs/>
          <w:sz w:val="20"/>
        </w:rPr>
        <w:t xml:space="preserve">vzroste o </w:t>
      </w:r>
      <w:r w:rsidR="00CE5236">
        <w:rPr>
          <w:rFonts w:ascii="Calibri" w:hAnsi="Calibri" w:cs="Calibri"/>
          <w:b/>
          <w:bCs/>
          <w:sz w:val="20"/>
        </w:rPr>
        <w:t>6</w:t>
      </w:r>
      <w:r w:rsidR="002D48F8">
        <w:rPr>
          <w:rFonts w:ascii="Calibri" w:hAnsi="Calibri" w:cs="Calibri"/>
          <w:b/>
          <w:bCs/>
          <w:sz w:val="20"/>
        </w:rPr>
        <w:t>,</w:t>
      </w:r>
      <w:r w:rsidR="000E1460">
        <w:rPr>
          <w:rFonts w:ascii="Calibri" w:hAnsi="Calibri" w:cs="Calibri"/>
          <w:b/>
          <w:bCs/>
          <w:sz w:val="20"/>
        </w:rPr>
        <w:t>6</w:t>
      </w:r>
      <w:r w:rsidR="00774F0B">
        <w:rPr>
          <w:rFonts w:ascii="Calibri" w:hAnsi="Calibri" w:cs="Calibri"/>
          <w:b/>
          <w:bCs/>
          <w:sz w:val="20"/>
        </w:rPr>
        <w:t xml:space="preserve"> </w:t>
      </w:r>
      <w:r w:rsidR="00870714">
        <w:rPr>
          <w:rFonts w:ascii="Calibri" w:hAnsi="Calibri" w:cs="Calibri"/>
          <w:b/>
          <w:bCs/>
          <w:sz w:val="20"/>
        </w:rPr>
        <w:t>%</w:t>
      </w:r>
      <w:r w:rsidR="00D95BCC">
        <w:rPr>
          <w:rFonts w:ascii="Calibri" w:hAnsi="Calibri" w:cs="Calibri"/>
          <w:b/>
          <w:bCs/>
          <w:sz w:val="20"/>
        </w:rPr>
        <w:t>,</w:t>
      </w:r>
      <w:r w:rsidR="00870714">
        <w:rPr>
          <w:rFonts w:ascii="Calibri" w:hAnsi="Calibri" w:cs="Calibri"/>
          <w:b/>
          <w:bCs/>
          <w:sz w:val="20"/>
        </w:rPr>
        <w:t xml:space="preserve"> </w:t>
      </w:r>
      <w:r w:rsidR="00D95BCC">
        <w:rPr>
          <w:rFonts w:ascii="Calibri" w:hAnsi="Calibri" w:cs="Calibri"/>
          <w:b/>
          <w:bCs/>
          <w:sz w:val="20"/>
        </w:rPr>
        <w:t>v</w:t>
      </w:r>
      <w:r w:rsidR="00870714">
        <w:rPr>
          <w:rFonts w:ascii="Calibri" w:hAnsi="Calibri" w:cs="Calibri"/>
          <w:b/>
          <w:bCs/>
          <w:sz w:val="20"/>
        </w:rPr>
        <w:t xml:space="preserve"> příštím roce by pak měla dynamika dosáhnout </w:t>
      </w:r>
      <w:r w:rsidR="000E1460">
        <w:rPr>
          <w:rFonts w:ascii="Calibri" w:hAnsi="Calibri" w:cs="Calibri"/>
          <w:b/>
          <w:bCs/>
          <w:sz w:val="20"/>
        </w:rPr>
        <w:t>necelých 6</w:t>
      </w:r>
      <w:r w:rsidR="00870714">
        <w:rPr>
          <w:rFonts w:ascii="Calibri" w:hAnsi="Calibri" w:cs="Calibri"/>
          <w:b/>
          <w:bCs/>
          <w:sz w:val="20"/>
        </w:rPr>
        <w:t xml:space="preserve"> %.</w:t>
      </w:r>
      <w:r w:rsidR="00C73A76">
        <w:rPr>
          <w:rFonts w:ascii="Calibri" w:hAnsi="Calibri" w:cs="Calibri"/>
          <w:b/>
          <w:bCs/>
          <w:sz w:val="20"/>
        </w:rPr>
        <w:t xml:space="preserve"> </w:t>
      </w:r>
      <w:r w:rsidR="00C96511">
        <w:rPr>
          <w:rFonts w:ascii="Calibri" w:hAnsi="Calibri" w:cs="Calibri"/>
          <w:sz w:val="20"/>
        </w:rPr>
        <w:t>Růst nominálních mezd dosáhl v loňském roce 8 %, což patří mezi ty nejvyšší meziroční růst</w:t>
      </w:r>
      <w:r w:rsidR="002A2CD8">
        <w:rPr>
          <w:rFonts w:ascii="Calibri" w:hAnsi="Calibri" w:cs="Calibri"/>
          <w:sz w:val="20"/>
        </w:rPr>
        <w:t>y</w:t>
      </w:r>
      <w:r w:rsidR="00C96511">
        <w:rPr>
          <w:rFonts w:ascii="Calibri" w:hAnsi="Calibri" w:cs="Calibri"/>
          <w:sz w:val="20"/>
        </w:rPr>
        <w:t xml:space="preserve"> v posledních dvou dekádách. Ve srovnání s vývojem nominálních mezd ve středoevropském regionu však vývoj mezd v ČR zaostává, a to nejen v posledních letech</w:t>
      </w:r>
      <w:r w:rsidR="000A7993">
        <w:rPr>
          <w:rFonts w:ascii="Calibri" w:hAnsi="Calibri" w:cs="Calibri"/>
          <w:sz w:val="20"/>
        </w:rPr>
        <w:t xml:space="preserve"> od propuknutí pandemie</w:t>
      </w:r>
      <w:r w:rsidR="00C96511">
        <w:rPr>
          <w:rFonts w:ascii="Calibri" w:hAnsi="Calibri" w:cs="Calibri"/>
          <w:sz w:val="20"/>
        </w:rPr>
        <w:t>, ale i</w:t>
      </w:r>
      <w:r w:rsidR="000A7993">
        <w:rPr>
          <w:rFonts w:ascii="Calibri" w:hAnsi="Calibri" w:cs="Calibri"/>
          <w:sz w:val="20"/>
        </w:rPr>
        <w:t xml:space="preserve"> z pohledu</w:t>
      </w:r>
      <w:r w:rsidR="00C96511">
        <w:rPr>
          <w:rFonts w:ascii="Calibri" w:hAnsi="Calibri" w:cs="Calibri"/>
          <w:sz w:val="20"/>
        </w:rPr>
        <w:t xml:space="preserve"> dlouhodobějšího vývoje. </w:t>
      </w:r>
      <w:r w:rsidR="00D95BCC">
        <w:rPr>
          <w:rFonts w:ascii="Calibri" w:hAnsi="Calibri" w:cs="Calibri"/>
          <w:sz w:val="20"/>
        </w:rPr>
        <w:t xml:space="preserve">Po dvou letech </w:t>
      </w:r>
      <w:r w:rsidR="000A7993">
        <w:rPr>
          <w:rFonts w:ascii="Calibri" w:hAnsi="Calibri" w:cs="Calibri"/>
          <w:sz w:val="20"/>
        </w:rPr>
        <w:t xml:space="preserve">propadu reálných </w:t>
      </w:r>
      <w:r w:rsidR="00D95BCC">
        <w:rPr>
          <w:rFonts w:ascii="Calibri" w:hAnsi="Calibri" w:cs="Calibri"/>
          <w:sz w:val="20"/>
        </w:rPr>
        <w:t>m</w:t>
      </w:r>
      <w:r w:rsidR="000A7993">
        <w:rPr>
          <w:rFonts w:ascii="Calibri" w:hAnsi="Calibri" w:cs="Calibri"/>
          <w:sz w:val="20"/>
        </w:rPr>
        <w:t>ezd</w:t>
      </w:r>
      <w:r w:rsidR="00D95BCC">
        <w:rPr>
          <w:rFonts w:ascii="Calibri" w:hAnsi="Calibri" w:cs="Calibri"/>
          <w:sz w:val="20"/>
        </w:rPr>
        <w:t xml:space="preserve"> </w:t>
      </w:r>
      <w:r w:rsidR="000A7993">
        <w:rPr>
          <w:rFonts w:ascii="Calibri" w:hAnsi="Calibri" w:cs="Calibri"/>
          <w:sz w:val="20"/>
        </w:rPr>
        <w:t>by měly reálné mzdy letos růst o 4,</w:t>
      </w:r>
      <w:r w:rsidR="000E1460">
        <w:rPr>
          <w:rFonts w:ascii="Calibri" w:hAnsi="Calibri" w:cs="Calibri"/>
          <w:sz w:val="20"/>
        </w:rPr>
        <w:t>1</w:t>
      </w:r>
      <w:r w:rsidR="000A7993">
        <w:rPr>
          <w:rFonts w:ascii="Calibri" w:hAnsi="Calibri" w:cs="Calibri"/>
          <w:sz w:val="20"/>
        </w:rPr>
        <w:t xml:space="preserve"> %, v příštím roce přes 3 %.</w:t>
      </w:r>
      <w:r w:rsidR="00B33E7B">
        <w:rPr>
          <w:rFonts w:ascii="Calibri" w:hAnsi="Calibri" w:cs="Calibri"/>
          <w:sz w:val="20"/>
        </w:rPr>
        <w:t xml:space="preserve"> I přesto bude </w:t>
      </w:r>
      <w:r w:rsidR="00B806C2">
        <w:rPr>
          <w:rFonts w:ascii="Calibri" w:hAnsi="Calibri" w:cs="Calibri"/>
          <w:sz w:val="20"/>
        </w:rPr>
        <w:t xml:space="preserve">letošní </w:t>
      </w:r>
      <w:r w:rsidR="00B33E7B">
        <w:rPr>
          <w:rFonts w:ascii="Calibri" w:hAnsi="Calibri" w:cs="Calibri"/>
          <w:sz w:val="20"/>
        </w:rPr>
        <w:t>úroveň reálných mezd odpovídat zhruba roku 2018.</w:t>
      </w:r>
      <w:r w:rsidR="00D260F0">
        <w:rPr>
          <w:rFonts w:ascii="Calibri" w:hAnsi="Calibri" w:cs="Calibri"/>
          <w:sz w:val="20"/>
        </w:rPr>
        <w:t xml:space="preserve"> Vyšší růst mezd oproti očekávání </w:t>
      </w:r>
      <w:r w:rsidR="00E610F1">
        <w:rPr>
          <w:rFonts w:ascii="Calibri" w:hAnsi="Calibri" w:cs="Calibri"/>
          <w:sz w:val="20"/>
        </w:rPr>
        <w:t xml:space="preserve">této </w:t>
      </w:r>
      <w:r w:rsidR="00D260F0">
        <w:rPr>
          <w:rFonts w:ascii="Calibri" w:hAnsi="Calibri" w:cs="Calibri"/>
          <w:sz w:val="20"/>
        </w:rPr>
        <w:t>prognózy pak může plynou</w:t>
      </w:r>
      <w:r w:rsidR="00E610F1">
        <w:rPr>
          <w:rFonts w:ascii="Calibri" w:hAnsi="Calibri" w:cs="Calibri"/>
          <w:sz w:val="20"/>
        </w:rPr>
        <w:t>t</w:t>
      </w:r>
      <w:r w:rsidR="00D260F0">
        <w:rPr>
          <w:rFonts w:ascii="Calibri" w:hAnsi="Calibri" w:cs="Calibri"/>
          <w:sz w:val="20"/>
        </w:rPr>
        <w:t xml:space="preserve"> z</w:t>
      </w:r>
      <w:r w:rsidR="00E610F1">
        <w:rPr>
          <w:rFonts w:ascii="Calibri" w:hAnsi="Calibri" w:cs="Calibri"/>
          <w:sz w:val="20"/>
        </w:rPr>
        <w:t xml:space="preserve"> případného rychlejšího </w:t>
      </w:r>
      <w:r w:rsidR="00D260F0">
        <w:rPr>
          <w:rFonts w:ascii="Calibri" w:hAnsi="Calibri" w:cs="Calibri"/>
          <w:sz w:val="20"/>
        </w:rPr>
        <w:t>růstu mezd ve veřejném sektoru.</w:t>
      </w:r>
      <w:r w:rsidR="00B806C2">
        <w:rPr>
          <w:rFonts w:ascii="Calibri" w:hAnsi="Calibri" w:cs="Calibri"/>
          <w:sz w:val="20"/>
        </w:rPr>
        <w:t xml:space="preserve"> </w:t>
      </w:r>
    </w:p>
    <w:p w14:paraId="71CF0BE4" w14:textId="13672CD6" w:rsidR="00B941DB" w:rsidRPr="0074441D" w:rsidRDefault="0065523B" w:rsidP="004F09E3">
      <w:pPr>
        <w:rPr>
          <w:rFonts w:ascii="Calibri" w:hAnsi="Calibri" w:cs="Calibri"/>
          <w:b/>
          <w:color w:val="13576B"/>
          <w:sz w:val="22"/>
          <w:szCs w:val="22"/>
        </w:rPr>
      </w:pPr>
      <w:r>
        <w:rPr>
          <w:rFonts w:ascii="Calibri" w:hAnsi="Calibri" w:cs="Calibri"/>
          <w:b/>
          <w:color w:val="13576B"/>
          <w:sz w:val="22"/>
          <w:szCs w:val="22"/>
        </w:rPr>
        <w:t>Průměrná i</w:t>
      </w:r>
      <w:r w:rsidR="00B941DB" w:rsidRPr="0074441D">
        <w:rPr>
          <w:rFonts w:ascii="Calibri" w:hAnsi="Calibri" w:cs="Calibri"/>
          <w:b/>
          <w:color w:val="13576B"/>
          <w:sz w:val="22"/>
          <w:szCs w:val="22"/>
        </w:rPr>
        <w:t xml:space="preserve">nflace </w:t>
      </w:r>
      <w:r w:rsidR="00CE5236">
        <w:rPr>
          <w:rFonts w:ascii="Calibri" w:hAnsi="Calibri" w:cs="Calibri"/>
          <w:b/>
          <w:color w:val="13576B"/>
          <w:sz w:val="22"/>
          <w:szCs w:val="22"/>
        </w:rPr>
        <w:t xml:space="preserve">letos </w:t>
      </w:r>
      <w:r w:rsidR="00A43682">
        <w:rPr>
          <w:rFonts w:ascii="Calibri" w:hAnsi="Calibri" w:cs="Calibri"/>
          <w:b/>
          <w:color w:val="13576B"/>
          <w:sz w:val="22"/>
          <w:szCs w:val="22"/>
        </w:rPr>
        <w:t xml:space="preserve">i příští rok bude </w:t>
      </w:r>
      <w:r w:rsidR="000E1460">
        <w:rPr>
          <w:rFonts w:ascii="Calibri" w:hAnsi="Calibri" w:cs="Calibri"/>
          <w:b/>
          <w:color w:val="13576B"/>
          <w:sz w:val="22"/>
          <w:szCs w:val="22"/>
        </w:rPr>
        <w:t xml:space="preserve">mírně nad </w:t>
      </w:r>
      <w:r w:rsidR="00A43682">
        <w:rPr>
          <w:rFonts w:ascii="Calibri" w:hAnsi="Calibri" w:cs="Calibri"/>
          <w:b/>
          <w:color w:val="13576B"/>
          <w:sz w:val="22"/>
          <w:szCs w:val="22"/>
        </w:rPr>
        <w:t>2% cíle</w:t>
      </w:r>
      <w:r w:rsidR="000E1460">
        <w:rPr>
          <w:rFonts w:ascii="Calibri" w:hAnsi="Calibri" w:cs="Calibri"/>
          <w:b/>
          <w:color w:val="13576B"/>
          <w:sz w:val="22"/>
          <w:szCs w:val="22"/>
        </w:rPr>
        <w:t>m</w:t>
      </w:r>
      <w:r w:rsidR="00A43682">
        <w:rPr>
          <w:rFonts w:ascii="Calibri" w:hAnsi="Calibri" w:cs="Calibri"/>
          <w:b/>
          <w:color w:val="13576B"/>
          <w:sz w:val="22"/>
          <w:szCs w:val="22"/>
        </w:rPr>
        <w:t xml:space="preserve"> ČNB</w:t>
      </w:r>
    </w:p>
    <w:p w14:paraId="424F03C8" w14:textId="3EDCEB4A" w:rsidR="0080589F" w:rsidRDefault="000E1460" w:rsidP="00B941DB">
      <w:pPr>
        <w:rPr>
          <w:rFonts w:ascii="Calibri" w:hAnsi="Calibri" w:cs="Calibri"/>
          <w:sz w:val="20"/>
        </w:rPr>
      </w:pPr>
      <w:r>
        <w:rPr>
          <w:rFonts w:ascii="Calibri" w:hAnsi="Calibri" w:cs="Calibri"/>
          <w:sz w:val="20"/>
        </w:rPr>
        <w:t>Velkou část</w:t>
      </w:r>
      <w:r w:rsidR="0087452E">
        <w:rPr>
          <w:rFonts w:ascii="Calibri" w:hAnsi="Calibri" w:cs="Calibri"/>
          <w:sz w:val="20"/>
        </w:rPr>
        <w:t xml:space="preserve"> letošního</w:t>
      </w:r>
      <w:r>
        <w:rPr>
          <w:rFonts w:ascii="Calibri" w:hAnsi="Calibri" w:cs="Calibri"/>
          <w:sz w:val="20"/>
        </w:rPr>
        <w:t xml:space="preserve"> roku protiinflačně působily ceny potravin a jejich </w:t>
      </w:r>
      <w:r w:rsidR="00A767D3">
        <w:rPr>
          <w:rFonts w:ascii="Calibri" w:hAnsi="Calibri" w:cs="Calibri"/>
          <w:sz w:val="20"/>
        </w:rPr>
        <w:t>meziroční</w:t>
      </w:r>
      <w:r>
        <w:rPr>
          <w:rFonts w:ascii="Calibri" w:hAnsi="Calibri" w:cs="Calibri"/>
          <w:sz w:val="20"/>
        </w:rPr>
        <w:t xml:space="preserve"> pokles pomohl navrátit inflaci rychleji </w:t>
      </w:r>
      <w:r w:rsidR="003A714E">
        <w:rPr>
          <w:rFonts w:ascii="Calibri" w:hAnsi="Calibri" w:cs="Calibri"/>
          <w:sz w:val="20"/>
        </w:rPr>
        <w:t>k</w:t>
      </w:r>
      <w:r>
        <w:rPr>
          <w:rFonts w:ascii="Calibri" w:hAnsi="Calibri" w:cs="Calibri"/>
          <w:sz w:val="20"/>
        </w:rPr>
        <w:t xml:space="preserve"> 2% cíl</w:t>
      </w:r>
      <w:r w:rsidR="003A714E">
        <w:rPr>
          <w:rFonts w:ascii="Calibri" w:hAnsi="Calibri" w:cs="Calibri"/>
          <w:sz w:val="20"/>
        </w:rPr>
        <w:t>i</w:t>
      </w:r>
      <w:r>
        <w:rPr>
          <w:rFonts w:ascii="Calibri" w:hAnsi="Calibri" w:cs="Calibri"/>
          <w:sz w:val="20"/>
        </w:rPr>
        <w:t xml:space="preserve"> ČNB. </w:t>
      </w:r>
      <w:r w:rsidR="00B806C2">
        <w:rPr>
          <w:rFonts w:ascii="Calibri" w:hAnsi="Calibri" w:cs="Calibri"/>
          <w:sz w:val="20"/>
        </w:rPr>
        <w:t>P</w:t>
      </w:r>
      <w:r>
        <w:rPr>
          <w:rFonts w:ascii="Calibri" w:hAnsi="Calibri" w:cs="Calibri"/>
          <w:sz w:val="20"/>
        </w:rPr>
        <w:t>rotiinflační vliv</w:t>
      </w:r>
      <w:r w:rsidR="00B806C2">
        <w:rPr>
          <w:rFonts w:ascii="Calibri" w:hAnsi="Calibri" w:cs="Calibri"/>
          <w:sz w:val="20"/>
        </w:rPr>
        <w:t xml:space="preserve"> potravin</w:t>
      </w:r>
      <w:r>
        <w:rPr>
          <w:rFonts w:ascii="Calibri" w:hAnsi="Calibri" w:cs="Calibri"/>
          <w:sz w:val="20"/>
        </w:rPr>
        <w:t xml:space="preserve"> však začal v posledních měsících slábnout, což vedlo i k vyšší než očekávané meziroční inflaci. Uvedený vývoj společně s pomalejším poklesem cen energií či opětovným růstem imputovaného nájemného stál za mírným přehodnocením celoroční inflace pro letošní</w:t>
      </w:r>
      <w:r w:rsidR="0087452E">
        <w:rPr>
          <w:rFonts w:ascii="Calibri" w:hAnsi="Calibri" w:cs="Calibri"/>
          <w:sz w:val="20"/>
        </w:rPr>
        <w:t xml:space="preserve"> i příští rok</w:t>
      </w:r>
      <w:r>
        <w:rPr>
          <w:rFonts w:ascii="Calibri" w:hAnsi="Calibri" w:cs="Calibri"/>
          <w:sz w:val="20"/>
        </w:rPr>
        <w:t xml:space="preserve"> směrem nahoru. Do konce</w:t>
      </w:r>
      <w:r w:rsidR="0087452E">
        <w:rPr>
          <w:rFonts w:ascii="Calibri" w:hAnsi="Calibri" w:cs="Calibri"/>
          <w:sz w:val="20"/>
        </w:rPr>
        <w:t xml:space="preserve"> letošního</w:t>
      </w:r>
      <w:r>
        <w:rPr>
          <w:rFonts w:ascii="Calibri" w:hAnsi="Calibri" w:cs="Calibri"/>
          <w:sz w:val="20"/>
        </w:rPr>
        <w:t xml:space="preserve"> </w:t>
      </w:r>
      <w:r w:rsidR="00676235">
        <w:rPr>
          <w:rFonts w:ascii="Calibri" w:hAnsi="Calibri" w:cs="Calibri"/>
          <w:sz w:val="20"/>
        </w:rPr>
        <w:t xml:space="preserve">roku se </w:t>
      </w:r>
      <w:r w:rsidR="0087452E">
        <w:rPr>
          <w:rFonts w:ascii="Calibri" w:hAnsi="Calibri" w:cs="Calibri"/>
          <w:sz w:val="20"/>
        </w:rPr>
        <w:t xml:space="preserve">očekává </w:t>
      </w:r>
      <w:r>
        <w:rPr>
          <w:rFonts w:ascii="Calibri" w:hAnsi="Calibri" w:cs="Calibri"/>
          <w:sz w:val="20"/>
        </w:rPr>
        <w:t xml:space="preserve">další </w:t>
      </w:r>
      <w:r w:rsidR="00676235">
        <w:rPr>
          <w:rFonts w:ascii="Calibri" w:hAnsi="Calibri" w:cs="Calibri"/>
          <w:sz w:val="20"/>
        </w:rPr>
        <w:t>zrychlení inflace z titulu efektu nižší srovnávací základny</w:t>
      </w:r>
      <w:r w:rsidR="0087452E">
        <w:rPr>
          <w:rFonts w:ascii="Calibri" w:hAnsi="Calibri" w:cs="Calibri"/>
          <w:sz w:val="20"/>
        </w:rPr>
        <w:t xml:space="preserve">, zejména v prosinci, a </w:t>
      </w:r>
      <w:r w:rsidR="00676235">
        <w:rPr>
          <w:rFonts w:ascii="Calibri" w:hAnsi="Calibri" w:cs="Calibri"/>
          <w:sz w:val="20"/>
        </w:rPr>
        <w:t>meziroční inflace</w:t>
      </w:r>
      <w:r>
        <w:rPr>
          <w:rFonts w:ascii="Calibri" w:hAnsi="Calibri" w:cs="Calibri"/>
          <w:sz w:val="20"/>
        </w:rPr>
        <w:t xml:space="preserve"> se může dostat nad 3%</w:t>
      </w:r>
      <w:r w:rsidR="0087452E">
        <w:rPr>
          <w:rFonts w:ascii="Calibri" w:hAnsi="Calibri" w:cs="Calibri"/>
          <w:sz w:val="20"/>
        </w:rPr>
        <w:t xml:space="preserve"> úroveň</w:t>
      </w:r>
      <w:r w:rsidR="00676235">
        <w:rPr>
          <w:rFonts w:ascii="Calibri" w:hAnsi="Calibri" w:cs="Calibri"/>
          <w:sz w:val="20"/>
        </w:rPr>
        <w:t xml:space="preserve">. </w:t>
      </w:r>
      <w:r>
        <w:rPr>
          <w:rFonts w:ascii="Calibri" w:hAnsi="Calibri" w:cs="Calibri"/>
          <w:sz w:val="20"/>
        </w:rPr>
        <w:t>Mělo by však jít jen o krátkodobý výkyv</w:t>
      </w:r>
      <w:r w:rsidR="0087452E">
        <w:rPr>
          <w:rFonts w:ascii="Calibri" w:hAnsi="Calibri" w:cs="Calibri"/>
          <w:sz w:val="20"/>
        </w:rPr>
        <w:t xml:space="preserve"> a lednová inflace by </w:t>
      </w:r>
      <w:r w:rsidR="00B806C2">
        <w:rPr>
          <w:rFonts w:ascii="Calibri" w:hAnsi="Calibri" w:cs="Calibri"/>
          <w:sz w:val="20"/>
        </w:rPr>
        <w:t>se pak měla opět snížit</w:t>
      </w:r>
      <w:r w:rsidR="003A714E">
        <w:rPr>
          <w:rFonts w:ascii="Calibri" w:hAnsi="Calibri" w:cs="Calibri"/>
          <w:sz w:val="20"/>
        </w:rPr>
        <w:t xml:space="preserve"> a začínat číslem 2</w:t>
      </w:r>
      <w:r w:rsidR="00B806C2">
        <w:rPr>
          <w:rFonts w:ascii="Calibri" w:hAnsi="Calibri" w:cs="Calibri"/>
          <w:sz w:val="20"/>
        </w:rPr>
        <w:t xml:space="preserve">. </w:t>
      </w:r>
      <w:r w:rsidR="00774F0B">
        <w:rPr>
          <w:rFonts w:ascii="Calibri" w:hAnsi="Calibri" w:cs="Calibri"/>
          <w:sz w:val="20"/>
        </w:rPr>
        <w:t>Rizikem</w:t>
      </w:r>
      <w:r w:rsidR="003A714E">
        <w:rPr>
          <w:rFonts w:ascii="Calibri" w:hAnsi="Calibri" w:cs="Calibri"/>
          <w:sz w:val="20"/>
        </w:rPr>
        <w:t xml:space="preserve"> však</w:t>
      </w:r>
      <w:r w:rsidR="00774F0B">
        <w:rPr>
          <w:rFonts w:ascii="Calibri" w:hAnsi="Calibri" w:cs="Calibri"/>
          <w:sz w:val="20"/>
        </w:rPr>
        <w:t xml:space="preserve"> </w:t>
      </w:r>
      <w:r w:rsidR="003A714E">
        <w:rPr>
          <w:rFonts w:ascii="Calibri" w:hAnsi="Calibri" w:cs="Calibri"/>
          <w:sz w:val="20"/>
        </w:rPr>
        <w:t>zůstává</w:t>
      </w:r>
      <w:r w:rsidR="00676235">
        <w:rPr>
          <w:rFonts w:ascii="Calibri" w:hAnsi="Calibri" w:cs="Calibri"/>
          <w:sz w:val="20"/>
        </w:rPr>
        <w:t xml:space="preserve"> </w:t>
      </w:r>
      <w:r w:rsidR="00774F0B">
        <w:rPr>
          <w:rFonts w:ascii="Calibri" w:hAnsi="Calibri" w:cs="Calibri"/>
          <w:sz w:val="20"/>
        </w:rPr>
        <w:t>pomal</w:t>
      </w:r>
      <w:r w:rsidR="007243C9">
        <w:rPr>
          <w:rFonts w:ascii="Calibri" w:hAnsi="Calibri" w:cs="Calibri"/>
          <w:sz w:val="20"/>
        </w:rPr>
        <w:t>ý</w:t>
      </w:r>
      <w:r w:rsidR="00774F0B">
        <w:rPr>
          <w:rFonts w:ascii="Calibri" w:hAnsi="Calibri" w:cs="Calibri"/>
          <w:sz w:val="20"/>
        </w:rPr>
        <w:t xml:space="preserve"> pokles infl</w:t>
      </w:r>
      <w:r w:rsidR="007243C9">
        <w:rPr>
          <w:rFonts w:ascii="Calibri" w:hAnsi="Calibri" w:cs="Calibri"/>
          <w:sz w:val="20"/>
        </w:rPr>
        <w:t>a</w:t>
      </w:r>
      <w:r w:rsidR="00774F0B">
        <w:rPr>
          <w:rFonts w:ascii="Calibri" w:hAnsi="Calibri" w:cs="Calibri"/>
          <w:sz w:val="20"/>
        </w:rPr>
        <w:t>ce ve službách</w:t>
      </w:r>
      <w:r w:rsidR="0087452E">
        <w:rPr>
          <w:rFonts w:ascii="Calibri" w:hAnsi="Calibri" w:cs="Calibri"/>
          <w:sz w:val="20"/>
        </w:rPr>
        <w:t xml:space="preserve">. </w:t>
      </w:r>
      <w:r w:rsidR="00B806C2">
        <w:rPr>
          <w:rFonts w:ascii="Calibri" w:hAnsi="Calibri" w:cs="Calibri"/>
          <w:sz w:val="20"/>
        </w:rPr>
        <w:t>I přes vyšší celoroční inflaci v příštím roce konsensu</w:t>
      </w:r>
      <w:r w:rsidR="00E9791F">
        <w:rPr>
          <w:rFonts w:ascii="Calibri" w:hAnsi="Calibri" w:cs="Calibri"/>
          <w:sz w:val="20"/>
        </w:rPr>
        <w:t>s</w:t>
      </w:r>
      <w:r w:rsidR="00B806C2">
        <w:rPr>
          <w:rFonts w:ascii="Calibri" w:hAnsi="Calibri" w:cs="Calibri"/>
          <w:sz w:val="20"/>
        </w:rPr>
        <w:t xml:space="preserve"> očekává, že na konci příštího roku bude inflace u 2 %. </w:t>
      </w:r>
    </w:p>
    <w:p w14:paraId="74A2B69F" w14:textId="0AD074C4" w:rsidR="00FD08E5" w:rsidRDefault="00FD08E5" w:rsidP="00B941DB">
      <w:pPr>
        <w:rPr>
          <w:rFonts w:ascii="Calibri" w:hAnsi="Calibri" w:cs="Calibri"/>
          <w:sz w:val="20"/>
        </w:rPr>
      </w:pPr>
    </w:p>
    <w:p w14:paraId="79F7C9A9" w14:textId="22EC45A0" w:rsidR="00B941DB" w:rsidRDefault="00F345FE" w:rsidP="00FD4088">
      <w:pPr>
        <w:rPr>
          <w:rFonts w:ascii="Calibri" w:hAnsi="Calibri" w:cs="Calibri"/>
          <w:sz w:val="20"/>
        </w:rPr>
      </w:pPr>
      <w:r>
        <w:rPr>
          <w:rFonts w:ascii="Calibri" w:hAnsi="Calibri" w:cs="Calibri"/>
          <w:b/>
          <w:color w:val="13576B"/>
          <w:sz w:val="22"/>
          <w:szCs w:val="22"/>
        </w:rPr>
        <w:t>ČNB</w:t>
      </w:r>
      <w:r w:rsidR="00CE5236">
        <w:rPr>
          <w:rFonts w:ascii="Calibri" w:hAnsi="Calibri" w:cs="Calibri"/>
          <w:b/>
          <w:color w:val="13576B"/>
          <w:sz w:val="22"/>
          <w:szCs w:val="22"/>
        </w:rPr>
        <w:t xml:space="preserve"> bude pokračovat </w:t>
      </w:r>
      <w:r w:rsidR="00B806C2">
        <w:rPr>
          <w:rFonts w:ascii="Calibri" w:hAnsi="Calibri" w:cs="Calibri"/>
          <w:b/>
          <w:color w:val="13576B"/>
          <w:sz w:val="22"/>
          <w:szCs w:val="22"/>
        </w:rPr>
        <w:t xml:space="preserve">v příštím roce </w:t>
      </w:r>
      <w:r w:rsidR="00CE5236">
        <w:rPr>
          <w:rFonts w:ascii="Calibri" w:hAnsi="Calibri" w:cs="Calibri"/>
          <w:b/>
          <w:color w:val="13576B"/>
          <w:sz w:val="22"/>
          <w:szCs w:val="22"/>
        </w:rPr>
        <w:t xml:space="preserve">ve snižování sazeb, </w:t>
      </w:r>
      <w:r w:rsidR="00B806C2">
        <w:rPr>
          <w:rFonts w:ascii="Calibri" w:hAnsi="Calibri" w:cs="Calibri"/>
          <w:b/>
          <w:color w:val="13576B"/>
          <w:sz w:val="22"/>
          <w:szCs w:val="22"/>
        </w:rPr>
        <w:t xml:space="preserve">letos už však sazby </w:t>
      </w:r>
      <w:r w:rsidR="00675A09">
        <w:rPr>
          <w:rFonts w:ascii="Calibri" w:hAnsi="Calibri" w:cs="Calibri"/>
          <w:b/>
          <w:color w:val="13576B"/>
          <w:sz w:val="22"/>
          <w:szCs w:val="22"/>
        </w:rPr>
        <w:t>pravděpodobně</w:t>
      </w:r>
      <w:r w:rsidR="00B806C2">
        <w:rPr>
          <w:rFonts w:ascii="Calibri" w:hAnsi="Calibri" w:cs="Calibri"/>
          <w:b/>
          <w:color w:val="13576B"/>
          <w:sz w:val="22"/>
          <w:szCs w:val="22"/>
        </w:rPr>
        <w:t xml:space="preserve"> nezmění</w:t>
      </w:r>
    </w:p>
    <w:p w14:paraId="557B5182" w14:textId="5492FC6F" w:rsidR="00FE2E40" w:rsidRDefault="001C2230" w:rsidP="00B941DB">
      <w:pPr>
        <w:rPr>
          <w:rFonts w:ascii="Calibri" w:hAnsi="Calibri" w:cs="Calibri"/>
          <w:sz w:val="20"/>
        </w:rPr>
      </w:pPr>
      <w:r w:rsidRPr="00A97B14">
        <w:rPr>
          <w:b/>
          <w:bCs/>
          <w:noProof/>
          <w:sz w:val="20"/>
        </w:rPr>
        <mc:AlternateContent>
          <mc:Choice Requires="wps">
            <w:drawing>
              <wp:anchor distT="45720" distB="45720" distL="114300" distR="114300" simplePos="0" relativeHeight="251668480" behindDoc="0" locked="0" layoutInCell="1" allowOverlap="1" wp14:anchorId="76518F51" wp14:editId="75AF150A">
                <wp:simplePos x="0" y="0"/>
                <wp:positionH relativeFrom="margin">
                  <wp:posOffset>-457</wp:posOffset>
                </wp:positionH>
                <wp:positionV relativeFrom="paragraph">
                  <wp:posOffset>1000086</wp:posOffset>
                </wp:positionV>
                <wp:extent cx="6461760" cy="790575"/>
                <wp:effectExtent l="0" t="0" r="15240" b="28575"/>
                <wp:wrapSquare wrapText="bothSides"/>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90575"/>
                        </a:xfrm>
                        <a:prstGeom prst="rect">
                          <a:avLst/>
                        </a:prstGeom>
                        <a:solidFill>
                          <a:srgbClr val="FFFFFF"/>
                        </a:solidFill>
                        <a:ln w="9525">
                          <a:solidFill>
                            <a:srgbClr val="000000"/>
                          </a:solidFill>
                          <a:miter lim="800000"/>
                          <a:headEnd/>
                          <a:tailEnd/>
                        </a:ln>
                      </wps:spPr>
                      <wps:txbx>
                        <w:txbxContent>
                          <w:p w14:paraId="6D47E382" w14:textId="77777777" w:rsidR="00D604F1" w:rsidRPr="00D604F1" w:rsidRDefault="00D604F1" w:rsidP="00D604F1">
                            <w:pPr>
                              <w:rPr>
                                <w:rFonts w:ascii="Calibri" w:hAnsi="Calibri" w:cs="Calibri"/>
                                <w:b/>
                                <w:bCs/>
                                <w:sz w:val="20"/>
                              </w:rPr>
                            </w:pPr>
                            <w:bookmarkStart w:id="8" w:name="_Hlk165979168"/>
                            <w:bookmarkStart w:id="9" w:name="_Hlk165979169"/>
                            <w:bookmarkStart w:id="10" w:name="_Hlk173846726"/>
                            <w:r w:rsidRPr="00D604F1">
                              <w:rPr>
                                <w:rFonts w:ascii="Calibri" w:hAnsi="Calibri" w:cs="Calibri"/>
                                <w:b/>
                                <w:bCs/>
                                <w:sz w:val="20"/>
                              </w:rPr>
                              <w:t>Michal Skořepa, ekonomický analytik České spořitelny:</w:t>
                            </w:r>
                          </w:p>
                          <w:p w14:paraId="58A268B1" w14:textId="65B76879" w:rsidR="000F0B99" w:rsidRPr="00F37DC9" w:rsidRDefault="000F0B99" w:rsidP="000F0B99">
                            <w:pPr>
                              <w:rPr>
                                <w:rFonts w:ascii="Calibri" w:hAnsi="Calibri" w:cs="Calibri"/>
                                <w:i/>
                                <w:iCs/>
                              </w:rPr>
                            </w:pPr>
                            <w:r w:rsidRPr="000F6888">
                              <w:rPr>
                                <w:rFonts w:ascii="Calibri" w:hAnsi="Calibri" w:cs="Calibri"/>
                                <w:i/>
                                <w:iCs/>
                                <w:sz w:val="20"/>
                              </w:rPr>
                              <w:t>„</w:t>
                            </w:r>
                            <w:bookmarkEnd w:id="8"/>
                            <w:bookmarkEnd w:id="9"/>
                            <w:r w:rsidR="00EF5727" w:rsidRPr="00EF5727">
                              <w:rPr>
                                <w:rFonts w:ascii="Calibri" w:hAnsi="Calibri" w:cs="Calibri"/>
                                <w:i/>
                                <w:iCs/>
                                <w:sz w:val="20"/>
                              </w:rPr>
                              <w:t>Prognostický panel ČBA nyní očekává, že Česká národní banka letos už své úrokové sazby nejspíš</w:t>
                            </w:r>
                            <w:r w:rsidR="00397E02">
                              <w:rPr>
                                <w:rFonts w:ascii="Calibri" w:hAnsi="Calibri" w:cs="Calibri"/>
                                <w:i/>
                                <w:iCs/>
                                <w:sz w:val="20"/>
                              </w:rPr>
                              <w:t>e</w:t>
                            </w:r>
                            <w:r w:rsidR="00EF5727" w:rsidRPr="00EF5727">
                              <w:rPr>
                                <w:rFonts w:ascii="Calibri" w:hAnsi="Calibri" w:cs="Calibri"/>
                                <w:i/>
                                <w:iCs/>
                                <w:sz w:val="20"/>
                              </w:rPr>
                              <w:t xml:space="preserve"> nezmění. Pro rok 2025 pak předpokládá vcelku rovnoměrný pokles těchto sazeb, zatímco nedávno vydaná prognóza samotné České národní banky naznačila celkově poněkud výraznější pokles, který by navíc měl proběhnout už koncem tohoto a v první půlce příštího roku.</w:t>
                            </w:r>
                            <w:r w:rsidR="00EF5727">
                              <w:rPr>
                                <w:rFonts w:ascii="Calibri" w:hAnsi="Calibri" w:cs="Calibri"/>
                                <w:i/>
                                <w:iCs/>
                                <w:sz w:val="20"/>
                              </w:rPr>
                              <w:t>“</w:t>
                            </w:r>
                          </w:p>
                          <w:bookmarkEnd w:id="10"/>
                          <w:p w14:paraId="2C965C9B" w14:textId="0E045E4D" w:rsidR="004728A5" w:rsidRPr="00F37DC9" w:rsidRDefault="004728A5" w:rsidP="000F0B99">
                            <w:pPr>
                              <w:rPr>
                                <w:rFonts w:ascii="Calibri" w:hAnsi="Calibri" w:cs="Calibri"/>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18F51" id="Textové pole 6" o:spid="_x0000_s1028" type="#_x0000_t202" style="position:absolute;left:0;text-align:left;margin-left:-.05pt;margin-top:78.75pt;width:508.8pt;height:6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">
                <v:textbox>
                  <w:txbxContent>
                    <w:p w14:paraId="6D47E382" w14:textId="77777777" w:rsidR="00D604F1" w:rsidRPr="00D604F1" w:rsidRDefault="00D604F1" w:rsidP="00D604F1">
                      <w:pPr>
                        <w:rPr>
                          <w:rFonts w:ascii="Calibri" w:hAnsi="Calibri" w:cs="Calibri"/>
                          <w:b/>
                          <w:bCs/>
                          <w:sz w:val="20"/>
                        </w:rPr>
                      </w:pPr>
                      <w:bookmarkStart w:id="11" w:name="_Hlk165979168"/>
                      <w:bookmarkStart w:id="12" w:name="_Hlk165979169"/>
                      <w:bookmarkStart w:id="13" w:name="_Hlk173846726"/>
                      <w:r w:rsidRPr="00D604F1">
                        <w:rPr>
                          <w:rFonts w:ascii="Calibri" w:hAnsi="Calibri" w:cs="Calibri"/>
                          <w:b/>
                          <w:bCs/>
                          <w:sz w:val="20"/>
                        </w:rPr>
                        <w:t>Michal Skořepa, ekonomický analytik České spořitelny:</w:t>
                      </w:r>
                    </w:p>
                    <w:p w14:paraId="58A268B1" w14:textId="65B76879" w:rsidR="000F0B99" w:rsidRPr="00F37DC9" w:rsidRDefault="000F0B99" w:rsidP="000F0B99">
                      <w:pPr>
                        <w:rPr>
                          <w:rFonts w:ascii="Calibri" w:hAnsi="Calibri" w:cs="Calibri"/>
                          <w:i/>
                          <w:iCs/>
                        </w:rPr>
                      </w:pPr>
                      <w:r w:rsidRPr="000F6888">
                        <w:rPr>
                          <w:rFonts w:ascii="Calibri" w:hAnsi="Calibri" w:cs="Calibri"/>
                          <w:i/>
                          <w:iCs/>
                          <w:sz w:val="20"/>
                        </w:rPr>
                        <w:t>„</w:t>
                      </w:r>
                      <w:bookmarkEnd w:id="11"/>
                      <w:bookmarkEnd w:id="12"/>
                      <w:r w:rsidR="00EF5727" w:rsidRPr="00EF5727">
                        <w:rPr>
                          <w:rFonts w:ascii="Calibri" w:hAnsi="Calibri" w:cs="Calibri"/>
                          <w:i/>
                          <w:iCs/>
                          <w:sz w:val="20"/>
                        </w:rPr>
                        <w:t>Prognostický panel ČBA nyní očekává, že Česká národní banka letos už své úrokové sazby nejspíš</w:t>
                      </w:r>
                      <w:r w:rsidR="00397E02">
                        <w:rPr>
                          <w:rFonts w:ascii="Calibri" w:hAnsi="Calibri" w:cs="Calibri"/>
                          <w:i/>
                          <w:iCs/>
                          <w:sz w:val="20"/>
                        </w:rPr>
                        <w:t>e</w:t>
                      </w:r>
                      <w:r w:rsidR="00EF5727" w:rsidRPr="00EF5727">
                        <w:rPr>
                          <w:rFonts w:ascii="Calibri" w:hAnsi="Calibri" w:cs="Calibri"/>
                          <w:i/>
                          <w:iCs/>
                          <w:sz w:val="20"/>
                        </w:rPr>
                        <w:t xml:space="preserve"> nezmění. Pro rok 2025 pak předpokládá vcelku rovnoměrný pokles těchto sazeb, zatímco nedávno vydaná prognóza samotné České národní banky naznačila celkově poněkud výraznější pokles, který by navíc měl proběhnout už koncem tohoto a v první půlce příštího roku.</w:t>
                      </w:r>
                      <w:r w:rsidR="00EF5727">
                        <w:rPr>
                          <w:rFonts w:ascii="Calibri" w:hAnsi="Calibri" w:cs="Calibri"/>
                          <w:i/>
                          <w:iCs/>
                          <w:sz w:val="20"/>
                        </w:rPr>
                        <w:t>“</w:t>
                      </w:r>
                    </w:p>
                    <w:bookmarkEnd w:id="13"/>
                    <w:p w14:paraId="2C965C9B" w14:textId="0E045E4D" w:rsidR="004728A5" w:rsidRPr="00F37DC9" w:rsidRDefault="004728A5" w:rsidP="000F0B99">
                      <w:pPr>
                        <w:rPr>
                          <w:rFonts w:ascii="Calibri" w:hAnsi="Calibri" w:cs="Calibri"/>
                          <w:i/>
                          <w:iCs/>
                        </w:rPr>
                      </w:pPr>
                    </w:p>
                  </w:txbxContent>
                </v:textbox>
                <w10:wrap type="square" anchorx="margin"/>
              </v:shape>
            </w:pict>
          </mc:Fallback>
        </mc:AlternateContent>
      </w:r>
      <w:r w:rsidR="0079753B" w:rsidRPr="0079753B">
        <w:rPr>
          <w:rFonts w:ascii="Calibri" w:hAnsi="Calibri" w:cs="Calibri"/>
          <w:sz w:val="20"/>
        </w:rPr>
        <w:t xml:space="preserve">Česká národní banka </w:t>
      </w:r>
      <w:r w:rsidR="00CE5236">
        <w:rPr>
          <w:rFonts w:ascii="Calibri" w:hAnsi="Calibri" w:cs="Calibri"/>
          <w:sz w:val="20"/>
        </w:rPr>
        <w:t>v</w:t>
      </w:r>
      <w:r w:rsidR="00FE7C79">
        <w:rPr>
          <w:rFonts w:ascii="Calibri" w:hAnsi="Calibri" w:cs="Calibri"/>
          <w:sz w:val="20"/>
        </w:rPr>
        <w:t xml:space="preserve"> listopadu </w:t>
      </w:r>
      <w:r w:rsidR="00BD5070">
        <w:rPr>
          <w:rFonts w:ascii="Calibri" w:hAnsi="Calibri" w:cs="Calibri"/>
          <w:sz w:val="20"/>
        </w:rPr>
        <w:t>pokračovala v</w:t>
      </w:r>
      <w:r w:rsidR="0061416D">
        <w:rPr>
          <w:rFonts w:ascii="Calibri" w:hAnsi="Calibri" w:cs="Calibri"/>
          <w:sz w:val="20"/>
        </w:rPr>
        <w:t xml:space="preserve">e snižování </w:t>
      </w:r>
      <w:r w:rsidR="00BD5070">
        <w:rPr>
          <w:rFonts w:ascii="Calibri" w:hAnsi="Calibri" w:cs="Calibri"/>
          <w:sz w:val="20"/>
        </w:rPr>
        <w:t>úrokových sazeb</w:t>
      </w:r>
      <w:r w:rsidR="00675A09">
        <w:rPr>
          <w:rFonts w:ascii="Calibri" w:hAnsi="Calibri" w:cs="Calibri"/>
          <w:sz w:val="20"/>
        </w:rPr>
        <w:t xml:space="preserve"> </w:t>
      </w:r>
      <w:r w:rsidR="00FE7C79">
        <w:rPr>
          <w:rFonts w:ascii="Calibri" w:hAnsi="Calibri" w:cs="Calibri"/>
          <w:sz w:val="20"/>
        </w:rPr>
        <w:t>o tradiční čtvrt</w:t>
      </w:r>
      <w:r w:rsidR="00674429">
        <w:rPr>
          <w:rFonts w:ascii="Calibri" w:hAnsi="Calibri" w:cs="Calibri"/>
          <w:sz w:val="20"/>
        </w:rPr>
        <w:t>inu</w:t>
      </w:r>
      <w:r w:rsidR="00FE7C79">
        <w:rPr>
          <w:rFonts w:ascii="Calibri" w:hAnsi="Calibri" w:cs="Calibri"/>
          <w:sz w:val="20"/>
        </w:rPr>
        <w:t xml:space="preserve"> procentního bodu. </w:t>
      </w:r>
      <w:r w:rsidR="00BD5070">
        <w:rPr>
          <w:rFonts w:ascii="Calibri" w:hAnsi="Calibri" w:cs="Calibri"/>
          <w:sz w:val="20"/>
        </w:rPr>
        <w:t>Hlavní sazba se tak dostala na 4 %.</w:t>
      </w:r>
      <w:r w:rsidR="00D260F0">
        <w:rPr>
          <w:rFonts w:ascii="Calibri" w:hAnsi="Calibri" w:cs="Calibri"/>
          <w:sz w:val="20"/>
        </w:rPr>
        <w:t xml:space="preserve"> </w:t>
      </w:r>
      <w:r w:rsidR="00FE7C79">
        <w:rPr>
          <w:rFonts w:ascii="Calibri" w:hAnsi="Calibri" w:cs="Calibri"/>
          <w:sz w:val="20"/>
        </w:rPr>
        <w:t xml:space="preserve">Představitelé centrální banky naznačili, že budou při dalším snižování sazeb již velmi opatrní. Medián odhadů prognózy tak </w:t>
      </w:r>
      <w:r w:rsidR="007F39E1">
        <w:rPr>
          <w:rFonts w:ascii="Calibri" w:hAnsi="Calibri" w:cs="Calibri"/>
          <w:sz w:val="20"/>
        </w:rPr>
        <w:t>předpokládá</w:t>
      </w:r>
      <w:r w:rsidR="00FE7C79">
        <w:rPr>
          <w:rFonts w:ascii="Calibri" w:hAnsi="Calibri" w:cs="Calibri"/>
          <w:sz w:val="20"/>
        </w:rPr>
        <w:t xml:space="preserve">, že centrální banka již letos sazby snižovat nebude, nicméně odhad je v tomto ohledu rozdělen 5:4 a jen nepatrně menší část odhadů čeká </w:t>
      </w:r>
      <w:r w:rsidR="00675A09">
        <w:rPr>
          <w:rFonts w:ascii="Calibri" w:hAnsi="Calibri" w:cs="Calibri"/>
          <w:sz w:val="20"/>
        </w:rPr>
        <w:t xml:space="preserve">do konce roku </w:t>
      </w:r>
      <w:r w:rsidR="00FE7C79">
        <w:rPr>
          <w:rFonts w:ascii="Calibri" w:hAnsi="Calibri" w:cs="Calibri"/>
          <w:sz w:val="20"/>
        </w:rPr>
        <w:t>ještě jedno snížení</w:t>
      </w:r>
      <w:r w:rsidR="00675A09">
        <w:rPr>
          <w:rFonts w:ascii="Calibri" w:hAnsi="Calibri" w:cs="Calibri"/>
          <w:sz w:val="20"/>
        </w:rPr>
        <w:t xml:space="preserve"> na 3,75 %</w:t>
      </w:r>
      <w:r w:rsidR="00FE7C79">
        <w:rPr>
          <w:rFonts w:ascii="Calibri" w:hAnsi="Calibri" w:cs="Calibri"/>
          <w:sz w:val="20"/>
        </w:rPr>
        <w:t xml:space="preserve">. </w:t>
      </w:r>
      <w:r w:rsidR="00675A09">
        <w:rPr>
          <w:rFonts w:ascii="Calibri" w:hAnsi="Calibri" w:cs="Calibri"/>
          <w:sz w:val="20"/>
        </w:rPr>
        <w:t xml:space="preserve">Pro konec příštího roku </w:t>
      </w:r>
      <w:r w:rsidR="007F39E1">
        <w:rPr>
          <w:rFonts w:ascii="Calibri" w:hAnsi="Calibri" w:cs="Calibri"/>
          <w:sz w:val="20"/>
        </w:rPr>
        <w:t xml:space="preserve">konsensus očekává </w:t>
      </w:r>
      <w:r w:rsidR="00675A09">
        <w:rPr>
          <w:rFonts w:ascii="Calibri" w:hAnsi="Calibri" w:cs="Calibri"/>
          <w:sz w:val="20"/>
        </w:rPr>
        <w:t xml:space="preserve">hlavní sazbu </w:t>
      </w:r>
      <w:r w:rsidR="00FE7C79">
        <w:rPr>
          <w:rFonts w:ascii="Calibri" w:hAnsi="Calibri" w:cs="Calibri"/>
          <w:sz w:val="20"/>
        </w:rPr>
        <w:t>ve výši 3,25 %, a to za předpokladu, že se infl</w:t>
      </w:r>
      <w:r w:rsidR="00E93E95">
        <w:rPr>
          <w:rFonts w:ascii="Calibri" w:hAnsi="Calibri" w:cs="Calibri"/>
          <w:sz w:val="20"/>
        </w:rPr>
        <w:t>a</w:t>
      </w:r>
      <w:r w:rsidR="00FE7C79">
        <w:rPr>
          <w:rFonts w:ascii="Calibri" w:hAnsi="Calibri" w:cs="Calibri"/>
          <w:sz w:val="20"/>
        </w:rPr>
        <w:t>ce v druhé polovin</w:t>
      </w:r>
      <w:r w:rsidR="00E93E95">
        <w:rPr>
          <w:rFonts w:ascii="Calibri" w:hAnsi="Calibri" w:cs="Calibri"/>
          <w:sz w:val="20"/>
        </w:rPr>
        <w:t>ě</w:t>
      </w:r>
      <w:r w:rsidR="00FE7C79">
        <w:rPr>
          <w:rFonts w:ascii="Calibri" w:hAnsi="Calibri" w:cs="Calibri"/>
          <w:sz w:val="20"/>
        </w:rPr>
        <w:t xml:space="preserve"> roku ustálí </w:t>
      </w:r>
      <w:r w:rsidR="00E93E95">
        <w:rPr>
          <w:rFonts w:ascii="Calibri" w:hAnsi="Calibri" w:cs="Calibri"/>
          <w:sz w:val="20"/>
        </w:rPr>
        <w:t>a bude směřovat k</w:t>
      </w:r>
      <w:r w:rsidR="00FE7C79">
        <w:rPr>
          <w:rFonts w:ascii="Calibri" w:hAnsi="Calibri" w:cs="Calibri"/>
          <w:sz w:val="20"/>
        </w:rPr>
        <w:t xml:space="preserve"> 2% cíl</w:t>
      </w:r>
      <w:r w:rsidR="00E93E95">
        <w:rPr>
          <w:rFonts w:ascii="Calibri" w:hAnsi="Calibri" w:cs="Calibri"/>
          <w:sz w:val="20"/>
        </w:rPr>
        <w:t>i</w:t>
      </w:r>
      <w:r w:rsidR="00C20E6C">
        <w:rPr>
          <w:rFonts w:ascii="Calibri" w:hAnsi="Calibri" w:cs="Calibri"/>
          <w:sz w:val="20"/>
        </w:rPr>
        <w:t>, což je současné očekávání prognózy.</w:t>
      </w:r>
      <w:r w:rsidR="00FE7C79">
        <w:rPr>
          <w:rFonts w:ascii="Calibri" w:hAnsi="Calibri" w:cs="Calibri"/>
          <w:sz w:val="20"/>
        </w:rPr>
        <w:t xml:space="preserve"> </w:t>
      </w:r>
    </w:p>
    <w:p w14:paraId="1F212B88" w14:textId="271170FB" w:rsidR="007B17AD" w:rsidRDefault="004E4AD6" w:rsidP="00B941DB">
      <w:pPr>
        <w:rPr>
          <w:rFonts w:ascii="Calibri" w:hAnsi="Calibri" w:cs="Calibri"/>
          <w:sz w:val="20"/>
        </w:rPr>
      </w:pPr>
      <w:r>
        <w:rPr>
          <w:rFonts w:ascii="Calibri" w:hAnsi="Calibri" w:cs="Calibri"/>
          <w:sz w:val="20"/>
        </w:rPr>
        <w:lastRenderedPageBreak/>
        <w:t xml:space="preserve"> </w:t>
      </w:r>
    </w:p>
    <w:p w14:paraId="7510B880" w14:textId="4AC5BB79" w:rsidR="00872976" w:rsidRDefault="00A97B14" w:rsidP="00B941DB">
      <w:pPr>
        <w:rPr>
          <w:rFonts w:ascii="Calibri" w:hAnsi="Calibri" w:cs="Calibri"/>
          <w:sz w:val="20"/>
        </w:rPr>
      </w:pPr>
      <w:r w:rsidRPr="00A97B14">
        <w:rPr>
          <w:rFonts w:ascii="Calibri" w:hAnsi="Calibri" w:cs="Calibri"/>
          <w:b/>
          <w:bCs/>
          <w:sz w:val="20"/>
        </w:rPr>
        <w:t>Kurz koruny</w:t>
      </w:r>
      <w:r w:rsidR="002D2DEC">
        <w:rPr>
          <w:rFonts w:ascii="Calibri" w:hAnsi="Calibri" w:cs="Calibri"/>
          <w:b/>
          <w:bCs/>
          <w:sz w:val="20"/>
        </w:rPr>
        <w:t xml:space="preserve"> </w:t>
      </w:r>
      <w:r w:rsidR="00202BDA">
        <w:rPr>
          <w:rFonts w:ascii="Calibri" w:hAnsi="Calibri" w:cs="Calibri"/>
          <w:b/>
          <w:bCs/>
          <w:sz w:val="20"/>
        </w:rPr>
        <w:t xml:space="preserve">byl </w:t>
      </w:r>
      <w:r w:rsidR="00CF2169">
        <w:rPr>
          <w:rFonts w:ascii="Calibri" w:hAnsi="Calibri" w:cs="Calibri"/>
          <w:b/>
          <w:bCs/>
          <w:sz w:val="20"/>
        </w:rPr>
        <w:t>v nové prognóze přehodnocen</w:t>
      </w:r>
      <w:r w:rsidR="00CE5236">
        <w:rPr>
          <w:rFonts w:ascii="Calibri" w:hAnsi="Calibri" w:cs="Calibri"/>
          <w:b/>
          <w:bCs/>
          <w:sz w:val="20"/>
        </w:rPr>
        <w:t xml:space="preserve"> </w:t>
      </w:r>
      <w:r w:rsidR="0061416D">
        <w:rPr>
          <w:rFonts w:ascii="Calibri" w:hAnsi="Calibri" w:cs="Calibri"/>
          <w:b/>
          <w:bCs/>
          <w:sz w:val="20"/>
        </w:rPr>
        <w:t xml:space="preserve">jen velmi </w:t>
      </w:r>
      <w:r w:rsidR="00CE5236">
        <w:rPr>
          <w:rFonts w:ascii="Calibri" w:hAnsi="Calibri" w:cs="Calibri"/>
          <w:b/>
          <w:bCs/>
          <w:sz w:val="20"/>
        </w:rPr>
        <w:t>mírně</w:t>
      </w:r>
      <w:r w:rsidR="00CF2169">
        <w:rPr>
          <w:rFonts w:ascii="Calibri" w:hAnsi="Calibri" w:cs="Calibri"/>
          <w:b/>
          <w:bCs/>
          <w:sz w:val="20"/>
        </w:rPr>
        <w:t xml:space="preserve"> směrem ke slabším hodnotám</w:t>
      </w:r>
      <w:r w:rsidR="0061416D">
        <w:rPr>
          <w:rFonts w:ascii="Calibri" w:hAnsi="Calibri" w:cs="Calibri"/>
          <w:b/>
          <w:bCs/>
          <w:sz w:val="20"/>
        </w:rPr>
        <w:t>.</w:t>
      </w:r>
      <w:r w:rsidR="0034583B">
        <w:rPr>
          <w:rFonts w:ascii="Calibri" w:hAnsi="Calibri" w:cs="Calibri"/>
          <w:b/>
          <w:bCs/>
          <w:sz w:val="20"/>
        </w:rPr>
        <w:t xml:space="preserve"> Průměrná hodnota pro letošní rok by tak měla </w:t>
      </w:r>
      <w:r w:rsidR="00350D3F">
        <w:rPr>
          <w:rFonts w:ascii="Calibri" w:hAnsi="Calibri" w:cs="Calibri"/>
          <w:b/>
          <w:bCs/>
          <w:sz w:val="20"/>
        </w:rPr>
        <w:t xml:space="preserve">setrvat </w:t>
      </w:r>
      <w:r w:rsidR="0034583B">
        <w:rPr>
          <w:rFonts w:ascii="Calibri" w:hAnsi="Calibri" w:cs="Calibri"/>
          <w:b/>
          <w:bCs/>
          <w:sz w:val="20"/>
        </w:rPr>
        <w:t xml:space="preserve">nad hranicí 25 Kč za euro. </w:t>
      </w:r>
      <w:r w:rsidR="00CF2169">
        <w:rPr>
          <w:rFonts w:ascii="Calibri" w:hAnsi="Calibri" w:cs="Calibri"/>
          <w:b/>
          <w:bCs/>
          <w:sz w:val="20"/>
        </w:rPr>
        <w:t>Na konci letošního roku</w:t>
      </w:r>
      <w:r w:rsidR="0034583B">
        <w:rPr>
          <w:rFonts w:ascii="Calibri" w:hAnsi="Calibri" w:cs="Calibri"/>
          <w:b/>
          <w:bCs/>
          <w:sz w:val="20"/>
        </w:rPr>
        <w:t xml:space="preserve"> </w:t>
      </w:r>
      <w:r w:rsidR="00CF2169">
        <w:rPr>
          <w:rFonts w:ascii="Calibri" w:hAnsi="Calibri" w:cs="Calibri"/>
          <w:b/>
          <w:bCs/>
          <w:sz w:val="20"/>
        </w:rPr>
        <w:t xml:space="preserve">prognostický panel </w:t>
      </w:r>
      <w:r w:rsidR="0034583B">
        <w:rPr>
          <w:rFonts w:ascii="Calibri" w:hAnsi="Calibri" w:cs="Calibri"/>
          <w:b/>
          <w:bCs/>
          <w:sz w:val="20"/>
        </w:rPr>
        <w:t xml:space="preserve">nadále odhaduje posílení koruny </w:t>
      </w:r>
      <w:r w:rsidR="00350D3F">
        <w:rPr>
          <w:rFonts w:ascii="Calibri" w:hAnsi="Calibri" w:cs="Calibri"/>
          <w:b/>
          <w:bCs/>
          <w:sz w:val="20"/>
        </w:rPr>
        <w:t xml:space="preserve">a </w:t>
      </w:r>
      <w:r w:rsidR="0034583B">
        <w:rPr>
          <w:rFonts w:ascii="Calibri" w:hAnsi="Calibri" w:cs="Calibri"/>
          <w:b/>
          <w:bCs/>
          <w:sz w:val="20"/>
        </w:rPr>
        <w:t xml:space="preserve">kurz </w:t>
      </w:r>
      <w:r w:rsidR="004A21B8">
        <w:rPr>
          <w:rFonts w:ascii="Calibri" w:hAnsi="Calibri" w:cs="Calibri"/>
          <w:b/>
          <w:bCs/>
          <w:sz w:val="20"/>
        </w:rPr>
        <w:t>u hranice 25 Kč za euro</w:t>
      </w:r>
      <w:r w:rsidR="00334A50">
        <w:rPr>
          <w:rFonts w:ascii="Calibri" w:hAnsi="Calibri" w:cs="Calibri"/>
          <w:b/>
          <w:bCs/>
          <w:sz w:val="20"/>
        </w:rPr>
        <w:t>.</w:t>
      </w:r>
      <w:r w:rsidR="0034583B">
        <w:rPr>
          <w:rFonts w:ascii="Calibri" w:hAnsi="Calibri" w:cs="Calibri"/>
          <w:b/>
          <w:bCs/>
          <w:sz w:val="20"/>
        </w:rPr>
        <w:t xml:space="preserve"> </w:t>
      </w:r>
      <w:r w:rsidR="0034583B" w:rsidRPr="00350D3F">
        <w:rPr>
          <w:rFonts w:ascii="Calibri" w:hAnsi="Calibri" w:cs="Calibri"/>
          <w:sz w:val="20"/>
        </w:rPr>
        <w:t>Rozptyl odhadů jednotlivých prognóz je v tomto ohledu</w:t>
      </w:r>
      <w:r w:rsidR="00350D3F" w:rsidRPr="00350D3F">
        <w:rPr>
          <w:rFonts w:ascii="Calibri" w:hAnsi="Calibri" w:cs="Calibri"/>
          <w:sz w:val="20"/>
        </w:rPr>
        <w:t xml:space="preserve"> výjimečně</w:t>
      </w:r>
      <w:r w:rsidR="0034583B" w:rsidRPr="00350D3F">
        <w:rPr>
          <w:rFonts w:ascii="Calibri" w:hAnsi="Calibri" w:cs="Calibri"/>
          <w:sz w:val="20"/>
        </w:rPr>
        <w:t xml:space="preserve"> úzký a </w:t>
      </w:r>
      <w:r w:rsidR="00350D3F">
        <w:rPr>
          <w:rFonts w:ascii="Calibri" w:hAnsi="Calibri" w:cs="Calibri"/>
          <w:sz w:val="20"/>
        </w:rPr>
        <w:t>ž</w:t>
      </w:r>
      <w:r w:rsidR="0034583B" w:rsidRPr="00350D3F">
        <w:rPr>
          <w:rFonts w:ascii="Calibri" w:hAnsi="Calibri" w:cs="Calibri"/>
          <w:sz w:val="20"/>
        </w:rPr>
        <w:t>ádná z prognóz nevidí kurz koruny koncem letošního roku nad její současnou úrovní.</w:t>
      </w:r>
      <w:r w:rsidR="0034583B">
        <w:rPr>
          <w:rFonts w:ascii="Calibri" w:hAnsi="Calibri" w:cs="Calibri"/>
          <w:b/>
          <w:bCs/>
          <w:sz w:val="20"/>
        </w:rPr>
        <w:t xml:space="preserve"> </w:t>
      </w:r>
      <w:r w:rsidR="00C20E6C">
        <w:rPr>
          <w:rFonts w:ascii="Calibri" w:hAnsi="Calibri" w:cs="Calibri"/>
          <w:sz w:val="20"/>
        </w:rPr>
        <w:t>Do konce příštího roku</w:t>
      </w:r>
      <w:r w:rsidR="00CE5236" w:rsidRPr="00334A50">
        <w:rPr>
          <w:rFonts w:ascii="Calibri" w:hAnsi="Calibri" w:cs="Calibri"/>
          <w:sz w:val="20"/>
        </w:rPr>
        <w:t xml:space="preserve"> </w:t>
      </w:r>
      <w:r w:rsidR="00334A50">
        <w:rPr>
          <w:rFonts w:ascii="Calibri" w:hAnsi="Calibri" w:cs="Calibri"/>
          <w:sz w:val="20"/>
        </w:rPr>
        <w:t>kurz</w:t>
      </w:r>
      <w:r w:rsidR="00C20E6C">
        <w:rPr>
          <w:rFonts w:ascii="Calibri" w:hAnsi="Calibri" w:cs="Calibri"/>
          <w:sz w:val="20"/>
        </w:rPr>
        <w:t xml:space="preserve"> koruny vůči euru</w:t>
      </w:r>
      <w:r w:rsidR="00334A50">
        <w:rPr>
          <w:rFonts w:ascii="Calibri" w:hAnsi="Calibri" w:cs="Calibri"/>
          <w:sz w:val="20"/>
        </w:rPr>
        <w:t xml:space="preserve"> </w:t>
      </w:r>
      <w:r w:rsidR="00CE5236" w:rsidRPr="00334A50">
        <w:rPr>
          <w:rFonts w:ascii="Calibri" w:hAnsi="Calibri" w:cs="Calibri"/>
          <w:sz w:val="20"/>
        </w:rPr>
        <w:t xml:space="preserve">posílí </w:t>
      </w:r>
      <w:r w:rsidR="00350D3F">
        <w:rPr>
          <w:rFonts w:ascii="Calibri" w:hAnsi="Calibri" w:cs="Calibri"/>
          <w:sz w:val="20"/>
        </w:rPr>
        <w:t xml:space="preserve">o necelá 2 % </w:t>
      </w:r>
      <w:r w:rsidR="00CE5236" w:rsidRPr="00334A50">
        <w:rPr>
          <w:rFonts w:ascii="Calibri" w:hAnsi="Calibri" w:cs="Calibri"/>
          <w:sz w:val="20"/>
        </w:rPr>
        <w:t>k hranici 24,</w:t>
      </w:r>
      <w:r w:rsidR="004A21B8">
        <w:rPr>
          <w:rFonts w:ascii="Calibri" w:hAnsi="Calibri" w:cs="Calibri"/>
          <w:sz w:val="20"/>
        </w:rPr>
        <w:t>7</w:t>
      </w:r>
      <w:r w:rsidR="00CE5236" w:rsidRPr="00334A50">
        <w:rPr>
          <w:rFonts w:ascii="Calibri" w:hAnsi="Calibri" w:cs="Calibri"/>
          <w:sz w:val="20"/>
        </w:rPr>
        <w:t xml:space="preserve"> Kč za eur</w:t>
      </w:r>
      <w:r w:rsidR="0089060C">
        <w:rPr>
          <w:rFonts w:ascii="Calibri" w:hAnsi="Calibri" w:cs="Calibri"/>
          <w:sz w:val="20"/>
        </w:rPr>
        <w:t>o</w:t>
      </w:r>
      <w:r w:rsidR="00C20E6C">
        <w:rPr>
          <w:rFonts w:ascii="Calibri" w:hAnsi="Calibri" w:cs="Calibri"/>
          <w:sz w:val="20"/>
        </w:rPr>
        <w:t xml:space="preserve">. </w:t>
      </w:r>
      <w:r w:rsidR="00A46415">
        <w:rPr>
          <w:rFonts w:ascii="Calibri" w:hAnsi="Calibri" w:cs="Calibri"/>
          <w:sz w:val="20"/>
        </w:rPr>
        <w:t>Případným rizikem je v tomto ohledu možné citelnější dlouhodobé posílení dolaru vůči euru v návaznosti mimo jiné na celní opatření avizovaná nastupujícím americkým prezidentem Trumpem, což by mohlo vést k mírně slabší úrovni koruny v příštím roce nejen vůči dolaru, ale i euru.</w:t>
      </w:r>
    </w:p>
    <w:p w14:paraId="45E6826F" w14:textId="77777777" w:rsidR="00A46415" w:rsidRPr="00FD4088" w:rsidRDefault="00A46415" w:rsidP="00B941DB">
      <w:pPr>
        <w:rPr>
          <w:rFonts w:ascii="Calibri" w:hAnsi="Calibri" w:cs="Calibri"/>
          <w:b/>
          <w:color w:val="13576B"/>
          <w:sz w:val="22"/>
          <w:szCs w:val="22"/>
        </w:rPr>
      </w:pPr>
    </w:p>
    <w:p w14:paraId="17B9ABDD" w14:textId="365C0C8D" w:rsidR="006C6CFF" w:rsidRPr="00926110" w:rsidRDefault="00FD08E5" w:rsidP="00FD4088">
      <w:pPr>
        <w:rPr>
          <w:rFonts w:ascii="Calibri" w:hAnsi="Calibri" w:cs="Calibri"/>
          <w:b/>
          <w:sz w:val="22"/>
          <w:szCs w:val="22"/>
        </w:rPr>
      </w:pPr>
      <w:r>
        <w:rPr>
          <w:rFonts w:ascii="Calibri" w:hAnsi="Calibri" w:cs="Calibri"/>
          <w:b/>
          <w:color w:val="13576B"/>
          <w:sz w:val="22"/>
          <w:szCs w:val="22"/>
        </w:rPr>
        <w:t>Deficit vlády vůči HDP se bude postupně snižovat</w:t>
      </w:r>
    </w:p>
    <w:p w14:paraId="3701BD55" w14:textId="197BF876" w:rsidR="00DB46CC" w:rsidRDefault="008C4379" w:rsidP="00247943">
      <w:pPr>
        <w:rPr>
          <w:rFonts w:ascii="Calibri" w:hAnsi="Calibri" w:cs="Calibri"/>
          <w:sz w:val="20"/>
        </w:rPr>
      </w:pPr>
      <w:r w:rsidRPr="00926110">
        <w:rPr>
          <w:rFonts w:ascii="Calibri" w:hAnsi="Calibri" w:cs="Calibri"/>
          <w:b/>
          <w:bCs/>
          <w:sz w:val="20"/>
        </w:rPr>
        <w:t>Deficit hospodaření</w:t>
      </w:r>
      <w:r w:rsidR="00124A05" w:rsidRPr="00926110">
        <w:rPr>
          <w:rFonts w:ascii="Calibri" w:hAnsi="Calibri" w:cs="Calibri"/>
          <w:b/>
          <w:bCs/>
          <w:sz w:val="20"/>
        </w:rPr>
        <w:t xml:space="preserve"> státu</w:t>
      </w:r>
      <w:r w:rsidRPr="00926110">
        <w:rPr>
          <w:rFonts w:ascii="Calibri" w:hAnsi="Calibri" w:cs="Calibri"/>
          <w:b/>
          <w:bCs/>
          <w:sz w:val="20"/>
        </w:rPr>
        <w:t xml:space="preserve"> </w:t>
      </w:r>
      <w:r w:rsidR="009A515B">
        <w:rPr>
          <w:rFonts w:ascii="Calibri" w:hAnsi="Calibri" w:cs="Calibri"/>
          <w:b/>
          <w:bCs/>
          <w:sz w:val="20"/>
        </w:rPr>
        <w:t xml:space="preserve">pro </w:t>
      </w:r>
      <w:r w:rsidRPr="00926110">
        <w:rPr>
          <w:rFonts w:ascii="Calibri" w:hAnsi="Calibri" w:cs="Calibri"/>
          <w:b/>
          <w:bCs/>
          <w:sz w:val="20"/>
        </w:rPr>
        <w:t xml:space="preserve">letošní rok odhaduje prognóza ČBA </w:t>
      </w:r>
      <w:r w:rsidR="009A515B">
        <w:rPr>
          <w:rFonts w:ascii="Calibri" w:hAnsi="Calibri" w:cs="Calibri"/>
          <w:b/>
          <w:bCs/>
          <w:sz w:val="20"/>
        </w:rPr>
        <w:t xml:space="preserve">ve výši 2,7 % HDP a ve srovnání s předchozím rokem se tak </w:t>
      </w:r>
      <w:r w:rsidR="001C2230">
        <w:rPr>
          <w:rFonts w:ascii="Calibri" w:hAnsi="Calibri" w:cs="Calibri"/>
          <w:b/>
          <w:bCs/>
          <w:sz w:val="20"/>
        </w:rPr>
        <w:t xml:space="preserve">schodek </w:t>
      </w:r>
      <w:r w:rsidR="009A515B">
        <w:rPr>
          <w:rFonts w:ascii="Calibri" w:hAnsi="Calibri" w:cs="Calibri"/>
          <w:b/>
          <w:bCs/>
          <w:sz w:val="20"/>
        </w:rPr>
        <w:t>sníží o</w:t>
      </w:r>
      <w:r w:rsidR="00FD05FD">
        <w:rPr>
          <w:rFonts w:ascii="Calibri" w:hAnsi="Calibri" w:cs="Calibri"/>
          <w:b/>
          <w:bCs/>
          <w:sz w:val="20"/>
        </w:rPr>
        <w:t xml:space="preserve"> téměř</w:t>
      </w:r>
      <w:r w:rsidR="009A515B">
        <w:rPr>
          <w:rFonts w:ascii="Calibri" w:hAnsi="Calibri" w:cs="Calibri"/>
          <w:b/>
          <w:bCs/>
          <w:sz w:val="20"/>
        </w:rPr>
        <w:t xml:space="preserve"> 1</w:t>
      </w:r>
      <w:r w:rsidR="00437356">
        <w:rPr>
          <w:rFonts w:ascii="Calibri" w:hAnsi="Calibri" w:cs="Calibri"/>
          <w:b/>
          <w:bCs/>
          <w:sz w:val="20"/>
        </w:rPr>
        <w:t xml:space="preserve"> </w:t>
      </w:r>
      <w:proofErr w:type="spellStart"/>
      <w:r w:rsidR="00ED1277">
        <w:rPr>
          <w:rFonts w:ascii="Calibri" w:hAnsi="Calibri" w:cs="Calibri"/>
          <w:b/>
          <w:bCs/>
          <w:sz w:val="20"/>
        </w:rPr>
        <w:t>p.b</w:t>
      </w:r>
      <w:proofErr w:type="spellEnd"/>
      <w:r w:rsidR="009A515B">
        <w:rPr>
          <w:rFonts w:ascii="Calibri" w:hAnsi="Calibri" w:cs="Calibri"/>
          <w:b/>
          <w:bCs/>
          <w:sz w:val="20"/>
        </w:rPr>
        <w:t xml:space="preserve">. </w:t>
      </w:r>
      <w:r w:rsidR="0005493C">
        <w:rPr>
          <w:rFonts w:ascii="Calibri" w:hAnsi="Calibri" w:cs="Calibri"/>
          <w:sz w:val="20"/>
        </w:rPr>
        <w:t>P</w:t>
      </w:r>
      <w:r w:rsidR="00D168FB" w:rsidRPr="00926110">
        <w:rPr>
          <w:rFonts w:ascii="Calibri" w:hAnsi="Calibri" w:cs="Calibri"/>
          <w:sz w:val="20"/>
        </w:rPr>
        <w:t xml:space="preserve">okles </w:t>
      </w:r>
      <w:r w:rsidR="009A515B">
        <w:rPr>
          <w:rFonts w:ascii="Calibri" w:hAnsi="Calibri" w:cs="Calibri"/>
          <w:sz w:val="20"/>
        </w:rPr>
        <w:t xml:space="preserve">deficitu v letošním roce </w:t>
      </w:r>
      <w:r w:rsidR="00D168FB" w:rsidRPr="00926110">
        <w:rPr>
          <w:rFonts w:ascii="Calibri" w:hAnsi="Calibri" w:cs="Calibri"/>
          <w:sz w:val="20"/>
        </w:rPr>
        <w:t xml:space="preserve">je dán kombinací odeznění jednorázových výdajů spojených s kompenzacemi </w:t>
      </w:r>
      <w:r w:rsidR="00C01FF9">
        <w:rPr>
          <w:rFonts w:ascii="Calibri" w:hAnsi="Calibri" w:cs="Calibri"/>
          <w:sz w:val="20"/>
        </w:rPr>
        <w:t xml:space="preserve">vysokých cen </w:t>
      </w:r>
      <w:r w:rsidR="00D168FB" w:rsidRPr="00926110">
        <w:rPr>
          <w:rFonts w:ascii="Calibri" w:hAnsi="Calibri" w:cs="Calibri"/>
          <w:sz w:val="20"/>
        </w:rPr>
        <w:t>energií</w:t>
      </w:r>
      <w:r w:rsidR="004C6901">
        <w:rPr>
          <w:rFonts w:ascii="Calibri" w:hAnsi="Calibri" w:cs="Calibri"/>
          <w:sz w:val="20"/>
        </w:rPr>
        <w:t xml:space="preserve">, </w:t>
      </w:r>
      <w:r w:rsidR="00D967BD">
        <w:rPr>
          <w:rFonts w:ascii="Calibri" w:hAnsi="Calibri" w:cs="Calibri"/>
          <w:sz w:val="20"/>
        </w:rPr>
        <w:t>mírného</w:t>
      </w:r>
      <w:r w:rsidR="00D168FB" w:rsidRPr="00926110">
        <w:rPr>
          <w:rFonts w:ascii="Calibri" w:hAnsi="Calibri" w:cs="Calibri"/>
          <w:sz w:val="20"/>
        </w:rPr>
        <w:t xml:space="preserve"> </w:t>
      </w:r>
      <w:r w:rsidR="00DF00E0" w:rsidRPr="00926110">
        <w:rPr>
          <w:rFonts w:ascii="Calibri" w:hAnsi="Calibri" w:cs="Calibri"/>
          <w:sz w:val="20"/>
        </w:rPr>
        <w:t>oživení</w:t>
      </w:r>
      <w:r w:rsidR="00D168FB" w:rsidRPr="00926110">
        <w:rPr>
          <w:rFonts w:ascii="Calibri" w:hAnsi="Calibri" w:cs="Calibri"/>
          <w:sz w:val="20"/>
        </w:rPr>
        <w:t xml:space="preserve"> tuzemské ekonomiky</w:t>
      </w:r>
      <w:r w:rsidR="004C6901">
        <w:rPr>
          <w:rFonts w:ascii="Calibri" w:hAnsi="Calibri" w:cs="Calibri"/>
          <w:sz w:val="20"/>
        </w:rPr>
        <w:t xml:space="preserve"> a </w:t>
      </w:r>
      <w:r w:rsidR="009A515B">
        <w:rPr>
          <w:rFonts w:ascii="Calibri" w:hAnsi="Calibri" w:cs="Calibri"/>
          <w:sz w:val="20"/>
        </w:rPr>
        <w:t xml:space="preserve">dopadu </w:t>
      </w:r>
      <w:r w:rsidR="004C6901">
        <w:rPr>
          <w:rFonts w:ascii="Calibri" w:hAnsi="Calibri" w:cs="Calibri"/>
          <w:sz w:val="20"/>
        </w:rPr>
        <w:t>konsolidační</w:t>
      </w:r>
      <w:r w:rsidR="00C01FF9">
        <w:rPr>
          <w:rFonts w:ascii="Calibri" w:hAnsi="Calibri" w:cs="Calibri"/>
          <w:sz w:val="20"/>
        </w:rPr>
        <w:t>ho</w:t>
      </w:r>
      <w:r w:rsidR="004C6901">
        <w:rPr>
          <w:rFonts w:ascii="Calibri" w:hAnsi="Calibri" w:cs="Calibri"/>
          <w:sz w:val="20"/>
        </w:rPr>
        <w:t xml:space="preserve"> balíčk</w:t>
      </w:r>
      <w:r w:rsidR="00C01FF9">
        <w:rPr>
          <w:rFonts w:ascii="Calibri" w:hAnsi="Calibri" w:cs="Calibri"/>
          <w:sz w:val="20"/>
        </w:rPr>
        <w:t>u</w:t>
      </w:r>
      <w:r w:rsidR="00D168FB" w:rsidRPr="00926110">
        <w:rPr>
          <w:rFonts w:ascii="Calibri" w:hAnsi="Calibri" w:cs="Calibri"/>
          <w:sz w:val="20"/>
        </w:rPr>
        <w:t xml:space="preserve">. </w:t>
      </w:r>
      <w:r w:rsidR="00350D3F">
        <w:rPr>
          <w:rFonts w:ascii="Calibri" w:hAnsi="Calibri" w:cs="Calibri"/>
          <w:sz w:val="20"/>
        </w:rPr>
        <w:t>Deficit pro rok příští se odhaduje</w:t>
      </w:r>
      <w:r w:rsidR="00FD0574">
        <w:rPr>
          <w:rFonts w:ascii="Calibri" w:hAnsi="Calibri" w:cs="Calibri"/>
          <w:sz w:val="20"/>
        </w:rPr>
        <w:t xml:space="preserve"> ve výši</w:t>
      </w:r>
      <w:r w:rsidR="00350D3F">
        <w:rPr>
          <w:rFonts w:ascii="Calibri" w:hAnsi="Calibri" w:cs="Calibri"/>
          <w:sz w:val="20"/>
        </w:rPr>
        <w:t xml:space="preserve"> 2</w:t>
      </w:r>
      <w:r w:rsidR="00FD0574">
        <w:rPr>
          <w:rFonts w:ascii="Calibri" w:hAnsi="Calibri" w:cs="Calibri"/>
          <w:sz w:val="20"/>
        </w:rPr>
        <w:t xml:space="preserve">,3 </w:t>
      </w:r>
      <w:r w:rsidR="00350D3F">
        <w:rPr>
          <w:rFonts w:ascii="Calibri" w:hAnsi="Calibri" w:cs="Calibri"/>
          <w:sz w:val="20"/>
        </w:rPr>
        <w:t xml:space="preserve">%, což bude zejména důsledek očekávaného rychlejšího růstu tuzemské ekonomiky. </w:t>
      </w:r>
    </w:p>
    <w:p w14:paraId="451FC2CC" w14:textId="77777777" w:rsidR="00CF2169" w:rsidRDefault="00CF2169" w:rsidP="00247943">
      <w:pPr>
        <w:rPr>
          <w:rFonts w:ascii="Calibri" w:hAnsi="Calibri" w:cs="Calibri"/>
          <w:sz w:val="20"/>
        </w:rPr>
      </w:pPr>
    </w:p>
    <w:p w14:paraId="6A2F513C" w14:textId="255A28B7" w:rsidR="002D12BD" w:rsidRPr="00DD4A8E" w:rsidRDefault="006973A5" w:rsidP="00FD4088">
      <w:pPr>
        <w:rPr>
          <w:rFonts w:ascii="Calibri" w:hAnsi="Calibri" w:cs="Calibri"/>
          <w:b/>
          <w:color w:val="13576B"/>
          <w:sz w:val="22"/>
          <w:szCs w:val="22"/>
        </w:rPr>
      </w:pPr>
      <w:r>
        <w:rPr>
          <w:rFonts w:ascii="Calibri" w:hAnsi="Calibri" w:cs="Calibri"/>
          <w:b/>
          <w:color w:val="13576B"/>
          <w:sz w:val="22"/>
          <w:szCs w:val="22"/>
        </w:rPr>
        <w:t>Úvěrový trh se</w:t>
      </w:r>
      <w:r w:rsidR="00044DB3">
        <w:rPr>
          <w:rFonts w:ascii="Calibri" w:hAnsi="Calibri" w:cs="Calibri"/>
          <w:b/>
          <w:color w:val="13576B"/>
          <w:sz w:val="22"/>
          <w:szCs w:val="22"/>
        </w:rPr>
        <w:t xml:space="preserve"> </w:t>
      </w:r>
      <w:r w:rsidR="00EF5727">
        <w:rPr>
          <w:rFonts w:ascii="Calibri" w:hAnsi="Calibri" w:cs="Calibri"/>
          <w:b/>
          <w:color w:val="13576B"/>
          <w:sz w:val="22"/>
          <w:szCs w:val="22"/>
        </w:rPr>
        <w:t xml:space="preserve">letos </w:t>
      </w:r>
      <w:r w:rsidR="00044DB3">
        <w:rPr>
          <w:rFonts w:ascii="Calibri" w:hAnsi="Calibri" w:cs="Calibri"/>
          <w:b/>
          <w:color w:val="13576B"/>
          <w:sz w:val="22"/>
          <w:szCs w:val="22"/>
        </w:rPr>
        <w:t xml:space="preserve">vyvíjí </w:t>
      </w:r>
      <w:r w:rsidR="00FE4B30">
        <w:rPr>
          <w:rFonts w:ascii="Calibri" w:hAnsi="Calibri" w:cs="Calibri"/>
          <w:b/>
          <w:color w:val="13576B"/>
          <w:sz w:val="22"/>
          <w:szCs w:val="22"/>
        </w:rPr>
        <w:t>příznivě</w:t>
      </w:r>
    </w:p>
    <w:p w14:paraId="03D874C4" w14:textId="5DF08876" w:rsidR="00872B18" w:rsidRPr="007246B8" w:rsidRDefault="007246B8" w:rsidP="00602381">
      <w:pPr>
        <w:rPr>
          <w:rFonts w:ascii="Calibri" w:hAnsi="Calibri" w:cs="Calibri"/>
          <w:sz w:val="20"/>
        </w:rPr>
      </w:pPr>
      <w:r w:rsidRPr="007246B8">
        <w:rPr>
          <w:rFonts w:ascii="Calibri" w:hAnsi="Calibri" w:cs="Calibri"/>
          <w:b/>
          <w:bCs/>
          <w:sz w:val="20"/>
        </w:rPr>
        <w:t xml:space="preserve">Za tři čtvrtě roku dosáhl meziroční růst hypotečních úvěrů téměř 100 %. </w:t>
      </w:r>
      <w:r w:rsidRPr="007246B8">
        <w:rPr>
          <w:rFonts w:ascii="Calibri" w:hAnsi="Calibri" w:cs="Calibri"/>
          <w:sz w:val="20"/>
        </w:rPr>
        <w:t xml:space="preserve">Dle oficiální statistiky ČNB byly od ledna do září poskytnuty nové hypotéky </w:t>
      </w:r>
      <w:r w:rsidR="005A7328">
        <w:rPr>
          <w:rFonts w:ascii="Calibri" w:hAnsi="Calibri" w:cs="Calibri"/>
          <w:sz w:val="20"/>
        </w:rPr>
        <w:t xml:space="preserve">(bez refinancování) </w:t>
      </w:r>
      <w:r w:rsidRPr="007246B8">
        <w:rPr>
          <w:rFonts w:ascii="Calibri" w:hAnsi="Calibri" w:cs="Calibri"/>
          <w:sz w:val="20"/>
        </w:rPr>
        <w:t xml:space="preserve">v objemu 152 mld. Kč, což je </w:t>
      </w:r>
      <w:r w:rsidR="005A7328">
        <w:rPr>
          <w:rFonts w:ascii="Calibri" w:hAnsi="Calibri" w:cs="Calibri"/>
          <w:sz w:val="20"/>
        </w:rPr>
        <w:t>obdobný</w:t>
      </w:r>
      <w:r w:rsidRPr="007246B8">
        <w:rPr>
          <w:rFonts w:ascii="Calibri" w:hAnsi="Calibri" w:cs="Calibri"/>
          <w:sz w:val="20"/>
        </w:rPr>
        <w:t xml:space="preserve"> objem jako ve stejném období roku 2020. Data ČBA </w:t>
      </w:r>
      <w:proofErr w:type="spellStart"/>
      <w:r w:rsidRPr="007246B8">
        <w:rPr>
          <w:rFonts w:ascii="Calibri" w:hAnsi="Calibri" w:cs="Calibri"/>
          <w:sz w:val="20"/>
        </w:rPr>
        <w:t>Hypomonitoru</w:t>
      </w:r>
      <w:proofErr w:type="spellEnd"/>
      <w:r w:rsidRPr="007246B8">
        <w:rPr>
          <w:rFonts w:ascii="Calibri" w:hAnsi="Calibri" w:cs="Calibri"/>
          <w:sz w:val="20"/>
        </w:rPr>
        <w:t xml:space="preserve"> však ukazují, že z hlediska počtu poskytnutých hypoték jich bylo v daném období oproti roku 2020 poskytnuto o čtvrtinu méně</w:t>
      </w:r>
      <w:r w:rsidR="001C2230">
        <w:rPr>
          <w:rFonts w:ascii="Calibri" w:hAnsi="Calibri" w:cs="Calibri"/>
          <w:sz w:val="20"/>
        </w:rPr>
        <w:t xml:space="preserve">. Tento vývoj souvisí s tím, že v posledním roce </w:t>
      </w:r>
      <w:r w:rsidR="005A7328">
        <w:rPr>
          <w:rFonts w:ascii="Calibri" w:hAnsi="Calibri" w:cs="Calibri"/>
          <w:sz w:val="20"/>
        </w:rPr>
        <w:t xml:space="preserve">zvýšila průměrná </w:t>
      </w:r>
      <w:r w:rsidR="001C2230">
        <w:rPr>
          <w:rFonts w:ascii="Calibri" w:hAnsi="Calibri" w:cs="Calibri"/>
          <w:sz w:val="20"/>
        </w:rPr>
        <w:t xml:space="preserve">výše hypotéky. Úroková </w:t>
      </w:r>
      <w:r w:rsidRPr="007246B8">
        <w:rPr>
          <w:rFonts w:ascii="Calibri" w:hAnsi="Calibri" w:cs="Calibri"/>
          <w:sz w:val="20"/>
        </w:rPr>
        <w:t xml:space="preserve">sazba u nově poskytnutých hypoték se dle statistiky ČNB pohybuje nepatrně pod 5% hranicí, což odpovídá také datům ČBA </w:t>
      </w:r>
      <w:proofErr w:type="spellStart"/>
      <w:r w:rsidRPr="007246B8">
        <w:rPr>
          <w:rFonts w:ascii="Calibri" w:hAnsi="Calibri" w:cs="Calibri"/>
          <w:sz w:val="20"/>
        </w:rPr>
        <w:t>Hypomonitoru</w:t>
      </w:r>
      <w:proofErr w:type="spellEnd"/>
      <w:r w:rsidRPr="007246B8">
        <w:rPr>
          <w:rFonts w:ascii="Calibri" w:hAnsi="Calibri" w:cs="Calibri"/>
          <w:sz w:val="20"/>
        </w:rPr>
        <w:t>.</w:t>
      </w:r>
    </w:p>
    <w:p w14:paraId="47B533F2" w14:textId="77777777" w:rsidR="007246B8" w:rsidRPr="00872B18" w:rsidRDefault="007246B8" w:rsidP="00602381">
      <w:pPr>
        <w:rPr>
          <w:rFonts w:ascii="Calibri" w:hAnsi="Calibri" w:cs="Calibri"/>
          <w:sz w:val="20"/>
        </w:rPr>
      </w:pPr>
    </w:p>
    <w:p w14:paraId="597DC5B3" w14:textId="098786FF" w:rsidR="00532363" w:rsidRPr="00872B18" w:rsidRDefault="007246B8" w:rsidP="00B4285D">
      <w:pPr>
        <w:rPr>
          <w:rFonts w:ascii="Calibri" w:hAnsi="Calibri" w:cs="Calibri"/>
          <w:sz w:val="20"/>
        </w:rPr>
      </w:pPr>
      <w:r>
        <w:rPr>
          <w:rFonts w:ascii="Calibri" w:hAnsi="Calibri" w:cs="Calibri"/>
          <w:b/>
          <w:bCs/>
          <w:sz w:val="20"/>
        </w:rPr>
        <w:t>O</w:t>
      </w:r>
      <w:r w:rsidR="005071D2" w:rsidRPr="00872B18">
        <w:rPr>
          <w:rFonts w:ascii="Calibri" w:hAnsi="Calibri" w:cs="Calibri"/>
          <w:b/>
          <w:bCs/>
          <w:sz w:val="20"/>
        </w:rPr>
        <w:t xml:space="preserve">bjem nových spotřebitelských úvěrů </w:t>
      </w:r>
      <w:r>
        <w:rPr>
          <w:rFonts w:ascii="Calibri" w:hAnsi="Calibri" w:cs="Calibri"/>
          <w:b/>
          <w:bCs/>
          <w:sz w:val="20"/>
        </w:rPr>
        <w:t xml:space="preserve">od ledna do září </w:t>
      </w:r>
      <w:r w:rsidR="005071D2" w:rsidRPr="00872B18">
        <w:rPr>
          <w:rFonts w:ascii="Calibri" w:hAnsi="Calibri" w:cs="Calibri"/>
          <w:b/>
          <w:bCs/>
          <w:sz w:val="20"/>
        </w:rPr>
        <w:t xml:space="preserve">vzrostl téměř o třetinu a </w:t>
      </w:r>
      <w:r w:rsidR="003C6E2A">
        <w:rPr>
          <w:rFonts w:ascii="Calibri" w:hAnsi="Calibri" w:cs="Calibri"/>
          <w:b/>
          <w:bCs/>
          <w:sz w:val="20"/>
        </w:rPr>
        <w:t>přesáhl výši 100</w:t>
      </w:r>
      <w:r w:rsidR="005071D2" w:rsidRPr="00872B18">
        <w:rPr>
          <w:rFonts w:ascii="Calibri" w:hAnsi="Calibri" w:cs="Calibri"/>
          <w:b/>
          <w:bCs/>
          <w:sz w:val="20"/>
        </w:rPr>
        <w:t xml:space="preserve"> mld. Kč. </w:t>
      </w:r>
      <w:r w:rsidR="005071D2" w:rsidRPr="00872B18">
        <w:rPr>
          <w:rFonts w:ascii="Calibri" w:hAnsi="Calibri" w:cs="Calibri"/>
          <w:sz w:val="20"/>
        </w:rPr>
        <w:t xml:space="preserve">Příznivý vývoj je dán zlepšující se příjmovou situací domácností, vyšší spotřebitelskou důvěrou a také potřebou vyššího financování z titulu inflačního vývoje posledních let. </w:t>
      </w:r>
      <w:r w:rsidR="003C6E2A">
        <w:rPr>
          <w:rFonts w:ascii="Calibri" w:hAnsi="Calibri" w:cs="Calibri"/>
          <w:sz w:val="20"/>
        </w:rPr>
        <w:t>Evidence některých bank naznačuje, že je růst spotřebních úvěrů tažen t</w:t>
      </w:r>
      <w:r w:rsidR="00FE4B30">
        <w:rPr>
          <w:rFonts w:ascii="Calibri" w:hAnsi="Calibri" w:cs="Calibri"/>
          <w:sz w:val="20"/>
        </w:rPr>
        <w:t>zv. „</w:t>
      </w:r>
      <w:r w:rsidR="003C6E2A">
        <w:rPr>
          <w:rFonts w:ascii="Calibri" w:hAnsi="Calibri" w:cs="Calibri"/>
          <w:sz w:val="20"/>
        </w:rPr>
        <w:t>americkými hypotékami</w:t>
      </w:r>
      <w:r w:rsidR="00FE4B30">
        <w:rPr>
          <w:rFonts w:ascii="Calibri" w:hAnsi="Calibri" w:cs="Calibri"/>
          <w:sz w:val="20"/>
        </w:rPr>
        <w:t>“</w:t>
      </w:r>
      <w:r w:rsidR="003C6E2A">
        <w:rPr>
          <w:rFonts w:ascii="Calibri" w:hAnsi="Calibri" w:cs="Calibri"/>
          <w:sz w:val="20"/>
        </w:rPr>
        <w:t>, tj. neúčelovou spotřební pů</w:t>
      </w:r>
      <w:r w:rsidR="00FE4B30">
        <w:rPr>
          <w:rFonts w:ascii="Calibri" w:hAnsi="Calibri" w:cs="Calibri"/>
          <w:sz w:val="20"/>
        </w:rPr>
        <w:t>j</w:t>
      </w:r>
      <w:r w:rsidR="003C6E2A">
        <w:rPr>
          <w:rFonts w:ascii="Calibri" w:hAnsi="Calibri" w:cs="Calibri"/>
          <w:sz w:val="20"/>
        </w:rPr>
        <w:t xml:space="preserve">čkou zajištěnou nemovitostí. </w:t>
      </w:r>
      <w:r w:rsidR="005071D2" w:rsidRPr="00872B18">
        <w:rPr>
          <w:rFonts w:ascii="Calibri" w:hAnsi="Calibri" w:cs="Calibri"/>
          <w:sz w:val="20"/>
        </w:rPr>
        <w:t>Průměrná úroková sazba u</w:t>
      </w:r>
      <w:r w:rsidR="0089312E">
        <w:rPr>
          <w:rFonts w:ascii="Calibri" w:hAnsi="Calibri" w:cs="Calibri"/>
          <w:sz w:val="20"/>
        </w:rPr>
        <w:t> </w:t>
      </w:r>
      <w:r w:rsidR="005071D2" w:rsidRPr="00872B18">
        <w:rPr>
          <w:rFonts w:ascii="Calibri" w:hAnsi="Calibri" w:cs="Calibri"/>
          <w:sz w:val="20"/>
        </w:rPr>
        <w:t xml:space="preserve">spotřebitelských úvěrů v </w:t>
      </w:r>
      <w:r w:rsidR="003C6E2A">
        <w:rPr>
          <w:rFonts w:ascii="Calibri" w:hAnsi="Calibri" w:cs="Calibri"/>
          <w:sz w:val="20"/>
        </w:rPr>
        <w:t>září</w:t>
      </w:r>
      <w:r w:rsidR="005071D2" w:rsidRPr="00872B18">
        <w:rPr>
          <w:rFonts w:ascii="Calibri" w:hAnsi="Calibri" w:cs="Calibri"/>
          <w:sz w:val="20"/>
        </w:rPr>
        <w:t xml:space="preserve"> činila </w:t>
      </w:r>
      <w:r w:rsidR="003C6E2A">
        <w:rPr>
          <w:rFonts w:ascii="Calibri" w:hAnsi="Calibri" w:cs="Calibri"/>
          <w:sz w:val="20"/>
        </w:rPr>
        <w:t>8</w:t>
      </w:r>
      <w:r w:rsidR="005071D2" w:rsidRPr="00872B18">
        <w:rPr>
          <w:rFonts w:ascii="Calibri" w:hAnsi="Calibri" w:cs="Calibri"/>
          <w:sz w:val="20"/>
        </w:rPr>
        <w:t>,</w:t>
      </w:r>
      <w:r w:rsidR="003C6E2A">
        <w:rPr>
          <w:rFonts w:ascii="Calibri" w:hAnsi="Calibri" w:cs="Calibri"/>
          <w:sz w:val="20"/>
        </w:rPr>
        <w:t>9</w:t>
      </w:r>
      <w:r w:rsidR="005071D2" w:rsidRPr="00872B18">
        <w:rPr>
          <w:rFonts w:ascii="Calibri" w:hAnsi="Calibri" w:cs="Calibri"/>
          <w:sz w:val="20"/>
        </w:rPr>
        <w:t xml:space="preserve"> %</w:t>
      </w:r>
      <w:r w:rsidR="00CA3354">
        <w:rPr>
          <w:rFonts w:ascii="Calibri" w:hAnsi="Calibri" w:cs="Calibri"/>
          <w:sz w:val="20"/>
        </w:rPr>
        <w:t>,</w:t>
      </w:r>
      <w:r w:rsidR="005071D2" w:rsidRPr="00872B18">
        <w:rPr>
          <w:rFonts w:ascii="Calibri" w:hAnsi="Calibri" w:cs="Calibri"/>
          <w:sz w:val="20"/>
        </w:rPr>
        <w:t xml:space="preserve"> a je tak </w:t>
      </w:r>
      <w:r w:rsidR="003C6E2A">
        <w:rPr>
          <w:rFonts w:ascii="Calibri" w:hAnsi="Calibri" w:cs="Calibri"/>
          <w:sz w:val="20"/>
        </w:rPr>
        <w:t>téměř o jeden</w:t>
      </w:r>
      <w:r w:rsidR="005071D2" w:rsidRPr="00872B18">
        <w:rPr>
          <w:rFonts w:ascii="Calibri" w:hAnsi="Calibri" w:cs="Calibri"/>
          <w:sz w:val="20"/>
        </w:rPr>
        <w:t xml:space="preserve"> procentní bod nižší než před rokem.</w:t>
      </w:r>
    </w:p>
    <w:p w14:paraId="259876B3" w14:textId="77777777" w:rsidR="005071D2" w:rsidRPr="00872B18" w:rsidRDefault="005071D2" w:rsidP="00B4285D">
      <w:pPr>
        <w:rPr>
          <w:rFonts w:ascii="Calibri" w:hAnsi="Calibri" w:cs="Calibri"/>
          <w:sz w:val="20"/>
        </w:rPr>
      </w:pPr>
    </w:p>
    <w:p w14:paraId="0998E184" w14:textId="25EB0CD0" w:rsidR="009808F6" w:rsidRPr="005064E9" w:rsidRDefault="009331BD" w:rsidP="00B4285D">
      <w:pPr>
        <w:rPr>
          <w:rFonts w:ascii="Calibri" w:hAnsi="Calibri" w:cs="Calibri"/>
          <w:sz w:val="20"/>
        </w:rPr>
      </w:pPr>
      <w:r w:rsidRPr="00872B18">
        <w:rPr>
          <w:rFonts w:ascii="Calibri" w:hAnsi="Calibri" w:cs="Calibri"/>
          <w:b/>
          <w:bCs/>
          <w:sz w:val="20"/>
        </w:rPr>
        <w:t>Nov</w:t>
      </w:r>
      <w:r w:rsidR="00AA0055" w:rsidRPr="00872B18">
        <w:rPr>
          <w:rFonts w:ascii="Calibri" w:hAnsi="Calibri" w:cs="Calibri"/>
          <w:b/>
          <w:bCs/>
          <w:sz w:val="20"/>
        </w:rPr>
        <w:t xml:space="preserve">ě poskytnuté </w:t>
      </w:r>
      <w:r w:rsidRPr="00872B18">
        <w:rPr>
          <w:rFonts w:ascii="Calibri" w:hAnsi="Calibri" w:cs="Calibri"/>
          <w:b/>
          <w:bCs/>
          <w:sz w:val="20"/>
        </w:rPr>
        <w:t xml:space="preserve">úvěry podnikům </w:t>
      </w:r>
      <w:r w:rsidR="00FE4B30">
        <w:rPr>
          <w:rFonts w:ascii="Calibri" w:hAnsi="Calibri" w:cs="Calibri"/>
          <w:b/>
          <w:bCs/>
          <w:sz w:val="20"/>
        </w:rPr>
        <w:t xml:space="preserve">po zářijové revizi dat ze strany ČNB rovněž vykazují za tři čtvrtě roku příznivější dynamiku. Od ledna do září vzrostl objem nově poskytnutých korunových úvěrů meziročně o 28 %, v případě eurových pak o 14,5 %. </w:t>
      </w:r>
      <w:r w:rsidR="00FE4B30">
        <w:rPr>
          <w:rFonts w:ascii="Calibri" w:hAnsi="Calibri" w:cs="Calibri"/>
          <w:sz w:val="20"/>
        </w:rPr>
        <w:t xml:space="preserve">Celkový nárůst nových úvěru v obou měnách tak meziročně přesáhl 20 %. </w:t>
      </w:r>
      <w:r w:rsidR="00FE4B30" w:rsidRPr="005064E9">
        <w:rPr>
          <w:rFonts w:ascii="Calibri" w:hAnsi="Calibri" w:cs="Calibri"/>
          <w:sz w:val="20"/>
        </w:rPr>
        <w:t xml:space="preserve">Podíl eurových úvěrů za dané období činil 47 % oproti 51,5 % v roce 2023. Menší podíl eurových úvěrů </w:t>
      </w:r>
      <w:r w:rsidR="005064E9" w:rsidRPr="005064E9">
        <w:rPr>
          <w:rFonts w:ascii="Calibri" w:hAnsi="Calibri" w:cs="Calibri"/>
          <w:sz w:val="20"/>
        </w:rPr>
        <w:t>souvisí</w:t>
      </w:r>
      <w:r w:rsidR="00FE4B30" w:rsidRPr="005064E9">
        <w:rPr>
          <w:rFonts w:ascii="Calibri" w:hAnsi="Calibri" w:cs="Calibri"/>
          <w:sz w:val="20"/>
        </w:rPr>
        <w:t xml:space="preserve"> se snižujícím se úrokovým rozdílem</w:t>
      </w:r>
      <w:r w:rsidR="00561393">
        <w:rPr>
          <w:rFonts w:ascii="Calibri" w:hAnsi="Calibri" w:cs="Calibri"/>
          <w:sz w:val="20"/>
        </w:rPr>
        <w:t xml:space="preserve"> mezi</w:t>
      </w:r>
      <w:r w:rsidR="00A46415">
        <w:rPr>
          <w:rFonts w:ascii="Calibri" w:hAnsi="Calibri" w:cs="Calibri"/>
          <w:sz w:val="20"/>
        </w:rPr>
        <w:t xml:space="preserve"> úvěry v daných měnách</w:t>
      </w:r>
      <w:r w:rsidR="00FE4B30" w:rsidRPr="005064E9">
        <w:rPr>
          <w:rFonts w:ascii="Calibri" w:hAnsi="Calibri" w:cs="Calibri"/>
          <w:sz w:val="20"/>
        </w:rPr>
        <w:t>, který v zář</w:t>
      </w:r>
      <w:r w:rsidR="00102C57">
        <w:rPr>
          <w:rFonts w:ascii="Calibri" w:hAnsi="Calibri" w:cs="Calibri"/>
          <w:sz w:val="20"/>
        </w:rPr>
        <w:t>í</w:t>
      </w:r>
      <w:r w:rsidR="00FE4B30" w:rsidRPr="005064E9">
        <w:rPr>
          <w:rFonts w:ascii="Calibri" w:hAnsi="Calibri" w:cs="Calibri"/>
          <w:sz w:val="20"/>
        </w:rPr>
        <w:t xml:space="preserve"> byl pod 1 </w:t>
      </w:r>
      <w:proofErr w:type="spellStart"/>
      <w:r w:rsidR="005064E9">
        <w:rPr>
          <w:rFonts w:ascii="Calibri" w:hAnsi="Calibri" w:cs="Calibri"/>
          <w:sz w:val="20"/>
        </w:rPr>
        <w:t>p.b</w:t>
      </w:r>
      <w:proofErr w:type="spellEnd"/>
      <w:r w:rsidR="005064E9">
        <w:rPr>
          <w:rFonts w:ascii="Calibri" w:hAnsi="Calibri" w:cs="Calibri"/>
          <w:sz w:val="20"/>
        </w:rPr>
        <w:t>.</w:t>
      </w:r>
      <w:r w:rsidR="00FE4B30" w:rsidRPr="005064E9">
        <w:rPr>
          <w:rFonts w:ascii="Calibri" w:hAnsi="Calibri" w:cs="Calibri"/>
          <w:sz w:val="20"/>
        </w:rPr>
        <w:t xml:space="preserve"> a byl </w:t>
      </w:r>
      <w:r w:rsidR="005064E9">
        <w:rPr>
          <w:rFonts w:ascii="Calibri" w:hAnsi="Calibri" w:cs="Calibri"/>
          <w:sz w:val="20"/>
        </w:rPr>
        <w:t xml:space="preserve">tak </w:t>
      </w:r>
      <w:r w:rsidR="00FE4B30" w:rsidRPr="005064E9">
        <w:rPr>
          <w:rFonts w:ascii="Calibri" w:hAnsi="Calibri" w:cs="Calibri"/>
          <w:sz w:val="20"/>
        </w:rPr>
        <w:t xml:space="preserve">nejnižší </w:t>
      </w:r>
      <w:r w:rsidR="005064E9" w:rsidRPr="005064E9">
        <w:rPr>
          <w:rFonts w:ascii="Calibri" w:hAnsi="Calibri" w:cs="Calibri"/>
          <w:sz w:val="20"/>
        </w:rPr>
        <w:t xml:space="preserve">od závěru roku 2021. Průměrná sazba u </w:t>
      </w:r>
      <w:r w:rsidR="00561393">
        <w:rPr>
          <w:rFonts w:ascii="Calibri" w:hAnsi="Calibri" w:cs="Calibri"/>
          <w:sz w:val="20"/>
        </w:rPr>
        <w:t xml:space="preserve">nových </w:t>
      </w:r>
      <w:r w:rsidR="005064E9" w:rsidRPr="005064E9">
        <w:rPr>
          <w:rFonts w:ascii="Calibri" w:hAnsi="Calibri" w:cs="Calibri"/>
          <w:sz w:val="20"/>
        </w:rPr>
        <w:t>korunových úvěrů činila v září 5,9 %</w:t>
      </w:r>
      <w:r w:rsidR="003A714E">
        <w:rPr>
          <w:rFonts w:ascii="Calibri" w:hAnsi="Calibri" w:cs="Calibri"/>
          <w:sz w:val="20"/>
        </w:rPr>
        <w:t>,</w:t>
      </w:r>
      <w:r w:rsidR="005064E9" w:rsidRPr="005064E9">
        <w:rPr>
          <w:rFonts w:ascii="Calibri" w:hAnsi="Calibri" w:cs="Calibri"/>
          <w:sz w:val="20"/>
        </w:rPr>
        <w:t xml:space="preserve"> u eurových </w:t>
      </w:r>
      <w:r w:rsidR="005064E9">
        <w:rPr>
          <w:rFonts w:ascii="Calibri" w:hAnsi="Calibri" w:cs="Calibri"/>
          <w:sz w:val="20"/>
        </w:rPr>
        <w:t>ú</w:t>
      </w:r>
      <w:r w:rsidR="005064E9" w:rsidRPr="005064E9">
        <w:rPr>
          <w:rFonts w:ascii="Calibri" w:hAnsi="Calibri" w:cs="Calibri"/>
          <w:sz w:val="20"/>
        </w:rPr>
        <w:t>věrů 5,2 %.</w:t>
      </w:r>
      <w:r w:rsidR="005071D2" w:rsidRPr="005064E9">
        <w:rPr>
          <w:rFonts w:ascii="Calibri" w:hAnsi="Calibri" w:cs="Calibri"/>
          <w:sz w:val="20"/>
        </w:rPr>
        <w:t xml:space="preserve"> </w:t>
      </w:r>
    </w:p>
    <w:p w14:paraId="0A3D0904" w14:textId="77777777" w:rsidR="0044304B" w:rsidRPr="00044DB3" w:rsidRDefault="0044304B" w:rsidP="00B4285D">
      <w:pPr>
        <w:rPr>
          <w:rFonts w:ascii="Calibri" w:hAnsi="Calibri" w:cs="Calibri"/>
          <w:sz w:val="20"/>
        </w:rPr>
      </w:pPr>
    </w:p>
    <w:p w14:paraId="02D1F126" w14:textId="0687E7D0" w:rsidR="00B63AFC" w:rsidRDefault="00B63AFC" w:rsidP="00B4285D">
      <w:pPr>
        <w:rPr>
          <w:rFonts w:ascii="Calibri" w:hAnsi="Calibri" w:cs="Calibri"/>
          <w:sz w:val="20"/>
        </w:rPr>
      </w:pPr>
      <w:r w:rsidRPr="00044DB3">
        <w:rPr>
          <w:rFonts w:ascii="Calibri" w:hAnsi="Calibri" w:cs="Calibri"/>
          <w:b/>
          <w:bCs/>
          <w:sz w:val="20"/>
        </w:rPr>
        <w:t>Růst vklad</w:t>
      </w:r>
      <w:r w:rsidR="00602381" w:rsidRPr="00044DB3">
        <w:rPr>
          <w:rFonts w:ascii="Calibri" w:hAnsi="Calibri" w:cs="Calibri"/>
          <w:b/>
          <w:bCs/>
          <w:sz w:val="20"/>
        </w:rPr>
        <w:t>ů</w:t>
      </w:r>
      <w:r w:rsidRPr="00044DB3">
        <w:rPr>
          <w:rFonts w:ascii="Calibri" w:hAnsi="Calibri" w:cs="Calibri"/>
          <w:b/>
          <w:bCs/>
          <w:sz w:val="20"/>
        </w:rPr>
        <w:t xml:space="preserve"> </w:t>
      </w:r>
      <w:r w:rsidR="00602381" w:rsidRPr="00044DB3">
        <w:rPr>
          <w:rFonts w:ascii="Calibri" w:hAnsi="Calibri" w:cs="Calibri"/>
          <w:b/>
          <w:bCs/>
          <w:sz w:val="20"/>
        </w:rPr>
        <w:t>v</w:t>
      </w:r>
      <w:r w:rsidR="001A7725">
        <w:rPr>
          <w:rFonts w:ascii="Calibri" w:hAnsi="Calibri" w:cs="Calibri"/>
          <w:b/>
          <w:bCs/>
          <w:sz w:val="20"/>
        </w:rPr>
        <w:t xml:space="preserve">e třetím </w:t>
      </w:r>
      <w:r w:rsidR="00602381" w:rsidRPr="00044DB3">
        <w:rPr>
          <w:rFonts w:ascii="Calibri" w:hAnsi="Calibri" w:cs="Calibri"/>
          <w:b/>
          <w:bCs/>
          <w:sz w:val="20"/>
        </w:rPr>
        <w:t xml:space="preserve">čtvrtletí letošního roku </w:t>
      </w:r>
      <w:r w:rsidR="00872B18">
        <w:rPr>
          <w:rFonts w:ascii="Calibri" w:hAnsi="Calibri" w:cs="Calibri"/>
          <w:b/>
          <w:bCs/>
          <w:sz w:val="20"/>
        </w:rPr>
        <w:t xml:space="preserve">oproti 1. </w:t>
      </w:r>
      <w:r w:rsidR="001A7725">
        <w:rPr>
          <w:rFonts w:ascii="Calibri" w:hAnsi="Calibri" w:cs="Calibri"/>
          <w:b/>
          <w:bCs/>
          <w:sz w:val="20"/>
        </w:rPr>
        <w:t xml:space="preserve">pololetí </w:t>
      </w:r>
      <w:r w:rsidR="00872B18">
        <w:rPr>
          <w:rFonts w:ascii="Calibri" w:hAnsi="Calibri" w:cs="Calibri"/>
          <w:b/>
          <w:bCs/>
          <w:sz w:val="20"/>
        </w:rPr>
        <w:t>nepatrně zvolnil, a to z</w:t>
      </w:r>
      <w:r w:rsidR="001A7725">
        <w:rPr>
          <w:rFonts w:ascii="Calibri" w:hAnsi="Calibri" w:cs="Calibri"/>
          <w:b/>
          <w:bCs/>
          <w:sz w:val="20"/>
        </w:rPr>
        <w:t>e 7,7 na</w:t>
      </w:r>
      <w:r w:rsidR="00872B18">
        <w:rPr>
          <w:rFonts w:ascii="Calibri" w:hAnsi="Calibri" w:cs="Calibri"/>
          <w:b/>
          <w:bCs/>
          <w:sz w:val="20"/>
        </w:rPr>
        <w:t xml:space="preserve"> </w:t>
      </w:r>
      <w:r w:rsidR="001A7725">
        <w:rPr>
          <w:rFonts w:ascii="Calibri" w:hAnsi="Calibri" w:cs="Calibri"/>
          <w:b/>
          <w:bCs/>
          <w:sz w:val="20"/>
        </w:rPr>
        <w:t>6,6</w:t>
      </w:r>
      <w:r w:rsidR="00872B18">
        <w:rPr>
          <w:rFonts w:ascii="Calibri" w:hAnsi="Calibri" w:cs="Calibri"/>
          <w:b/>
          <w:bCs/>
          <w:sz w:val="20"/>
        </w:rPr>
        <w:t xml:space="preserve"> %.</w:t>
      </w:r>
      <w:r w:rsidR="00602381" w:rsidRPr="00044DB3">
        <w:rPr>
          <w:rFonts w:ascii="Calibri" w:hAnsi="Calibri" w:cs="Calibri"/>
          <w:sz w:val="20"/>
        </w:rPr>
        <w:t xml:space="preserve"> V případě domácností </w:t>
      </w:r>
      <w:r w:rsidR="001A7725">
        <w:rPr>
          <w:rFonts w:ascii="Calibri" w:hAnsi="Calibri" w:cs="Calibri"/>
          <w:sz w:val="20"/>
        </w:rPr>
        <w:t xml:space="preserve">bylo tempo mírně silnější, a to 7,9 %, ačkoli také zpomalilo z 8,4 %. </w:t>
      </w:r>
      <w:r w:rsidR="00602381" w:rsidRPr="00044DB3">
        <w:rPr>
          <w:rFonts w:ascii="Calibri" w:hAnsi="Calibri" w:cs="Calibri"/>
          <w:sz w:val="20"/>
        </w:rPr>
        <w:t>Vzhledem k tomu že z</w:t>
      </w:r>
      <w:r w:rsidRPr="00044DB3">
        <w:rPr>
          <w:rFonts w:ascii="Calibri" w:hAnsi="Calibri" w:cs="Calibri"/>
          <w:sz w:val="20"/>
        </w:rPr>
        <w:t>hruba třetina z růstu vkladů domácnost</w:t>
      </w:r>
      <w:r w:rsidR="00DF32E5">
        <w:rPr>
          <w:rFonts w:ascii="Calibri" w:hAnsi="Calibri" w:cs="Calibri"/>
          <w:sz w:val="20"/>
        </w:rPr>
        <w:t>í</w:t>
      </w:r>
      <w:r w:rsidRPr="00044DB3">
        <w:rPr>
          <w:rFonts w:ascii="Calibri" w:hAnsi="Calibri" w:cs="Calibri"/>
          <w:sz w:val="20"/>
        </w:rPr>
        <w:t xml:space="preserve"> v loňském roce byla tvořena úrokovými výnosy</w:t>
      </w:r>
      <w:r w:rsidR="00602381" w:rsidRPr="00044DB3">
        <w:rPr>
          <w:rFonts w:ascii="Calibri" w:hAnsi="Calibri" w:cs="Calibri"/>
          <w:sz w:val="20"/>
        </w:rPr>
        <w:t xml:space="preserve">, lze očekávat, že s poklesem úrokových sazeb ČNB bude meziroční dynamika vkladů </w:t>
      </w:r>
      <w:r w:rsidR="001A7725">
        <w:rPr>
          <w:rFonts w:ascii="Calibri" w:hAnsi="Calibri" w:cs="Calibri"/>
          <w:sz w:val="20"/>
        </w:rPr>
        <w:t xml:space="preserve">dále </w:t>
      </w:r>
      <w:r w:rsidR="00602381" w:rsidRPr="00044DB3">
        <w:rPr>
          <w:rFonts w:ascii="Calibri" w:hAnsi="Calibri" w:cs="Calibri"/>
          <w:sz w:val="20"/>
        </w:rPr>
        <w:t>zpomalovat.</w:t>
      </w:r>
      <w:r w:rsidR="00602381">
        <w:rPr>
          <w:rFonts w:ascii="Calibri" w:hAnsi="Calibri" w:cs="Calibri"/>
          <w:sz w:val="20"/>
        </w:rPr>
        <w:t xml:space="preserve"> </w:t>
      </w:r>
    </w:p>
    <w:p w14:paraId="3EF8A742" w14:textId="77777777" w:rsidR="000013D3" w:rsidRDefault="000013D3" w:rsidP="00B4285D">
      <w:pPr>
        <w:rPr>
          <w:rFonts w:ascii="Calibri" w:hAnsi="Calibri" w:cs="Calibri"/>
          <w:sz w:val="20"/>
        </w:rPr>
      </w:pPr>
    </w:p>
    <w:p w14:paraId="3E7158A5" w14:textId="77777777" w:rsidR="00A46415" w:rsidRDefault="00A46415" w:rsidP="00B4285D">
      <w:pPr>
        <w:rPr>
          <w:rFonts w:ascii="Calibri" w:hAnsi="Calibri" w:cs="Calibri"/>
          <w:sz w:val="20"/>
        </w:rPr>
      </w:pPr>
    </w:p>
    <w:p w14:paraId="6AAFF145" w14:textId="77777777" w:rsidR="00A46415" w:rsidRDefault="00A46415" w:rsidP="00B4285D">
      <w:pPr>
        <w:rPr>
          <w:rFonts w:ascii="Calibri" w:hAnsi="Calibri" w:cs="Calibri"/>
          <w:sz w:val="20"/>
        </w:rPr>
      </w:pPr>
    </w:p>
    <w:p w14:paraId="61987C38" w14:textId="77777777" w:rsidR="00A46415" w:rsidRDefault="00A46415" w:rsidP="00B4285D">
      <w:pPr>
        <w:rPr>
          <w:rFonts w:ascii="Calibri" w:hAnsi="Calibri" w:cs="Calibri"/>
          <w:sz w:val="20"/>
        </w:rPr>
      </w:pPr>
    </w:p>
    <w:p w14:paraId="54809980" w14:textId="77777777" w:rsidR="00A46415" w:rsidRDefault="00A46415" w:rsidP="00B4285D">
      <w:pPr>
        <w:rPr>
          <w:rFonts w:ascii="Calibri" w:hAnsi="Calibri" w:cs="Calibri"/>
          <w:sz w:val="20"/>
        </w:rPr>
      </w:pPr>
    </w:p>
    <w:p w14:paraId="2824A0EB" w14:textId="77777777" w:rsidR="00A46415" w:rsidRDefault="00A46415" w:rsidP="00B4285D">
      <w:pPr>
        <w:rPr>
          <w:rFonts w:ascii="Calibri" w:hAnsi="Calibri" w:cs="Calibri"/>
          <w:sz w:val="20"/>
        </w:rPr>
      </w:pPr>
    </w:p>
    <w:p w14:paraId="08526B93" w14:textId="77777777" w:rsidR="00A46415" w:rsidRDefault="00A46415" w:rsidP="00B4285D">
      <w:pPr>
        <w:rPr>
          <w:rFonts w:ascii="Calibri" w:hAnsi="Calibri" w:cs="Calibri"/>
          <w:sz w:val="20"/>
        </w:rPr>
      </w:pPr>
    </w:p>
    <w:p w14:paraId="56874E1D" w14:textId="77777777" w:rsidR="00A46415" w:rsidRDefault="00A46415" w:rsidP="00B4285D">
      <w:pPr>
        <w:rPr>
          <w:rFonts w:ascii="Calibri" w:hAnsi="Calibri" w:cs="Calibri"/>
          <w:sz w:val="20"/>
        </w:rPr>
      </w:pPr>
    </w:p>
    <w:p w14:paraId="07337E8C" w14:textId="77777777" w:rsidR="00A46415" w:rsidRDefault="00A46415" w:rsidP="00B4285D">
      <w:pPr>
        <w:rPr>
          <w:rFonts w:ascii="Calibri" w:hAnsi="Calibri" w:cs="Calibri"/>
          <w:sz w:val="20"/>
        </w:rPr>
      </w:pPr>
    </w:p>
    <w:p w14:paraId="23FF9485" w14:textId="77777777" w:rsidR="00A46415" w:rsidRDefault="00A46415" w:rsidP="00B4285D">
      <w:pPr>
        <w:rPr>
          <w:rFonts w:ascii="Calibri" w:hAnsi="Calibri" w:cs="Calibri"/>
          <w:sz w:val="20"/>
        </w:rPr>
      </w:pPr>
    </w:p>
    <w:p w14:paraId="2FC9582D" w14:textId="77777777" w:rsidR="00A46415" w:rsidRDefault="00A46415" w:rsidP="00B4285D">
      <w:pPr>
        <w:rPr>
          <w:rFonts w:ascii="Calibri" w:hAnsi="Calibri" w:cs="Calibri"/>
          <w:sz w:val="20"/>
        </w:rPr>
      </w:pPr>
    </w:p>
    <w:p w14:paraId="3033EA3D" w14:textId="77777777" w:rsidR="000013D3" w:rsidRDefault="000013D3" w:rsidP="00B4285D">
      <w:pPr>
        <w:rPr>
          <w:rFonts w:ascii="Calibri" w:hAnsi="Calibri" w:cs="Calibri"/>
          <w:sz w:val="20"/>
        </w:rPr>
      </w:pPr>
    </w:p>
    <w:p w14:paraId="5AA039FF" w14:textId="4FDDE505" w:rsidR="00FC1601" w:rsidRDefault="00C93158" w:rsidP="00B4285D">
      <w:pPr>
        <w:rPr>
          <w:rFonts w:ascii="Calibri" w:hAnsi="Calibri" w:cs="Calibri"/>
          <w:b/>
          <w:color w:val="13576B"/>
          <w:sz w:val="22"/>
          <w:szCs w:val="22"/>
        </w:rPr>
      </w:pPr>
      <w:r w:rsidRPr="00AD0B10">
        <w:rPr>
          <w:rFonts w:ascii="Calibri" w:hAnsi="Calibri" w:cs="Calibri"/>
          <w:b/>
          <w:color w:val="13576B"/>
          <w:sz w:val="22"/>
          <w:szCs w:val="22"/>
        </w:rPr>
        <w:lastRenderedPageBreak/>
        <w:t>Makroekonomická prognóza ČBA v</w:t>
      </w:r>
      <w:r w:rsidR="00FC1884">
        <w:rPr>
          <w:rFonts w:ascii="Calibri" w:hAnsi="Calibri" w:cs="Calibri"/>
          <w:b/>
          <w:color w:val="13576B"/>
          <w:sz w:val="22"/>
          <w:szCs w:val="22"/>
        </w:rPr>
        <w:t> </w:t>
      </w:r>
      <w:r w:rsidRPr="00AD0B10">
        <w:rPr>
          <w:rFonts w:ascii="Calibri" w:hAnsi="Calibri" w:cs="Calibri"/>
          <w:b/>
          <w:color w:val="13576B"/>
          <w:sz w:val="22"/>
          <w:szCs w:val="22"/>
        </w:rPr>
        <w:t>číslech</w:t>
      </w:r>
      <w:r w:rsidR="00FC1884">
        <w:rPr>
          <w:rFonts w:ascii="Calibri" w:hAnsi="Calibri" w:cs="Calibri"/>
          <w:b/>
          <w:color w:val="13576B"/>
          <w:sz w:val="22"/>
          <w:szCs w:val="22"/>
        </w:rPr>
        <w:t>:</w:t>
      </w:r>
    </w:p>
    <w:tbl>
      <w:tblPr>
        <w:tblW w:w="6760" w:type="dxa"/>
        <w:tblCellMar>
          <w:left w:w="70" w:type="dxa"/>
          <w:right w:w="70" w:type="dxa"/>
        </w:tblCellMar>
        <w:tblLook w:val="04A0" w:firstRow="1" w:lastRow="0" w:firstColumn="1" w:lastColumn="0" w:noHBand="0" w:noVBand="1"/>
      </w:tblPr>
      <w:tblGrid>
        <w:gridCol w:w="4720"/>
        <w:gridCol w:w="680"/>
        <w:gridCol w:w="680"/>
        <w:gridCol w:w="680"/>
      </w:tblGrid>
      <w:tr w:rsidR="00743530" w:rsidRPr="00743530" w14:paraId="60D62E88" w14:textId="77777777" w:rsidTr="00743530">
        <w:trPr>
          <w:trHeight w:val="225"/>
        </w:trPr>
        <w:tc>
          <w:tcPr>
            <w:tcW w:w="4720" w:type="dxa"/>
            <w:vMerge w:val="restart"/>
            <w:tcBorders>
              <w:top w:val="nil"/>
              <w:left w:val="nil"/>
              <w:bottom w:val="single" w:sz="8" w:space="0" w:color="FFFFFF"/>
              <w:right w:val="single" w:sz="8" w:space="0" w:color="FFFFFF"/>
            </w:tcBorders>
            <w:shd w:val="clear" w:color="000000" w:fill="13576B"/>
            <w:vAlign w:val="center"/>
            <w:hideMark/>
          </w:tcPr>
          <w:p w14:paraId="67CE6FD0" w14:textId="77777777" w:rsidR="00743530" w:rsidRPr="00743530" w:rsidRDefault="00743530" w:rsidP="00743530">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Ukazatel</w:t>
            </w:r>
          </w:p>
        </w:tc>
        <w:tc>
          <w:tcPr>
            <w:tcW w:w="680" w:type="dxa"/>
            <w:tcBorders>
              <w:top w:val="nil"/>
              <w:left w:val="nil"/>
              <w:bottom w:val="nil"/>
              <w:right w:val="single" w:sz="8" w:space="0" w:color="FFFFFF"/>
            </w:tcBorders>
            <w:shd w:val="clear" w:color="000000" w:fill="13576B"/>
            <w:vAlign w:val="center"/>
            <w:hideMark/>
          </w:tcPr>
          <w:p w14:paraId="75A47C37" w14:textId="03911F29"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sidR="00437356">
              <w:rPr>
                <w:rFonts w:ascii="Calibri Light" w:hAnsi="Calibri Light" w:cs="Calibri Light"/>
                <w:b/>
                <w:bCs/>
                <w:color w:val="FFFFFF"/>
                <w:szCs w:val="18"/>
              </w:rPr>
              <w:t>3</w:t>
            </w:r>
          </w:p>
        </w:tc>
        <w:tc>
          <w:tcPr>
            <w:tcW w:w="680" w:type="dxa"/>
            <w:tcBorders>
              <w:top w:val="nil"/>
              <w:left w:val="nil"/>
              <w:bottom w:val="nil"/>
              <w:right w:val="single" w:sz="8" w:space="0" w:color="FFFFFF"/>
            </w:tcBorders>
            <w:shd w:val="clear" w:color="000000" w:fill="13576B"/>
            <w:vAlign w:val="center"/>
            <w:hideMark/>
          </w:tcPr>
          <w:p w14:paraId="423E3B46" w14:textId="4C9BD6EB"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sidR="00437356">
              <w:rPr>
                <w:rFonts w:ascii="Calibri Light" w:hAnsi="Calibri Light" w:cs="Calibri Light"/>
                <w:b/>
                <w:bCs/>
                <w:color w:val="FFFFFF"/>
                <w:szCs w:val="18"/>
              </w:rPr>
              <w:t>4</w:t>
            </w:r>
          </w:p>
        </w:tc>
        <w:tc>
          <w:tcPr>
            <w:tcW w:w="680" w:type="dxa"/>
            <w:tcBorders>
              <w:top w:val="nil"/>
              <w:left w:val="nil"/>
              <w:bottom w:val="nil"/>
              <w:right w:val="single" w:sz="8" w:space="0" w:color="FFFFFF"/>
            </w:tcBorders>
            <w:shd w:val="clear" w:color="000000" w:fill="13576B"/>
            <w:vAlign w:val="center"/>
            <w:hideMark/>
          </w:tcPr>
          <w:p w14:paraId="6874B87B" w14:textId="7D8683F9"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sidR="00437356">
              <w:rPr>
                <w:rFonts w:ascii="Calibri Light" w:hAnsi="Calibri Light" w:cs="Calibri Light"/>
                <w:b/>
                <w:bCs/>
                <w:color w:val="FFFFFF"/>
                <w:szCs w:val="18"/>
              </w:rPr>
              <w:t>5</w:t>
            </w:r>
          </w:p>
        </w:tc>
      </w:tr>
      <w:tr w:rsidR="00743530" w:rsidRPr="00743530" w14:paraId="47415891" w14:textId="77777777" w:rsidTr="0018297A">
        <w:trPr>
          <w:trHeight w:val="28"/>
        </w:trPr>
        <w:tc>
          <w:tcPr>
            <w:tcW w:w="4720" w:type="dxa"/>
            <w:vMerge/>
            <w:tcBorders>
              <w:top w:val="nil"/>
              <w:left w:val="nil"/>
              <w:bottom w:val="single" w:sz="8" w:space="0" w:color="FFFFFF"/>
              <w:right w:val="single" w:sz="8" w:space="0" w:color="FFFFFF"/>
            </w:tcBorders>
            <w:vAlign w:val="center"/>
            <w:hideMark/>
          </w:tcPr>
          <w:p w14:paraId="13C40E2C" w14:textId="77777777" w:rsidR="00743530" w:rsidRPr="00743530" w:rsidRDefault="00743530" w:rsidP="00743530">
            <w:pPr>
              <w:overflowPunct/>
              <w:autoSpaceDE/>
              <w:autoSpaceDN/>
              <w:adjustRightInd/>
              <w:jc w:val="left"/>
              <w:textAlignment w:val="auto"/>
              <w:rPr>
                <w:rFonts w:ascii="Calibri Light" w:hAnsi="Calibri Light" w:cs="Calibri Light"/>
                <w:b/>
                <w:bCs/>
                <w:color w:val="FFFFFF"/>
                <w:sz w:val="20"/>
              </w:rPr>
            </w:pPr>
          </w:p>
        </w:tc>
        <w:tc>
          <w:tcPr>
            <w:tcW w:w="680" w:type="dxa"/>
            <w:tcBorders>
              <w:top w:val="nil"/>
              <w:left w:val="nil"/>
              <w:bottom w:val="single" w:sz="8" w:space="0" w:color="FFFFFF"/>
              <w:right w:val="single" w:sz="8" w:space="0" w:color="FFFFFF"/>
            </w:tcBorders>
            <w:shd w:val="clear" w:color="000000" w:fill="13576B"/>
            <w:vAlign w:val="center"/>
            <w:hideMark/>
          </w:tcPr>
          <w:p w14:paraId="63605DA3" w14:textId="77777777"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02F52424" w14:textId="77777777"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1178181A" w14:textId="77777777" w:rsidR="00743530" w:rsidRPr="00743530" w:rsidRDefault="00743530" w:rsidP="00743530">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r>
      <w:tr w:rsidR="00EC29DC" w:rsidRPr="00743530" w14:paraId="044CFE1A"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30EF8938"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reálného HDP (%)</w:t>
            </w:r>
          </w:p>
        </w:tc>
        <w:tc>
          <w:tcPr>
            <w:tcW w:w="680" w:type="dxa"/>
            <w:tcBorders>
              <w:top w:val="nil"/>
              <w:left w:val="nil"/>
              <w:bottom w:val="nil"/>
              <w:right w:val="single" w:sz="8" w:space="0" w:color="FFFFFF"/>
            </w:tcBorders>
            <w:shd w:val="clear" w:color="000000" w:fill="D9D9D9"/>
            <w:noWrap/>
            <w:vAlign w:val="center"/>
            <w:hideMark/>
          </w:tcPr>
          <w:p w14:paraId="706FFB50" w14:textId="44D6C5D5"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0</w:t>
            </w:r>
            <w:r w:rsidR="00A46415">
              <w:rPr>
                <w:rFonts w:ascii="Calibri Light" w:hAnsi="Calibri Light" w:cs="Calibri Light"/>
                <w:color w:val="13576B"/>
                <w:sz w:val="20"/>
              </w:rPr>
              <w:t>,</w:t>
            </w:r>
            <w:r>
              <w:rPr>
                <w:rFonts w:ascii="Calibri Light" w:hAnsi="Calibri Light" w:cs="Calibri Light"/>
                <w:color w:val="13576B"/>
                <w:sz w:val="20"/>
              </w:rPr>
              <w:t>0</w:t>
            </w:r>
          </w:p>
        </w:tc>
        <w:tc>
          <w:tcPr>
            <w:tcW w:w="680" w:type="dxa"/>
            <w:tcBorders>
              <w:top w:val="nil"/>
              <w:left w:val="nil"/>
              <w:bottom w:val="nil"/>
              <w:right w:val="single" w:sz="8" w:space="0" w:color="FFFFFF"/>
            </w:tcBorders>
            <w:shd w:val="clear" w:color="000000" w:fill="D9D9D9"/>
            <w:noWrap/>
            <w:vAlign w:val="center"/>
            <w:hideMark/>
          </w:tcPr>
          <w:p w14:paraId="13092154" w14:textId="38CA9B72"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w:t>
            </w:r>
            <w:r w:rsidR="00A46415">
              <w:rPr>
                <w:rFonts w:ascii="Calibri Light" w:hAnsi="Calibri Light" w:cs="Calibri Light"/>
                <w:color w:val="FF0000"/>
                <w:sz w:val="20"/>
              </w:rPr>
              <w:t>,</w:t>
            </w:r>
            <w:r>
              <w:rPr>
                <w:rFonts w:ascii="Calibri Light" w:hAnsi="Calibri Light" w:cs="Calibri Light"/>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60505154" w14:textId="3486313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3</w:t>
            </w:r>
          </w:p>
        </w:tc>
      </w:tr>
      <w:tr w:rsidR="00EC29DC" w:rsidRPr="00743530" w14:paraId="707DEC5D"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18BCE538" w14:textId="77777777" w:rsidR="00EC29DC" w:rsidRPr="00743530" w:rsidRDefault="00EC29DC" w:rsidP="00EC29DC">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spotřeby domácností (%)</w:t>
            </w:r>
          </w:p>
        </w:tc>
        <w:tc>
          <w:tcPr>
            <w:tcW w:w="680" w:type="dxa"/>
            <w:tcBorders>
              <w:top w:val="nil"/>
              <w:left w:val="nil"/>
              <w:bottom w:val="nil"/>
              <w:right w:val="single" w:sz="8" w:space="0" w:color="FFFFFF"/>
            </w:tcBorders>
            <w:shd w:val="clear" w:color="000000" w:fill="D9D9D9"/>
            <w:noWrap/>
            <w:vAlign w:val="center"/>
            <w:hideMark/>
          </w:tcPr>
          <w:p w14:paraId="21B24A8C" w14:textId="78A28F12"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-2</w:t>
            </w:r>
            <w:r w:rsidR="00A46415">
              <w:rPr>
                <w:rFonts w:ascii="Calibri Light" w:hAnsi="Calibri Light" w:cs="Calibri Light"/>
                <w:color w:val="13576B"/>
                <w:sz w:val="20"/>
              </w:rPr>
              <w:t>,</w:t>
            </w:r>
            <w:r>
              <w:rPr>
                <w:rFonts w:ascii="Calibri Light" w:hAnsi="Calibri Light" w:cs="Calibri Light"/>
                <w:color w:val="13576B"/>
                <w:sz w:val="20"/>
              </w:rPr>
              <w:t>9</w:t>
            </w:r>
          </w:p>
        </w:tc>
        <w:tc>
          <w:tcPr>
            <w:tcW w:w="680" w:type="dxa"/>
            <w:tcBorders>
              <w:top w:val="nil"/>
              <w:left w:val="nil"/>
              <w:bottom w:val="nil"/>
              <w:right w:val="single" w:sz="8" w:space="0" w:color="FFFFFF"/>
            </w:tcBorders>
            <w:shd w:val="clear" w:color="000000" w:fill="D9D9D9"/>
            <w:noWrap/>
            <w:vAlign w:val="center"/>
            <w:hideMark/>
          </w:tcPr>
          <w:p w14:paraId="4FE28EFC" w14:textId="2D64DF77"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w:t>
            </w:r>
            <w:r w:rsidR="00A46415">
              <w:rPr>
                <w:rFonts w:ascii="Calibri Light" w:hAnsi="Calibri Light" w:cs="Calibri Light"/>
                <w:color w:val="FF0000"/>
                <w:sz w:val="20"/>
              </w:rPr>
              <w:t>,</w:t>
            </w:r>
            <w:r>
              <w:rPr>
                <w:rFonts w:ascii="Calibri Light" w:hAnsi="Calibri Light" w:cs="Calibri Light"/>
                <w:color w:val="FF0000"/>
                <w:sz w:val="20"/>
              </w:rPr>
              <w:t>8</w:t>
            </w:r>
          </w:p>
        </w:tc>
        <w:tc>
          <w:tcPr>
            <w:tcW w:w="680" w:type="dxa"/>
            <w:tcBorders>
              <w:top w:val="nil"/>
              <w:left w:val="nil"/>
              <w:bottom w:val="nil"/>
              <w:right w:val="single" w:sz="8" w:space="0" w:color="FFFFFF"/>
            </w:tcBorders>
            <w:shd w:val="clear" w:color="000000" w:fill="D9D9D9"/>
            <w:noWrap/>
            <w:vAlign w:val="center"/>
            <w:hideMark/>
          </w:tcPr>
          <w:p w14:paraId="4194473E" w14:textId="7FF9DA3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7</w:t>
            </w:r>
          </w:p>
        </w:tc>
      </w:tr>
      <w:tr w:rsidR="00EC29DC" w:rsidRPr="00743530" w14:paraId="028F0641"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29E199A2" w14:textId="77777777" w:rsidR="00EC29DC" w:rsidRPr="00743530" w:rsidRDefault="00EC29DC" w:rsidP="00EC29DC">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vládní spotřeby (%)</w:t>
            </w:r>
          </w:p>
        </w:tc>
        <w:tc>
          <w:tcPr>
            <w:tcW w:w="680" w:type="dxa"/>
            <w:tcBorders>
              <w:top w:val="nil"/>
              <w:left w:val="nil"/>
              <w:bottom w:val="nil"/>
              <w:right w:val="single" w:sz="8" w:space="0" w:color="FFFFFF"/>
            </w:tcBorders>
            <w:shd w:val="clear" w:color="000000" w:fill="D9D9D9"/>
            <w:noWrap/>
            <w:vAlign w:val="center"/>
            <w:hideMark/>
          </w:tcPr>
          <w:p w14:paraId="4ECF9A6B" w14:textId="4CBCA318"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3</w:t>
            </w:r>
            <w:r w:rsidR="00A46415">
              <w:rPr>
                <w:rFonts w:ascii="Calibri Light" w:hAnsi="Calibri Light" w:cs="Calibri Light"/>
                <w:color w:val="13576B"/>
                <w:sz w:val="20"/>
              </w:rPr>
              <w:t>,</w:t>
            </w:r>
            <w:r>
              <w:rPr>
                <w:rFonts w:ascii="Calibri Light" w:hAnsi="Calibri Light" w:cs="Calibri Light"/>
                <w:color w:val="13576B"/>
                <w:sz w:val="20"/>
              </w:rPr>
              <w:t>5</w:t>
            </w:r>
          </w:p>
        </w:tc>
        <w:tc>
          <w:tcPr>
            <w:tcW w:w="680" w:type="dxa"/>
            <w:tcBorders>
              <w:top w:val="nil"/>
              <w:left w:val="nil"/>
              <w:bottom w:val="nil"/>
              <w:right w:val="single" w:sz="8" w:space="0" w:color="FFFFFF"/>
            </w:tcBorders>
            <w:shd w:val="clear" w:color="000000" w:fill="D9D9D9"/>
            <w:noWrap/>
            <w:vAlign w:val="center"/>
            <w:hideMark/>
          </w:tcPr>
          <w:p w14:paraId="0D63C80D" w14:textId="0374B960"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3</w:t>
            </w:r>
          </w:p>
        </w:tc>
        <w:tc>
          <w:tcPr>
            <w:tcW w:w="680" w:type="dxa"/>
            <w:tcBorders>
              <w:top w:val="nil"/>
              <w:left w:val="nil"/>
              <w:bottom w:val="nil"/>
              <w:right w:val="single" w:sz="8" w:space="0" w:color="FFFFFF"/>
            </w:tcBorders>
            <w:shd w:val="clear" w:color="000000" w:fill="D9D9D9"/>
            <w:noWrap/>
            <w:vAlign w:val="center"/>
            <w:hideMark/>
          </w:tcPr>
          <w:p w14:paraId="47FE51A5" w14:textId="616464E7"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w:t>
            </w:r>
            <w:r w:rsidR="00A46415">
              <w:rPr>
                <w:rFonts w:ascii="Calibri Light" w:hAnsi="Calibri Light" w:cs="Calibri Light"/>
                <w:color w:val="FF0000"/>
                <w:sz w:val="20"/>
              </w:rPr>
              <w:t>,</w:t>
            </w:r>
            <w:r>
              <w:rPr>
                <w:rFonts w:ascii="Calibri Light" w:hAnsi="Calibri Light" w:cs="Calibri Light"/>
                <w:color w:val="FF0000"/>
                <w:sz w:val="20"/>
              </w:rPr>
              <w:t>7</w:t>
            </w:r>
          </w:p>
        </w:tc>
      </w:tr>
      <w:tr w:rsidR="00EC29DC" w:rsidRPr="00743530" w14:paraId="73DC9EC3"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43EFA0E3" w14:textId="77777777" w:rsidR="00EC29DC" w:rsidRPr="00743530" w:rsidRDefault="00EC29DC" w:rsidP="00EC29DC">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investic (bez zásob, %)</w:t>
            </w:r>
          </w:p>
        </w:tc>
        <w:tc>
          <w:tcPr>
            <w:tcW w:w="680" w:type="dxa"/>
            <w:tcBorders>
              <w:top w:val="nil"/>
              <w:left w:val="nil"/>
              <w:bottom w:val="nil"/>
              <w:right w:val="single" w:sz="8" w:space="0" w:color="FFFFFF"/>
            </w:tcBorders>
            <w:shd w:val="clear" w:color="000000" w:fill="D9D9D9"/>
            <w:noWrap/>
            <w:vAlign w:val="center"/>
            <w:hideMark/>
          </w:tcPr>
          <w:p w14:paraId="5AFC03ED" w14:textId="3BD1FF74"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2</w:t>
            </w:r>
            <w:r w:rsidR="00A46415">
              <w:rPr>
                <w:rFonts w:ascii="Calibri Light" w:hAnsi="Calibri Light" w:cs="Calibri Light"/>
                <w:color w:val="13576B"/>
                <w:sz w:val="20"/>
              </w:rPr>
              <w:t>,</w:t>
            </w:r>
            <w:r>
              <w:rPr>
                <w:rFonts w:ascii="Calibri Light" w:hAnsi="Calibri Light" w:cs="Calibri Light"/>
                <w:color w:val="13576B"/>
                <w:sz w:val="20"/>
              </w:rPr>
              <w:t>7</w:t>
            </w:r>
          </w:p>
        </w:tc>
        <w:tc>
          <w:tcPr>
            <w:tcW w:w="680" w:type="dxa"/>
            <w:tcBorders>
              <w:top w:val="nil"/>
              <w:left w:val="nil"/>
              <w:bottom w:val="nil"/>
              <w:right w:val="single" w:sz="8" w:space="0" w:color="FFFFFF"/>
            </w:tcBorders>
            <w:shd w:val="clear" w:color="000000" w:fill="D9D9D9"/>
            <w:noWrap/>
            <w:vAlign w:val="center"/>
            <w:hideMark/>
          </w:tcPr>
          <w:p w14:paraId="112F7551" w14:textId="36083E5B"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0</w:t>
            </w:r>
            <w:r w:rsidR="00A46415">
              <w:rPr>
                <w:rFonts w:ascii="Calibri Light" w:hAnsi="Calibri Light" w:cs="Calibri Light"/>
                <w:color w:val="FF0000"/>
                <w:sz w:val="20"/>
              </w:rPr>
              <w:t>,</w:t>
            </w:r>
            <w:r>
              <w:rPr>
                <w:rFonts w:ascii="Calibri Light" w:hAnsi="Calibri Light" w:cs="Calibri Light"/>
                <w:color w:val="FF0000"/>
                <w:sz w:val="20"/>
              </w:rPr>
              <w:t>7</w:t>
            </w:r>
          </w:p>
        </w:tc>
        <w:tc>
          <w:tcPr>
            <w:tcW w:w="680" w:type="dxa"/>
            <w:tcBorders>
              <w:top w:val="nil"/>
              <w:left w:val="nil"/>
              <w:bottom w:val="nil"/>
              <w:right w:val="single" w:sz="8" w:space="0" w:color="FFFFFF"/>
            </w:tcBorders>
            <w:shd w:val="clear" w:color="000000" w:fill="D9D9D9"/>
            <w:noWrap/>
            <w:vAlign w:val="center"/>
            <w:hideMark/>
          </w:tcPr>
          <w:p w14:paraId="64B44C36" w14:textId="226A48CA"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6</w:t>
            </w:r>
          </w:p>
        </w:tc>
      </w:tr>
      <w:tr w:rsidR="00EC29DC" w:rsidRPr="00743530" w14:paraId="38CECFC0"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71C3954C" w14:textId="77777777" w:rsidR="00EC29DC" w:rsidRPr="00743530" w:rsidRDefault="00EC29DC" w:rsidP="00EC29DC">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 xml:space="preserve">Růst vývozů (%) </w:t>
            </w:r>
          </w:p>
        </w:tc>
        <w:tc>
          <w:tcPr>
            <w:tcW w:w="680" w:type="dxa"/>
            <w:tcBorders>
              <w:top w:val="nil"/>
              <w:left w:val="nil"/>
              <w:bottom w:val="nil"/>
              <w:right w:val="single" w:sz="8" w:space="0" w:color="FFFFFF"/>
            </w:tcBorders>
            <w:shd w:val="clear" w:color="000000" w:fill="D9D9D9"/>
            <w:noWrap/>
            <w:vAlign w:val="center"/>
            <w:hideMark/>
          </w:tcPr>
          <w:p w14:paraId="77438B8D" w14:textId="11A70D67"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3</w:t>
            </w:r>
            <w:r w:rsidR="00A46415">
              <w:rPr>
                <w:rFonts w:ascii="Calibri Light" w:hAnsi="Calibri Light" w:cs="Calibri Light"/>
                <w:color w:val="13576B"/>
                <w:sz w:val="20"/>
              </w:rPr>
              <w:t>,</w:t>
            </w:r>
            <w:r>
              <w:rPr>
                <w:rFonts w:ascii="Calibri Light" w:hAnsi="Calibri Light" w:cs="Calibri Light"/>
                <w:color w:val="13576B"/>
                <w:sz w:val="20"/>
              </w:rPr>
              <w:t>0</w:t>
            </w:r>
          </w:p>
        </w:tc>
        <w:tc>
          <w:tcPr>
            <w:tcW w:w="680" w:type="dxa"/>
            <w:tcBorders>
              <w:top w:val="nil"/>
              <w:left w:val="nil"/>
              <w:bottom w:val="nil"/>
              <w:right w:val="single" w:sz="8" w:space="0" w:color="FFFFFF"/>
            </w:tcBorders>
            <w:shd w:val="clear" w:color="000000" w:fill="D9D9D9"/>
            <w:noWrap/>
            <w:vAlign w:val="center"/>
            <w:hideMark/>
          </w:tcPr>
          <w:p w14:paraId="754DA5AB" w14:textId="087D0C1B"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w:t>
            </w:r>
            <w:r w:rsidR="00A46415">
              <w:rPr>
                <w:rFonts w:ascii="Calibri Light" w:hAnsi="Calibri Light" w:cs="Calibri Light"/>
                <w:color w:val="FF0000"/>
                <w:sz w:val="20"/>
              </w:rPr>
              <w:t>,</w:t>
            </w:r>
            <w:r>
              <w:rPr>
                <w:rFonts w:ascii="Calibri Light" w:hAnsi="Calibri Light" w:cs="Calibri Light"/>
                <w:color w:val="FF0000"/>
                <w:sz w:val="20"/>
              </w:rPr>
              <w:t>3</w:t>
            </w:r>
          </w:p>
        </w:tc>
        <w:tc>
          <w:tcPr>
            <w:tcW w:w="680" w:type="dxa"/>
            <w:tcBorders>
              <w:top w:val="nil"/>
              <w:left w:val="nil"/>
              <w:bottom w:val="nil"/>
              <w:right w:val="single" w:sz="8" w:space="0" w:color="FFFFFF"/>
            </w:tcBorders>
            <w:shd w:val="clear" w:color="000000" w:fill="D9D9D9"/>
            <w:noWrap/>
            <w:vAlign w:val="center"/>
            <w:hideMark/>
          </w:tcPr>
          <w:p w14:paraId="3ED97E4B" w14:textId="5A63EA4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5</w:t>
            </w:r>
          </w:p>
        </w:tc>
      </w:tr>
      <w:tr w:rsidR="00EC29DC" w:rsidRPr="00743530" w14:paraId="515AAEEA"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7104BDAE" w14:textId="77777777" w:rsidR="00EC29DC" w:rsidRPr="00743530" w:rsidRDefault="00EC29DC" w:rsidP="00EC29DC">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dovozů (%)</w:t>
            </w:r>
          </w:p>
        </w:tc>
        <w:tc>
          <w:tcPr>
            <w:tcW w:w="680" w:type="dxa"/>
            <w:tcBorders>
              <w:top w:val="nil"/>
              <w:left w:val="nil"/>
              <w:bottom w:val="single" w:sz="8" w:space="0" w:color="FFFFFF"/>
              <w:right w:val="single" w:sz="8" w:space="0" w:color="FFFFFF"/>
            </w:tcBorders>
            <w:shd w:val="clear" w:color="000000" w:fill="D9D9D9"/>
            <w:noWrap/>
            <w:vAlign w:val="center"/>
            <w:hideMark/>
          </w:tcPr>
          <w:p w14:paraId="5DEDC09C" w14:textId="463304B0"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-0</w:t>
            </w:r>
            <w:r w:rsidR="00A46415">
              <w:rPr>
                <w:rFonts w:ascii="Calibri Light" w:hAnsi="Calibri Light" w:cs="Calibri Light"/>
                <w:color w:val="13576B"/>
                <w:sz w:val="20"/>
              </w:rPr>
              <w:t>,</w:t>
            </w:r>
            <w:r>
              <w:rPr>
                <w:rFonts w:ascii="Calibri Light" w:hAnsi="Calibri Light" w:cs="Calibri Light"/>
                <w:color w:val="13576B"/>
                <w:sz w:val="20"/>
              </w:rPr>
              <w:t>6</w:t>
            </w:r>
          </w:p>
        </w:tc>
        <w:tc>
          <w:tcPr>
            <w:tcW w:w="680" w:type="dxa"/>
            <w:tcBorders>
              <w:top w:val="nil"/>
              <w:left w:val="nil"/>
              <w:bottom w:val="single" w:sz="8" w:space="0" w:color="FFFFFF"/>
              <w:right w:val="single" w:sz="8" w:space="0" w:color="FFFFFF"/>
            </w:tcBorders>
            <w:shd w:val="clear" w:color="000000" w:fill="D9D9D9"/>
            <w:noWrap/>
            <w:vAlign w:val="center"/>
            <w:hideMark/>
          </w:tcPr>
          <w:p w14:paraId="0502F904" w14:textId="116C1FBE"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0</w:t>
            </w:r>
            <w:r w:rsidR="00A46415">
              <w:rPr>
                <w:rFonts w:ascii="Calibri Light" w:hAnsi="Calibri Light" w:cs="Calibri Light"/>
                <w:color w:val="FF0000"/>
                <w:sz w:val="20"/>
              </w:rPr>
              <w:t>,</w:t>
            </w:r>
            <w:r>
              <w:rPr>
                <w:rFonts w:ascii="Calibri Light" w:hAnsi="Calibri Light" w:cs="Calibri Light"/>
                <w:color w:val="FF0000"/>
                <w:sz w:val="20"/>
              </w:rPr>
              <w:t>0</w:t>
            </w:r>
          </w:p>
        </w:tc>
        <w:tc>
          <w:tcPr>
            <w:tcW w:w="680" w:type="dxa"/>
            <w:tcBorders>
              <w:top w:val="nil"/>
              <w:left w:val="nil"/>
              <w:bottom w:val="single" w:sz="8" w:space="0" w:color="FFFFFF"/>
              <w:right w:val="single" w:sz="8" w:space="0" w:color="FFFFFF"/>
            </w:tcBorders>
            <w:shd w:val="clear" w:color="000000" w:fill="D9D9D9"/>
            <w:noWrap/>
            <w:vAlign w:val="center"/>
            <w:hideMark/>
          </w:tcPr>
          <w:p w14:paraId="5E17C7D9" w14:textId="35BAE650"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9</w:t>
            </w:r>
          </w:p>
        </w:tc>
      </w:tr>
      <w:tr w:rsidR="00EC29DC" w:rsidRPr="00743530" w14:paraId="0DC3A4B1"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1EF5341B"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Míra inflace: CPI (%) průměr</w:t>
            </w:r>
          </w:p>
        </w:tc>
        <w:tc>
          <w:tcPr>
            <w:tcW w:w="680" w:type="dxa"/>
            <w:tcBorders>
              <w:top w:val="nil"/>
              <w:left w:val="nil"/>
              <w:bottom w:val="nil"/>
              <w:right w:val="single" w:sz="4" w:space="0" w:color="FFFFFF"/>
            </w:tcBorders>
            <w:shd w:val="clear" w:color="000000" w:fill="D9D9D9"/>
            <w:noWrap/>
            <w:vAlign w:val="center"/>
            <w:hideMark/>
          </w:tcPr>
          <w:p w14:paraId="3FDCB544" w14:textId="62A38A27"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10</w:t>
            </w:r>
            <w:r w:rsidR="00A46415">
              <w:rPr>
                <w:rFonts w:ascii="Calibri Light" w:hAnsi="Calibri Light" w:cs="Calibri Light"/>
                <w:color w:val="13576B"/>
                <w:sz w:val="20"/>
              </w:rPr>
              <w:t>,</w:t>
            </w:r>
            <w:r>
              <w:rPr>
                <w:rFonts w:ascii="Calibri Light" w:hAnsi="Calibri Light" w:cs="Calibri Light"/>
                <w:color w:val="13576B"/>
                <w:sz w:val="20"/>
              </w:rPr>
              <w:t>7</w:t>
            </w:r>
          </w:p>
        </w:tc>
        <w:tc>
          <w:tcPr>
            <w:tcW w:w="680" w:type="dxa"/>
            <w:tcBorders>
              <w:top w:val="nil"/>
              <w:left w:val="nil"/>
              <w:bottom w:val="nil"/>
              <w:right w:val="single" w:sz="8" w:space="0" w:color="FFFFFF"/>
            </w:tcBorders>
            <w:shd w:val="clear" w:color="000000" w:fill="D9D9D9"/>
            <w:noWrap/>
            <w:vAlign w:val="center"/>
            <w:hideMark/>
          </w:tcPr>
          <w:p w14:paraId="1122DA28" w14:textId="5FCBDD06"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4</w:t>
            </w:r>
          </w:p>
        </w:tc>
        <w:tc>
          <w:tcPr>
            <w:tcW w:w="680" w:type="dxa"/>
            <w:tcBorders>
              <w:top w:val="nil"/>
              <w:left w:val="nil"/>
              <w:bottom w:val="nil"/>
              <w:right w:val="single" w:sz="8" w:space="0" w:color="FFFFFF"/>
            </w:tcBorders>
            <w:shd w:val="clear" w:color="000000" w:fill="D9D9D9"/>
            <w:noWrap/>
            <w:vAlign w:val="center"/>
            <w:hideMark/>
          </w:tcPr>
          <w:p w14:paraId="0117EBF4" w14:textId="15727A3E"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5</w:t>
            </w:r>
          </w:p>
        </w:tc>
      </w:tr>
      <w:tr w:rsidR="00EC29DC" w:rsidRPr="00743530" w14:paraId="6E4F03DF"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2591E4DC"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Míra inflace: CPI (%) konec roku</w:t>
            </w:r>
          </w:p>
        </w:tc>
        <w:tc>
          <w:tcPr>
            <w:tcW w:w="680" w:type="dxa"/>
            <w:tcBorders>
              <w:top w:val="nil"/>
              <w:left w:val="nil"/>
              <w:bottom w:val="nil"/>
              <w:right w:val="single" w:sz="4" w:space="0" w:color="FFFFFF"/>
            </w:tcBorders>
            <w:shd w:val="clear" w:color="000000" w:fill="D9D9D9"/>
            <w:noWrap/>
            <w:vAlign w:val="center"/>
            <w:hideMark/>
          </w:tcPr>
          <w:p w14:paraId="690580A2" w14:textId="174A3AD2"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6</w:t>
            </w:r>
            <w:r w:rsidR="00A46415">
              <w:rPr>
                <w:rFonts w:ascii="Calibri Light" w:hAnsi="Calibri Light" w:cs="Calibri Light"/>
                <w:color w:val="13576B"/>
                <w:sz w:val="20"/>
              </w:rPr>
              <w:t>,</w:t>
            </w:r>
            <w:r>
              <w:rPr>
                <w:rFonts w:ascii="Calibri Light" w:hAnsi="Calibri Light" w:cs="Calibri Light"/>
                <w:color w:val="13576B"/>
                <w:sz w:val="20"/>
              </w:rPr>
              <w:t>9</w:t>
            </w:r>
          </w:p>
        </w:tc>
        <w:tc>
          <w:tcPr>
            <w:tcW w:w="680" w:type="dxa"/>
            <w:tcBorders>
              <w:top w:val="nil"/>
              <w:left w:val="nil"/>
              <w:bottom w:val="nil"/>
              <w:right w:val="single" w:sz="8" w:space="0" w:color="FFFFFF"/>
            </w:tcBorders>
            <w:shd w:val="clear" w:color="000000" w:fill="D9D9D9"/>
            <w:noWrap/>
            <w:vAlign w:val="center"/>
            <w:hideMark/>
          </w:tcPr>
          <w:p w14:paraId="1324AB99" w14:textId="6663665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1</w:t>
            </w:r>
          </w:p>
        </w:tc>
        <w:tc>
          <w:tcPr>
            <w:tcW w:w="680" w:type="dxa"/>
            <w:tcBorders>
              <w:top w:val="nil"/>
              <w:left w:val="nil"/>
              <w:bottom w:val="nil"/>
              <w:right w:val="single" w:sz="8" w:space="0" w:color="FFFFFF"/>
            </w:tcBorders>
            <w:shd w:val="clear" w:color="000000" w:fill="D9D9D9"/>
            <w:noWrap/>
            <w:vAlign w:val="center"/>
            <w:hideMark/>
          </w:tcPr>
          <w:p w14:paraId="00D7B533" w14:textId="35B9DF0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0</w:t>
            </w:r>
          </w:p>
        </w:tc>
      </w:tr>
      <w:tr w:rsidR="00EC29DC" w:rsidRPr="00743530" w14:paraId="0DE3628B"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68547181"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Podíl nezaměstnaných osob (MPSV): průměr (%)</w:t>
            </w:r>
          </w:p>
        </w:tc>
        <w:tc>
          <w:tcPr>
            <w:tcW w:w="680" w:type="dxa"/>
            <w:tcBorders>
              <w:top w:val="nil"/>
              <w:left w:val="nil"/>
              <w:bottom w:val="nil"/>
              <w:right w:val="single" w:sz="4" w:space="0" w:color="FFFFFF"/>
            </w:tcBorders>
            <w:shd w:val="clear" w:color="000000" w:fill="D9D9D9"/>
            <w:noWrap/>
            <w:vAlign w:val="center"/>
            <w:hideMark/>
          </w:tcPr>
          <w:p w14:paraId="0A935209" w14:textId="644D8A54"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3</w:t>
            </w:r>
            <w:r w:rsidR="00A46415">
              <w:rPr>
                <w:rFonts w:ascii="Calibri Light" w:hAnsi="Calibri Light" w:cs="Calibri Light"/>
                <w:color w:val="13576B"/>
                <w:sz w:val="20"/>
              </w:rPr>
              <w:t>,</w:t>
            </w:r>
            <w:r>
              <w:rPr>
                <w:rFonts w:ascii="Calibri Light" w:hAnsi="Calibri Light" w:cs="Calibri Light"/>
                <w:color w:val="13576B"/>
                <w:sz w:val="20"/>
              </w:rPr>
              <w:t>6</w:t>
            </w:r>
          </w:p>
        </w:tc>
        <w:tc>
          <w:tcPr>
            <w:tcW w:w="680" w:type="dxa"/>
            <w:tcBorders>
              <w:top w:val="nil"/>
              <w:left w:val="nil"/>
              <w:bottom w:val="nil"/>
              <w:right w:val="single" w:sz="8" w:space="0" w:color="FFFFFF"/>
            </w:tcBorders>
            <w:shd w:val="clear" w:color="000000" w:fill="D9D9D9"/>
            <w:noWrap/>
            <w:vAlign w:val="center"/>
            <w:hideMark/>
          </w:tcPr>
          <w:p w14:paraId="50BED386" w14:textId="32EEB9E0"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8</w:t>
            </w:r>
          </w:p>
        </w:tc>
        <w:tc>
          <w:tcPr>
            <w:tcW w:w="680" w:type="dxa"/>
            <w:tcBorders>
              <w:top w:val="nil"/>
              <w:left w:val="nil"/>
              <w:bottom w:val="nil"/>
              <w:right w:val="single" w:sz="8" w:space="0" w:color="FFFFFF"/>
            </w:tcBorders>
            <w:shd w:val="clear" w:color="000000" w:fill="D9D9D9"/>
            <w:noWrap/>
            <w:vAlign w:val="center"/>
            <w:hideMark/>
          </w:tcPr>
          <w:p w14:paraId="43C5949F" w14:textId="1E3D792B"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9</w:t>
            </w:r>
          </w:p>
        </w:tc>
      </w:tr>
      <w:tr w:rsidR="00EC29DC" w:rsidRPr="00743530" w14:paraId="38BAB062"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67482C9C"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Průměrná nominální mzda (růst v %)</w:t>
            </w:r>
          </w:p>
        </w:tc>
        <w:tc>
          <w:tcPr>
            <w:tcW w:w="680" w:type="dxa"/>
            <w:tcBorders>
              <w:top w:val="nil"/>
              <w:left w:val="nil"/>
              <w:bottom w:val="nil"/>
              <w:right w:val="single" w:sz="8" w:space="0" w:color="FFFFFF"/>
            </w:tcBorders>
            <w:shd w:val="clear" w:color="000000" w:fill="D9D9D9"/>
            <w:noWrap/>
            <w:vAlign w:val="center"/>
            <w:hideMark/>
          </w:tcPr>
          <w:p w14:paraId="56E44CC3" w14:textId="32D0C396"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8</w:t>
            </w:r>
            <w:r w:rsidR="00A46415">
              <w:rPr>
                <w:rFonts w:ascii="Calibri Light" w:hAnsi="Calibri Light" w:cs="Calibri Light"/>
                <w:color w:val="13576B"/>
                <w:sz w:val="20"/>
              </w:rPr>
              <w:t>,</w:t>
            </w:r>
            <w:r>
              <w:rPr>
                <w:rFonts w:ascii="Calibri Light" w:hAnsi="Calibri Light" w:cs="Calibri Light"/>
                <w:color w:val="13576B"/>
                <w:sz w:val="20"/>
              </w:rPr>
              <w:t>0</w:t>
            </w:r>
          </w:p>
        </w:tc>
        <w:tc>
          <w:tcPr>
            <w:tcW w:w="680" w:type="dxa"/>
            <w:tcBorders>
              <w:top w:val="nil"/>
              <w:left w:val="nil"/>
              <w:bottom w:val="nil"/>
              <w:right w:val="single" w:sz="8" w:space="0" w:color="FFFFFF"/>
            </w:tcBorders>
            <w:shd w:val="clear" w:color="000000" w:fill="D9D9D9"/>
            <w:noWrap/>
            <w:vAlign w:val="center"/>
            <w:hideMark/>
          </w:tcPr>
          <w:p w14:paraId="0F61CADB" w14:textId="38D9C6F5"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w:t>
            </w:r>
            <w:r w:rsidR="00A46415">
              <w:rPr>
                <w:rFonts w:ascii="Calibri Light" w:hAnsi="Calibri Light" w:cs="Calibri Light"/>
                <w:color w:val="FF0000"/>
                <w:sz w:val="20"/>
              </w:rPr>
              <w:t>,</w:t>
            </w:r>
            <w:r>
              <w:rPr>
                <w:rFonts w:ascii="Calibri Light" w:hAnsi="Calibri Light" w:cs="Calibri Light"/>
                <w:color w:val="FF0000"/>
                <w:sz w:val="20"/>
              </w:rPr>
              <w:t>6</w:t>
            </w:r>
          </w:p>
        </w:tc>
        <w:tc>
          <w:tcPr>
            <w:tcW w:w="680" w:type="dxa"/>
            <w:tcBorders>
              <w:top w:val="nil"/>
              <w:left w:val="nil"/>
              <w:bottom w:val="nil"/>
              <w:right w:val="single" w:sz="8" w:space="0" w:color="FFFFFF"/>
            </w:tcBorders>
            <w:shd w:val="clear" w:color="000000" w:fill="D9D9D9"/>
            <w:noWrap/>
            <w:vAlign w:val="center"/>
            <w:hideMark/>
          </w:tcPr>
          <w:p w14:paraId="35AFEA42" w14:textId="78E77699"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8</w:t>
            </w:r>
          </w:p>
        </w:tc>
      </w:tr>
      <w:tr w:rsidR="00EC29DC" w:rsidRPr="00743530" w14:paraId="242798A9"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6D0D613C"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Průměrná reálná mzda (%)</w:t>
            </w:r>
          </w:p>
        </w:tc>
        <w:tc>
          <w:tcPr>
            <w:tcW w:w="680" w:type="dxa"/>
            <w:tcBorders>
              <w:top w:val="nil"/>
              <w:left w:val="nil"/>
              <w:bottom w:val="single" w:sz="8" w:space="0" w:color="FFFFFF"/>
              <w:right w:val="single" w:sz="8" w:space="0" w:color="FFFFFF"/>
            </w:tcBorders>
            <w:shd w:val="clear" w:color="000000" w:fill="D9D9D9"/>
            <w:noWrap/>
            <w:vAlign w:val="center"/>
            <w:hideMark/>
          </w:tcPr>
          <w:p w14:paraId="35583F7F" w14:textId="25F7D314"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-2</w:t>
            </w:r>
            <w:r w:rsidR="00A46415">
              <w:rPr>
                <w:rFonts w:ascii="Calibri Light" w:hAnsi="Calibri Light" w:cs="Calibri Light"/>
                <w:color w:val="13576B"/>
                <w:sz w:val="20"/>
              </w:rPr>
              <w:t>,</w:t>
            </w:r>
            <w:r>
              <w:rPr>
                <w:rFonts w:ascii="Calibri Light" w:hAnsi="Calibri Light" w:cs="Calibri Light"/>
                <w:color w:val="13576B"/>
                <w:sz w:val="20"/>
              </w:rPr>
              <w:t>4</w:t>
            </w:r>
          </w:p>
        </w:tc>
        <w:tc>
          <w:tcPr>
            <w:tcW w:w="680" w:type="dxa"/>
            <w:tcBorders>
              <w:top w:val="nil"/>
              <w:left w:val="nil"/>
              <w:bottom w:val="single" w:sz="8" w:space="0" w:color="FFFFFF"/>
              <w:right w:val="single" w:sz="8" w:space="0" w:color="FFFFFF"/>
            </w:tcBorders>
            <w:shd w:val="clear" w:color="000000" w:fill="D9D9D9"/>
            <w:noWrap/>
            <w:vAlign w:val="center"/>
            <w:hideMark/>
          </w:tcPr>
          <w:p w14:paraId="1588B8FD" w14:textId="77DB3D3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w:t>
            </w:r>
            <w:r w:rsidR="00A46415">
              <w:rPr>
                <w:rFonts w:ascii="Calibri Light" w:hAnsi="Calibri Light" w:cs="Calibri Light"/>
                <w:color w:val="FF0000"/>
                <w:sz w:val="20"/>
              </w:rPr>
              <w:t>,</w:t>
            </w:r>
            <w:r>
              <w:rPr>
                <w:rFonts w:ascii="Calibri Light" w:hAnsi="Calibri Light" w:cs="Calibri Light"/>
                <w:color w:val="FF0000"/>
                <w:sz w:val="20"/>
              </w:rPr>
              <w:t>1</w:t>
            </w:r>
          </w:p>
        </w:tc>
        <w:tc>
          <w:tcPr>
            <w:tcW w:w="680" w:type="dxa"/>
            <w:tcBorders>
              <w:top w:val="nil"/>
              <w:left w:val="nil"/>
              <w:bottom w:val="single" w:sz="8" w:space="0" w:color="FFFFFF"/>
              <w:right w:val="single" w:sz="8" w:space="0" w:color="FFFFFF"/>
            </w:tcBorders>
            <w:shd w:val="clear" w:color="000000" w:fill="D9D9D9"/>
            <w:noWrap/>
            <w:vAlign w:val="center"/>
            <w:hideMark/>
          </w:tcPr>
          <w:p w14:paraId="392D912F" w14:textId="2F9C602A"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2</w:t>
            </w:r>
          </w:p>
        </w:tc>
      </w:tr>
      <w:tr w:rsidR="00EC29DC" w:rsidRPr="00743530" w14:paraId="70256837"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1E18440B"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Vládní deficit/přebytek (% HDP)</w:t>
            </w:r>
          </w:p>
        </w:tc>
        <w:tc>
          <w:tcPr>
            <w:tcW w:w="680" w:type="dxa"/>
            <w:tcBorders>
              <w:top w:val="nil"/>
              <w:left w:val="nil"/>
              <w:bottom w:val="nil"/>
              <w:right w:val="single" w:sz="8" w:space="0" w:color="FFFFFF"/>
            </w:tcBorders>
            <w:shd w:val="clear" w:color="000000" w:fill="D9D9D9"/>
            <w:noWrap/>
            <w:vAlign w:val="center"/>
            <w:hideMark/>
          </w:tcPr>
          <w:p w14:paraId="23F719C3" w14:textId="3C868920"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-3</w:t>
            </w:r>
            <w:r w:rsidR="00A46415">
              <w:rPr>
                <w:rFonts w:ascii="Calibri Light" w:hAnsi="Calibri Light" w:cs="Calibri Light"/>
                <w:color w:val="13576B"/>
                <w:sz w:val="20"/>
              </w:rPr>
              <w:t>,</w:t>
            </w:r>
            <w:r>
              <w:rPr>
                <w:rFonts w:ascii="Calibri Light" w:hAnsi="Calibri Light" w:cs="Calibri Light"/>
                <w:color w:val="13576B"/>
                <w:sz w:val="20"/>
              </w:rPr>
              <w:t>5</w:t>
            </w:r>
          </w:p>
        </w:tc>
        <w:tc>
          <w:tcPr>
            <w:tcW w:w="680" w:type="dxa"/>
            <w:tcBorders>
              <w:top w:val="nil"/>
              <w:left w:val="nil"/>
              <w:bottom w:val="nil"/>
              <w:right w:val="single" w:sz="8" w:space="0" w:color="FFFFFF"/>
            </w:tcBorders>
            <w:shd w:val="clear" w:color="000000" w:fill="D9D9D9"/>
            <w:noWrap/>
            <w:vAlign w:val="center"/>
            <w:hideMark/>
          </w:tcPr>
          <w:p w14:paraId="59A4176B" w14:textId="1F70018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7</w:t>
            </w:r>
          </w:p>
        </w:tc>
        <w:tc>
          <w:tcPr>
            <w:tcW w:w="680" w:type="dxa"/>
            <w:tcBorders>
              <w:top w:val="nil"/>
              <w:left w:val="nil"/>
              <w:bottom w:val="nil"/>
              <w:right w:val="single" w:sz="8" w:space="0" w:color="FFFFFF"/>
            </w:tcBorders>
            <w:shd w:val="clear" w:color="000000" w:fill="D9D9D9"/>
            <w:noWrap/>
            <w:vAlign w:val="center"/>
            <w:hideMark/>
          </w:tcPr>
          <w:p w14:paraId="07234BF3" w14:textId="02D2237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3</w:t>
            </w:r>
          </w:p>
        </w:tc>
      </w:tr>
      <w:tr w:rsidR="00EC29DC" w:rsidRPr="00743530" w14:paraId="74A8DC91"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661BF5FF"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 xml:space="preserve">Vládní dluh (% HDP) </w:t>
            </w:r>
          </w:p>
        </w:tc>
        <w:tc>
          <w:tcPr>
            <w:tcW w:w="680" w:type="dxa"/>
            <w:tcBorders>
              <w:top w:val="nil"/>
              <w:left w:val="nil"/>
              <w:bottom w:val="single" w:sz="8" w:space="0" w:color="FFFFFF"/>
              <w:right w:val="single" w:sz="8" w:space="0" w:color="FFFFFF"/>
            </w:tcBorders>
            <w:shd w:val="clear" w:color="000000" w:fill="D9D9D9"/>
            <w:noWrap/>
            <w:vAlign w:val="center"/>
            <w:hideMark/>
          </w:tcPr>
          <w:p w14:paraId="59B926C1" w14:textId="144FCED8"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42</w:t>
            </w:r>
            <w:r w:rsidR="00A46415">
              <w:rPr>
                <w:rFonts w:ascii="Calibri Light" w:hAnsi="Calibri Light" w:cs="Calibri Light"/>
                <w:color w:val="13576B"/>
                <w:sz w:val="20"/>
              </w:rPr>
              <w:t>,</w:t>
            </w:r>
            <w:r>
              <w:rPr>
                <w:rFonts w:ascii="Calibri Light" w:hAnsi="Calibri Light" w:cs="Calibri Light"/>
                <w:color w:val="13576B"/>
                <w:sz w:val="20"/>
              </w:rPr>
              <w:t>4</w:t>
            </w:r>
          </w:p>
        </w:tc>
        <w:tc>
          <w:tcPr>
            <w:tcW w:w="680" w:type="dxa"/>
            <w:tcBorders>
              <w:top w:val="nil"/>
              <w:left w:val="nil"/>
              <w:bottom w:val="single" w:sz="8" w:space="0" w:color="FFFFFF"/>
              <w:right w:val="single" w:sz="8" w:space="0" w:color="FFFFFF"/>
            </w:tcBorders>
            <w:shd w:val="clear" w:color="000000" w:fill="D9D9D9"/>
            <w:noWrap/>
            <w:vAlign w:val="center"/>
            <w:hideMark/>
          </w:tcPr>
          <w:p w14:paraId="2F10A244" w14:textId="3E169B15"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43</w:t>
            </w:r>
            <w:r w:rsidR="00A46415">
              <w:rPr>
                <w:rFonts w:ascii="Calibri Light" w:hAnsi="Calibri Light" w:cs="Calibri Light"/>
                <w:color w:val="FF0000"/>
                <w:sz w:val="20"/>
              </w:rPr>
              <w:t>,</w:t>
            </w:r>
            <w:r>
              <w:rPr>
                <w:rFonts w:ascii="Calibri Light" w:hAnsi="Calibri Light" w:cs="Calibri Light"/>
                <w:color w:val="FF0000"/>
                <w:sz w:val="20"/>
              </w:rPr>
              <w:t>5</w:t>
            </w:r>
          </w:p>
        </w:tc>
        <w:tc>
          <w:tcPr>
            <w:tcW w:w="680" w:type="dxa"/>
            <w:tcBorders>
              <w:top w:val="nil"/>
              <w:left w:val="nil"/>
              <w:bottom w:val="single" w:sz="8" w:space="0" w:color="FFFFFF"/>
              <w:right w:val="single" w:sz="8" w:space="0" w:color="FFFFFF"/>
            </w:tcBorders>
            <w:shd w:val="clear" w:color="000000" w:fill="D9D9D9"/>
            <w:noWrap/>
            <w:vAlign w:val="center"/>
            <w:hideMark/>
          </w:tcPr>
          <w:p w14:paraId="2C2DD09D" w14:textId="6405AE21"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44</w:t>
            </w:r>
            <w:r w:rsidR="00A46415">
              <w:rPr>
                <w:rFonts w:ascii="Calibri Light" w:hAnsi="Calibri Light" w:cs="Calibri Light"/>
                <w:color w:val="FF0000"/>
                <w:sz w:val="20"/>
              </w:rPr>
              <w:t>,</w:t>
            </w:r>
            <w:r>
              <w:rPr>
                <w:rFonts w:ascii="Calibri Light" w:hAnsi="Calibri Light" w:cs="Calibri Light"/>
                <w:color w:val="FF0000"/>
                <w:sz w:val="20"/>
              </w:rPr>
              <w:t>1</w:t>
            </w:r>
          </w:p>
        </w:tc>
      </w:tr>
      <w:tr w:rsidR="00EC29DC" w:rsidRPr="00743530" w14:paraId="65F307F0"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0D229619"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Základní sazba ČNB 2T REPO (%): konec období</w:t>
            </w:r>
          </w:p>
        </w:tc>
        <w:tc>
          <w:tcPr>
            <w:tcW w:w="680" w:type="dxa"/>
            <w:tcBorders>
              <w:top w:val="nil"/>
              <w:left w:val="nil"/>
              <w:bottom w:val="nil"/>
              <w:right w:val="single" w:sz="8" w:space="0" w:color="FFFFFF"/>
            </w:tcBorders>
            <w:shd w:val="clear" w:color="000000" w:fill="D9D9D9"/>
            <w:noWrap/>
            <w:vAlign w:val="center"/>
            <w:hideMark/>
          </w:tcPr>
          <w:p w14:paraId="02E4F475" w14:textId="20C232EA"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6</w:t>
            </w:r>
            <w:r w:rsidR="00A46415">
              <w:rPr>
                <w:rFonts w:ascii="Calibri Light" w:hAnsi="Calibri Light" w:cs="Calibri Light"/>
                <w:color w:val="13576B"/>
                <w:sz w:val="20"/>
              </w:rPr>
              <w:t>,</w:t>
            </w:r>
            <w:r>
              <w:rPr>
                <w:rFonts w:ascii="Calibri Light" w:hAnsi="Calibri Light" w:cs="Calibri Light"/>
                <w:color w:val="13576B"/>
                <w:sz w:val="20"/>
              </w:rPr>
              <w:t>75</w:t>
            </w:r>
          </w:p>
        </w:tc>
        <w:tc>
          <w:tcPr>
            <w:tcW w:w="680" w:type="dxa"/>
            <w:tcBorders>
              <w:top w:val="nil"/>
              <w:left w:val="nil"/>
              <w:bottom w:val="nil"/>
              <w:right w:val="single" w:sz="8" w:space="0" w:color="FFFFFF"/>
            </w:tcBorders>
            <w:shd w:val="clear" w:color="000000" w:fill="D9D9D9"/>
            <w:noWrap/>
            <w:vAlign w:val="center"/>
            <w:hideMark/>
          </w:tcPr>
          <w:p w14:paraId="2482E8E6" w14:textId="79EEC5F4"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w:t>
            </w:r>
            <w:r w:rsidR="00A46415">
              <w:rPr>
                <w:rFonts w:ascii="Calibri Light" w:hAnsi="Calibri Light" w:cs="Calibri Light"/>
                <w:color w:val="FF0000"/>
                <w:sz w:val="20"/>
              </w:rPr>
              <w:t>,</w:t>
            </w:r>
            <w:r>
              <w:rPr>
                <w:rFonts w:ascii="Calibri Light" w:hAnsi="Calibri Light" w:cs="Calibri Light"/>
                <w:color w:val="FF0000"/>
                <w:sz w:val="20"/>
              </w:rPr>
              <w:t>00</w:t>
            </w:r>
          </w:p>
        </w:tc>
        <w:tc>
          <w:tcPr>
            <w:tcW w:w="680" w:type="dxa"/>
            <w:tcBorders>
              <w:top w:val="nil"/>
              <w:left w:val="nil"/>
              <w:bottom w:val="nil"/>
              <w:right w:val="single" w:sz="8" w:space="0" w:color="FFFFFF"/>
            </w:tcBorders>
            <w:shd w:val="clear" w:color="000000" w:fill="D9D9D9"/>
            <w:noWrap/>
            <w:vAlign w:val="center"/>
            <w:hideMark/>
          </w:tcPr>
          <w:p w14:paraId="4D2D8278" w14:textId="56F0E7C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25</w:t>
            </w:r>
          </w:p>
        </w:tc>
      </w:tr>
      <w:tr w:rsidR="00EC29DC" w:rsidRPr="00743530" w14:paraId="2336A020"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378473EE"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3M-PRIBOR (%): průměr</w:t>
            </w:r>
          </w:p>
        </w:tc>
        <w:tc>
          <w:tcPr>
            <w:tcW w:w="680" w:type="dxa"/>
            <w:tcBorders>
              <w:top w:val="nil"/>
              <w:left w:val="nil"/>
              <w:bottom w:val="nil"/>
              <w:right w:val="single" w:sz="8" w:space="0" w:color="FFFFFF"/>
            </w:tcBorders>
            <w:shd w:val="clear" w:color="000000" w:fill="D9D9D9"/>
            <w:noWrap/>
            <w:vAlign w:val="center"/>
            <w:hideMark/>
          </w:tcPr>
          <w:p w14:paraId="6F6040F5" w14:textId="4F53373A"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7</w:t>
            </w:r>
            <w:r w:rsidR="00A46415">
              <w:rPr>
                <w:rFonts w:ascii="Calibri Light" w:hAnsi="Calibri Light" w:cs="Calibri Light"/>
                <w:color w:val="13576B"/>
                <w:sz w:val="20"/>
              </w:rPr>
              <w:t>,</w:t>
            </w:r>
            <w:r>
              <w:rPr>
                <w:rFonts w:ascii="Calibri Light" w:hAnsi="Calibri Light" w:cs="Calibri Light"/>
                <w:color w:val="13576B"/>
                <w:sz w:val="20"/>
              </w:rPr>
              <w:t>12</w:t>
            </w:r>
          </w:p>
        </w:tc>
        <w:tc>
          <w:tcPr>
            <w:tcW w:w="680" w:type="dxa"/>
            <w:tcBorders>
              <w:top w:val="nil"/>
              <w:left w:val="nil"/>
              <w:bottom w:val="nil"/>
              <w:right w:val="single" w:sz="8" w:space="0" w:color="FFFFFF"/>
            </w:tcBorders>
            <w:shd w:val="clear" w:color="000000" w:fill="D9D9D9"/>
            <w:noWrap/>
            <w:vAlign w:val="center"/>
            <w:hideMark/>
          </w:tcPr>
          <w:p w14:paraId="5AA8EC7D" w14:textId="64399B4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w:t>
            </w:r>
            <w:r w:rsidR="00A46415">
              <w:rPr>
                <w:rFonts w:ascii="Calibri Light" w:hAnsi="Calibri Light" w:cs="Calibri Light"/>
                <w:color w:val="FF0000"/>
                <w:sz w:val="20"/>
              </w:rPr>
              <w:t>,</w:t>
            </w:r>
            <w:r>
              <w:rPr>
                <w:rFonts w:ascii="Calibri Light" w:hAnsi="Calibri Light" w:cs="Calibri Light"/>
                <w:color w:val="FF0000"/>
                <w:sz w:val="20"/>
              </w:rPr>
              <w:t>99</w:t>
            </w:r>
          </w:p>
        </w:tc>
        <w:tc>
          <w:tcPr>
            <w:tcW w:w="680" w:type="dxa"/>
            <w:tcBorders>
              <w:top w:val="nil"/>
              <w:left w:val="nil"/>
              <w:bottom w:val="nil"/>
              <w:right w:val="single" w:sz="8" w:space="0" w:color="FFFFFF"/>
            </w:tcBorders>
            <w:shd w:val="clear" w:color="000000" w:fill="D9D9D9"/>
            <w:noWrap/>
            <w:vAlign w:val="center"/>
            <w:hideMark/>
          </w:tcPr>
          <w:p w14:paraId="1D85706C" w14:textId="56090B40"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60</w:t>
            </w:r>
          </w:p>
        </w:tc>
      </w:tr>
      <w:tr w:rsidR="00EC29DC" w:rsidRPr="00743530" w14:paraId="198C040A"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01A9AAA5"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Výnos 10letého vládního dluhopisu (%): průměr</w:t>
            </w:r>
          </w:p>
        </w:tc>
        <w:tc>
          <w:tcPr>
            <w:tcW w:w="680" w:type="dxa"/>
            <w:tcBorders>
              <w:top w:val="nil"/>
              <w:left w:val="nil"/>
              <w:bottom w:val="nil"/>
              <w:right w:val="single" w:sz="8" w:space="0" w:color="FFFFFF"/>
            </w:tcBorders>
            <w:shd w:val="clear" w:color="000000" w:fill="D9D9D9"/>
            <w:noWrap/>
            <w:vAlign w:val="center"/>
            <w:hideMark/>
          </w:tcPr>
          <w:p w14:paraId="65042633" w14:textId="395ACFD1"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4</w:t>
            </w:r>
            <w:r w:rsidR="00A46415">
              <w:rPr>
                <w:rFonts w:ascii="Calibri Light" w:hAnsi="Calibri Light" w:cs="Calibri Light"/>
                <w:color w:val="13576B"/>
                <w:sz w:val="20"/>
              </w:rPr>
              <w:t>,</w:t>
            </w:r>
            <w:r>
              <w:rPr>
                <w:rFonts w:ascii="Calibri Light" w:hAnsi="Calibri Light" w:cs="Calibri Light"/>
                <w:color w:val="13576B"/>
                <w:sz w:val="20"/>
              </w:rPr>
              <w:t>50</w:t>
            </w:r>
          </w:p>
        </w:tc>
        <w:tc>
          <w:tcPr>
            <w:tcW w:w="680" w:type="dxa"/>
            <w:tcBorders>
              <w:top w:val="nil"/>
              <w:left w:val="nil"/>
              <w:bottom w:val="nil"/>
              <w:right w:val="single" w:sz="8" w:space="0" w:color="FFFFFF"/>
            </w:tcBorders>
            <w:shd w:val="clear" w:color="000000" w:fill="D9D9D9"/>
            <w:noWrap/>
            <w:vAlign w:val="center"/>
            <w:hideMark/>
          </w:tcPr>
          <w:p w14:paraId="6B3A5D73" w14:textId="0C331CD4"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97</w:t>
            </w:r>
          </w:p>
        </w:tc>
        <w:tc>
          <w:tcPr>
            <w:tcW w:w="680" w:type="dxa"/>
            <w:tcBorders>
              <w:top w:val="nil"/>
              <w:left w:val="nil"/>
              <w:bottom w:val="nil"/>
              <w:right w:val="single" w:sz="8" w:space="0" w:color="FFFFFF"/>
            </w:tcBorders>
            <w:shd w:val="clear" w:color="000000" w:fill="D9D9D9"/>
            <w:noWrap/>
            <w:vAlign w:val="center"/>
            <w:hideMark/>
          </w:tcPr>
          <w:p w14:paraId="391FF1CC" w14:textId="477CCC1A"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84</w:t>
            </w:r>
          </w:p>
        </w:tc>
      </w:tr>
      <w:tr w:rsidR="00EC29DC" w:rsidRPr="00743530" w14:paraId="120C9020"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2B83C0CF"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Základní sazba ECB (%): konec období</w:t>
            </w:r>
          </w:p>
        </w:tc>
        <w:tc>
          <w:tcPr>
            <w:tcW w:w="680" w:type="dxa"/>
            <w:tcBorders>
              <w:top w:val="nil"/>
              <w:left w:val="nil"/>
              <w:bottom w:val="single" w:sz="8" w:space="0" w:color="FFFFFF"/>
              <w:right w:val="single" w:sz="8" w:space="0" w:color="FFFFFF"/>
            </w:tcBorders>
            <w:shd w:val="clear" w:color="000000" w:fill="D9D9D9"/>
            <w:noWrap/>
            <w:vAlign w:val="center"/>
            <w:hideMark/>
          </w:tcPr>
          <w:p w14:paraId="7888A27B" w14:textId="634A9AC2"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4</w:t>
            </w:r>
            <w:r w:rsidR="00A46415">
              <w:rPr>
                <w:rFonts w:ascii="Calibri Light" w:hAnsi="Calibri Light" w:cs="Calibri Light"/>
                <w:color w:val="13576B"/>
                <w:sz w:val="20"/>
              </w:rPr>
              <w:t>,</w:t>
            </w:r>
            <w:r>
              <w:rPr>
                <w:rFonts w:ascii="Calibri Light" w:hAnsi="Calibri Light" w:cs="Calibri Light"/>
                <w:color w:val="13576B"/>
                <w:sz w:val="20"/>
              </w:rPr>
              <w:t>50</w:t>
            </w:r>
          </w:p>
        </w:tc>
        <w:tc>
          <w:tcPr>
            <w:tcW w:w="680" w:type="dxa"/>
            <w:tcBorders>
              <w:top w:val="nil"/>
              <w:left w:val="nil"/>
              <w:bottom w:val="single" w:sz="8" w:space="0" w:color="FFFFFF"/>
              <w:right w:val="single" w:sz="8" w:space="0" w:color="FFFFFF"/>
            </w:tcBorders>
            <w:shd w:val="clear" w:color="000000" w:fill="D9D9D9"/>
            <w:noWrap/>
            <w:vAlign w:val="center"/>
            <w:hideMark/>
          </w:tcPr>
          <w:p w14:paraId="2CCE4E5B" w14:textId="27045D06"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w:t>
            </w:r>
            <w:r w:rsidR="00A46415">
              <w:rPr>
                <w:rFonts w:ascii="Calibri Light" w:hAnsi="Calibri Light" w:cs="Calibri Light"/>
                <w:color w:val="FF0000"/>
                <w:sz w:val="20"/>
              </w:rPr>
              <w:t>,</w:t>
            </w:r>
            <w:r>
              <w:rPr>
                <w:rFonts w:ascii="Calibri Light" w:hAnsi="Calibri Light" w:cs="Calibri Light"/>
                <w:color w:val="FF0000"/>
                <w:sz w:val="20"/>
              </w:rPr>
              <w:t>15</w:t>
            </w:r>
          </w:p>
        </w:tc>
        <w:tc>
          <w:tcPr>
            <w:tcW w:w="680" w:type="dxa"/>
            <w:tcBorders>
              <w:top w:val="nil"/>
              <w:left w:val="nil"/>
              <w:bottom w:val="single" w:sz="8" w:space="0" w:color="FFFFFF"/>
              <w:right w:val="single" w:sz="8" w:space="0" w:color="FFFFFF"/>
            </w:tcBorders>
            <w:shd w:val="clear" w:color="000000" w:fill="D9D9D9"/>
            <w:noWrap/>
            <w:vAlign w:val="center"/>
            <w:hideMark/>
          </w:tcPr>
          <w:p w14:paraId="01A0D4B3" w14:textId="34553C83"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w:t>
            </w:r>
            <w:r w:rsidR="00A46415">
              <w:rPr>
                <w:rFonts w:ascii="Calibri Light" w:hAnsi="Calibri Light" w:cs="Calibri Light"/>
                <w:color w:val="FF0000"/>
                <w:sz w:val="20"/>
              </w:rPr>
              <w:t>,</w:t>
            </w:r>
            <w:r>
              <w:rPr>
                <w:rFonts w:ascii="Calibri Light" w:hAnsi="Calibri Light" w:cs="Calibri Light"/>
                <w:color w:val="FF0000"/>
                <w:sz w:val="20"/>
              </w:rPr>
              <w:t>40</w:t>
            </w:r>
          </w:p>
        </w:tc>
      </w:tr>
      <w:tr w:rsidR="00EC29DC" w:rsidRPr="00743530" w14:paraId="1D98EB59"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0701DED7"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Kurz CZK/EUR: průměr</w:t>
            </w:r>
          </w:p>
        </w:tc>
        <w:tc>
          <w:tcPr>
            <w:tcW w:w="680" w:type="dxa"/>
            <w:tcBorders>
              <w:top w:val="nil"/>
              <w:left w:val="nil"/>
              <w:bottom w:val="nil"/>
              <w:right w:val="single" w:sz="8" w:space="0" w:color="FFFFFF"/>
            </w:tcBorders>
            <w:shd w:val="clear" w:color="000000" w:fill="D9D9D9"/>
            <w:noWrap/>
            <w:vAlign w:val="center"/>
            <w:hideMark/>
          </w:tcPr>
          <w:p w14:paraId="6DCE9A75" w14:textId="0DEBB516"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24</w:t>
            </w:r>
            <w:r w:rsidR="00A46415">
              <w:rPr>
                <w:rFonts w:ascii="Calibri Light" w:hAnsi="Calibri Light" w:cs="Calibri Light"/>
                <w:color w:val="13576B"/>
                <w:sz w:val="20"/>
              </w:rPr>
              <w:t>,</w:t>
            </w:r>
            <w:r>
              <w:rPr>
                <w:rFonts w:ascii="Calibri Light" w:hAnsi="Calibri Light" w:cs="Calibri Light"/>
                <w:color w:val="13576B"/>
                <w:sz w:val="20"/>
              </w:rPr>
              <w:t>00</w:t>
            </w:r>
          </w:p>
        </w:tc>
        <w:tc>
          <w:tcPr>
            <w:tcW w:w="680" w:type="dxa"/>
            <w:tcBorders>
              <w:top w:val="nil"/>
              <w:left w:val="nil"/>
              <w:bottom w:val="nil"/>
              <w:right w:val="single" w:sz="8" w:space="0" w:color="FFFFFF"/>
            </w:tcBorders>
            <w:shd w:val="clear" w:color="000000" w:fill="D9D9D9"/>
            <w:noWrap/>
            <w:vAlign w:val="center"/>
            <w:hideMark/>
          </w:tcPr>
          <w:p w14:paraId="2A08737A" w14:textId="510CA424"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r w:rsidR="00A46415">
              <w:rPr>
                <w:rFonts w:ascii="Calibri Light" w:hAnsi="Calibri Light" w:cs="Calibri Light"/>
                <w:color w:val="FF0000"/>
                <w:sz w:val="20"/>
              </w:rPr>
              <w:t>,</w:t>
            </w:r>
            <w:r>
              <w:rPr>
                <w:rFonts w:ascii="Calibri Light" w:hAnsi="Calibri Light" w:cs="Calibri Light"/>
                <w:color w:val="FF0000"/>
                <w:sz w:val="20"/>
              </w:rPr>
              <w:t>10</w:t>
            </w:r>
          </w:p>
        </w:tc>
        <w:tc>
          <w:tcPr>
            <w:tcW w:w="680" w:type="dxa"/>
            <w:tcBorders>
              <w:top w:val="nil"/>
              <w:left w:val="nil"/>
              <w:bottom w:val="nil"/>
              <w:right w:val="single" w:sz="8" w:space="0" w:color="FFFFFF"/>
            </w:tcBorders>
            <w:shd w:val="clear" w:color="000000" w:fill="D9D9D9"/>
            <w:noWrap/>
            <w:vAlign w:val="center"/>
            <w:hideMark/>
          </w:tcPr>
          <w:p w14:paraId="2142E005" w14:textId="79085E6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r w:rsidR="00A46415">
              <w:rPr>
                <w:rFonts w:ascii="Calibri Light" w:hAnsi="Calibri Light" w:cs="Calibri Light"/>
                <w:color w:val="FF0000"/>
                <w:sz w:val="20"/>
              </w:rPr>
              <w:t>,</w:t>
            </w:r>
            <w:r>
              <w:rPr>
                <w:rFonts w:ascii="Calibri Light" w:hAnsi="Calibri Light" w:cs="Calibri Light"/>
                <w:color w:val="FF0000"/>
                <w:sz w:val="20"/>
              </w:rPr>
              <w:t>90</w:t>
            </w:r>
          </w:p>
        </w:tc>
      </w:tr>
      <w:tr w:rsidR="00EC29DC" w:rsidRPr="00743530" w14:paraId="6F368A67"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0E896C68"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Kurz CZK/EUR: konec roku</w:t>
            </w:r>
          </w:p>
        </w:tc>
        <w:tc>
          <w:tcPr>
            <w:tcW w:w="680" w:type="dxa"/>
            <w:tcBorders>
              <w:top w:val="nil"/>
              <w:left w:val="nil"/>
              <w:bottom w:val="single" w:sz="8" w:space="0" w:color="FFFFFF"/>
              <w:right w:val="single" w:sz="8" w:space="0" w:color="FFFFFF"/>
            </w:tcBorders>
            <w:shd w:val="clear" w:color="000000" w:fill="D9D9D9"/>
            <w:noWrap/>
            <w:vAlign w:val="center"/>
            <w:hideMark/>
          </w:tcPr>
          <w:p w14:paraId="491098AA" w14:textId="1D79202A"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24</w:t>
            </w:r>
            <w:r w:rsidR="00A46415">
              <w:rPr>
                <w:rFonts w:ascii="Calibri Light" w:hAnsi="Calibri Light" w:cs="Calibri Light"/>
                <w:color w:val="13576B"/>
                <w:sz w:val="20"/>
              </w:rPr>
              <w:t>,</w:t>
            </w:r>
            <w:r>
              <w:rPr>
                <w:rFonts w:ascii="Calibri Light" w:hAnsi="Calibri Light" w:cs="Calibri Light"/>
                <w:color w:val="13576B"/>
                <w:sz w:val="20"/>
              </w:rPr>
              <w:t>70</w:t>
            </w:r>
          </w:p>
        </w:tc>
        <w:tc>
          <w:tcPr>
            <w:tcW w:w="680" w:type="dxa"/>
            <w:tcBorders>
              <w:top w:val="nil"/>
              <w:left w:val="nil"/>
              <w:bottom w:val="single" w:sz="8" w:space="0" w:color="FFFFFF"/>
              <w:right w:val="single" w:sz="8" w:space="0" w:color="FFFFFF"/>
            </w:tcBorders>
            <w:shd w:val="clear" w:color="000000" w:fill="D9D9D9"/>
            <w:noWrap/>
            <w:vAlign w:val="center"/>
            <w:hideMark/>
          </w:tcPr>
          <w:p w14:paraId="1CBD8528" w14:textId="3762D71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r w:rsidR="00A46415">
              <w:rPr>
                <w:rFonts w:ascii="Calibri Light" w:hAnsi="Calibri Light" w:cs="Calibri Light"/>
                <w:color w:val="FF0000"/>
                <w:sz w:val="20"/>
              </w:rPr>
              <w:t>,</w:t>
            </w:r>
            <w:r>
              <w:rPr>
                <w:rFonts w:ascii="Calibri Light" w:hAnsi="Calibri Light" w:cs="Calibri Light"/>
                <w:color w:val="FF0000"/>
                <w:sz w:val="20"/>
              </w:rPr>
              <w:t>15</w:t>
            </w:r>
          </w:p>
        </w:tc>
        <w:tc>
          <w:tcPr>
            <w:tcW w:w="680" w:type="dxa"/>
            <w:tcBorders>
              <w:top w:val="nil"/>
              <w:left w:val="nil"/>
              <w:bottom w:val="single" w:sz="8" w:space="0" w:color="FFFFFF"/>
              <w:right w:val="single" w:sz="8" w:space="0" w:color="FFFFFF"/>
            </w:tcBorders>
            <w:shd w:val="clear" w:color="000000" w:fill="D9D9D9"/>
            <w:noWrap/>
            <w:vAlign w:val="center"/>
            <w:hideMark/>
          </w:tcPr>
          <w:p w14:paraId="2DAA0961" w14:textId="3DB6EBA2"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r w:rsidR="00A46415">
              <w:rPr>
                <w:rFonts w:ascii="Calibri Light" w:hAnsi="Calibri Light" w:cs="Calibri Light"/>
                <w:color w:val="FF0000"/>
                <w:sz w:val="20"/>
              </w:rPr>
              <w:t>,</w:t>
            </w:r>
            <w:r>
              <w:rPr>
                <w:rFonts w:ascii="Calibri Light" w:hAnsi="Calibri Light" w:cs="Calibri Light"/>
                <w:color w:val="FF0000"/>
                <w:sz w:val="20"/>
              </w:rPr>
              <w:t>70</w:t>
            </w:r>
          </w:p>
        </w:tc>
      </w:tr>
      <w:tr w:rsidR="00EC29DC" w:rsidRPr="00743530" w14:paraId="506560F9" w14:textId="77777777" w:rsidTr="00743530">
        <w:trPr>
          <w:trHeight w:val="270"/>
        </w:trPr>
        <w:tc>
          <w:tcPr>
            <w:tcW w:w="4720" w:type="dxa"/>
            <w:tcBorders>
              <w:top w:val="nil"/>
              <w:left w:val="single" w:sz="8" w:space="0" w:color="FFFFFF"/>
              <w:bottom w:val="nil"/>
              <w:right w:val="single" w:sz="8" w:space="0" w:color="FFFFFF"/>
            </w:tcBorders>
            <w:shd w:val="clear" w:color="000000" w:fill="13576B"/>
            <w:vAlign w:val="center"/>
            <w:hideMark/>
          </w:tcPr>
          <w:p w14:paraId="1A688C27"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reálného HDP v eurozóně (%)</w:t>
            </w:r>
          </w:p>
        </w:tc>
        <w:tc>
          <w:tcPr>
            <w:tcW w:w="680" w:type="dxa"/>
            <w:tcBorders>
              <w:top w:val="nil"/>
              <w:left w:val="nil"/>
              <w:bottom w:val="nil"/>
              <w:right w:val="single" w:sz="8" w:space="0" w:color="FFFFFF"/>
            </w:tcBorders>
            <w:shd w:val="clear" w:color="000000" w:fill="D9D9D9"/>
            <w:noWrap/>
            <w:vAlign w:val="center"/>
            <w:hideMark/>
          </w:tcPr>
          <w:p w14:paraId="37D57C06" w14:textId="4E3CA996"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0</w:t>
            </w:r>
            <w:r w:rsidR="00A46415">
              <w:rPr>
                <w:rFonts w:ascii="Calibri Light" w:hAnsi="Calibri Light" w:cs="Calibri Light"/>
                <w:color w:val="13576B"/>
                <w:sz w:val="20"/>
              </w:rPr>
              <w:t>,</w:t>
            </w:r>
            <w:r>
              <w:rPr>
                <w:rFonts w:ascii="Calibri Light" w:hAnsi="Calibri Light" w:cs="Calibri Light"/>
                <w:color w:val="13576B"/>
                <w:sz w:val="20"/>
              </w:rPr>
              <w:t>5</w:t>
            </w:r>
          </w:p>
        </w:tc>
        <w:tc>
          <w:tcPr>
            <w:tcW w:w="680" w:type="dxa"/>
            <w:tcBorders>
              <w:top w:val="nil"/>
              <w:left w:val="nil"/>
              <w:bottom w:val="nil"/>
              <w:right w:val="single" w:sz="8" w:space="0" w:color="FFFFFF"/>
            </w:tcBorders>
            <w:shd w:val="clear" w:color="000000" w:fill="D9D9D9"/>
            <w:noWrap/>
            <w:vAlign w:val="center"/>
            <w:hideMark/>
          </w:tcPr>
          <w:p w14:paraId="1403D371" w14:textId="03879B26"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0</w:t>
            </w:r>
            <w:r w:rsidR="00A46415">
              <w:rPr>
                <w:rFonts w:ascii="Calibri Light" w:hAnsi="Calibri Light" w:cs="Calibri Light"/>
                <w:color w:val="FF0000"/>
                <w:sz w:val="20"/>
              </w:rPr>
              <w:t>,</w:t>
            </w:r>
            <w:r>
              <w:rPr>
                <w:rFonts w:ascii="Calibri Light" w:hAnsi="Calibri Light" w:cs="Calibri Light"/>
                <w:color w:val="FF0000"/>
                <w:sz w:val="20"/>
              </w:rPr>
              <w:t>7</w:t>
            </w:r>
          </w:p>
        </w:tc>
        <w:tc>
          <w:tcPr>
            <w:tcW w:w="680" w:type="dxa"/>
            <w:tcBorders>
              <w:top w:val="nil"/>
              <w:left w:val="nil"/>
              <w:bottom w:val="nil"/>
              <w:right w:val="single" w:sz="8" w:space="0" w:color="FFFFFF"/>
            </w:tcBorders>
            <w:shd w:val="clear" w:color="000000" w:fill="D9D9D9"/>
            <w:noWrap/>
            <w:vAlign w:val="center"/>
            <w:hideMark/>
          </w:tcPr>
          <w:p w14:paraId="71D340AF" w14:textId="33B49F71"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w:t>
            </w:r>
            <w:r w:rsidR="00A46415">
              <w:rPr>
                <w:rFonts w:ascii="Calibri Light" w:hAnsi="Calibri Light" w:cs="Calibri Light"/>
                <w:color w:val="FF0000"/>
                <w:sz w:val="20"/>
              </w:rPr>
              <w:t>,</w:t>
            </w:r>
            <w:r>
              <w:rPr>
                <w:rFonts w:ascii="Calibri Light" w:hAnsi="Calibri Light" w:cs="Calibri Light"/>
                <w:color w:val="FF0000"/>
                <w:sz w:val="20"/>
              </w:rPr>
              <w:t>1</w:t>
            </w:r>
          </w:p>
        </w:tc>
      </w:tr>
      <w:tr w:rsidR="00EC29DC" w:rsidRPr="00743530" w14:paraId="00C55435" w14:textId="77777777" w:rsidTr="00743530">
        <w:trPr>
          <w:trHeight w:val="270"/>
        </w:trPr>
        <w:tc>
          <w:tcPr>
            <w:tcW w:w="4720" w:type="dxa"/>
            <w:tcBorders>
              <w:top w:val="nil"/>
              <w:left w:val="nil"/>
              <w:bottom w:val="single" w:sz="8" w:space="0" w:color="FFFFFF"/>
              <w:right w:val="single" w:sz="8" w:space="0" w:color="FFFFFF"/>
            </w:tcBorders>
            <w:shd w:val="clear" w:color="000000" w:fill="13576B"/>
            <w:vAlign w:val="center"/>
            <w:hideMark/>
          </w:tcPr>
          <w:p w14:paraId="5C4623C5"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Ceny ropy (USD za barel): brent průměr</w:t>
            </w:r>
          </w:p>
        </w:tc>
        <w:tc>
          <w:tcPr>
            <w:tcW w:w="680" w:type="dxa"/>
            <w:tcBorders>
              <w:top w:val="nil"/>
              <w:left w:val="nil"/>
              <w:bottom w:val="single" w:sz="8" w:space="0" w:color="FFFFFF"/>
              <w:right w:val="single" w:sz="8" w:space="0" w:color="FFFFFF"/>
            </w:tcBorders>
            <w:shd w:val="clear" w:color="000000" w:fill="D9D9D9"/>
            <w:noWrap/>
            <w:vAlign w:val="center"/>
            <w:hideMark/>
          </w:tcPr>
          <w:p w14:paraId="09D72B50" w14:textId="2E270EF8"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82</w:t>
            </w:r>
          </w:p>
        </w:tc>
        <w:tc>
          <w:tcPr>
            <w:tcW w:w="680" w:type="dxa"/>
            <w:tcBorders>
              <w:top w:val="nil"/>
              <w:left w:val="nil"/>
              <w:bottom w:val="single" w:sz="8" w:space="0" w:color="FFFFFF"/>
              <w:right w:val="single" w:sz="8" w:space="0" w:color="FFFFFF"/>
            </w:tcBorders>
            <w:shd w:val="clear" w:color="000000" w:fill="D9D9D9"/>
            <w:noWrap/>
            <w:vAlign w:val="center"/>
            <w:hideMark/>
          </w:tcPr>
          <w:p w14:paraId="1EA56160" w14:textId="6A219646"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82</w:t>
            </w:r>
          </w:p>
        </w:tc>
        <w:tc>
          <w:tcPr>
            <w:tcW w:w="680" w:type="dxa"/>
            <w:tcBorders>
              <w:top w:val="nil"/>
              <w:left w:val="nil"/>
              <w:bottom w:val="single" w:sz="8" w:space="0" w:color="FFFFFF"/>
              <w:right w:val="single" w:sz="8" w:space="0" w:color="FFFFFF"/>
            </w:tcBorders>
            <w:shd w:val="clear" w:color="000000" w:fill="D9D9D9"/>
            <w:noWrap/>
            <w:vAlign w:val="center"/>
            <w:hideMark/>
          </w:tcPr>
          <w:p w14:paraId="49955406" w14:textId="76C8E502"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75</w:t>
            </w:r>
          </w:p>
        </w:tc>
      </w:tr>
      <w:tr w:rsidR="00EC29DC" w:rsidRPr="00743530" w14:paraId="27D7FB94"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2D3C298E"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klientských (%)</w:t>
            </w:r>
          </w:p>
        </w:tc>
        <w:tc>
          <w:tcPr>
            <w:tcW w:w="680" w:type="dxa"/>
            <w:tcBorders>
              <w:top w:val="nil"/>
              <w:left w:val="nil"/>
              <w:bottom w:val="nil"/>
              <w:right w:val="single" w:sz="8" w:space="0" w:color="FFFFFF"/>
            </w:tcBorders>
            <w:shd w:val="clear" w:color="000000" w:fill="D9D9D9"/>
            <w:noWrap/>
            <w:vAlign w:val="center"/>
            <w:hideMark/>
          </w:tcPr>
          <w:p w14:paraId="7812FE2E" w14:textId="71F8F19D"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5</w:t>
            </w:r>
            <w:r w:rsidR="00A46415">
              <w:rPr>
                <w:rFonts w:ascii="Calibri Light" w:hAnsi="Calibri Light" w:cs="Calibri Light"/>
                <w:color w:val="13576B"/>
                <w:sz w:val="20"/>
              </w:rPr>
              <w:t>,</w:t>
            </w:r>
            <w:r>
              <w:rPr>
                <w:rFonts w:ascii="Calibri Light" w:hAnsi="Calibri Light" w:cs="Calibri Light"/>
                <w:color w:val="13576B"/>
                <w:sz w:val="20"/>
              </w:rPr>
              <w:t>9</w:t>
            </w:r>
          </w:p>
        </w:tc>
        <w:tc>
          <w:tcPr>
            <w:tcW w:w="680" w:type="dxa"/>
            <w:tcBorders>
              <w:top w:val="nil"/>
              <w:left w:val="nil"/>
              <w:bottom w:val="nil"/>
              <w:right w:val="single" w:sz="8" w:space="0" w:color="FFFFFF"/>
            </w:tcBorders>
            <w:shd w:val="clear" w:color="000000" w:fill="D9D9D9"/>
            <w:noWrap/>
            <w:vAlign w:val="center"/>
            <w:hideMark/>
          </w:tcPr>
          <w:p w14:paraId="0BAE2F00" w14:textId="75158487"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w:t>
            </w:r>
            <w:r w:rsidR="00A46415">
              <w:rPr>
                <w:rFonts w:ascii="Calibri Light" w:hAnsi="Calibri Light" w:cs="Calibri Light"/>
                <w:color w:val="FF0000"/>
                <w:sz w:val="20"/>
              </w:rPr>
              <w:t>,</w:t>
            </w:r>
            <w:r>
              <w:rPr>
                <w:rFonts w:ascii="Calibri Light" w:hAnsi="Calibri Light" w:cs="Calibri Light"/>
                <w:color w:val="FF0000"/>
                <w:sz w:val="20"/>
              </w:rPr>
              <w:t>2</w:t>
            </w:r>
          </w:p>
        </w:tc>
        <w:tc>
          <w:tcPr>
            <w:tcW w:w="680" w:type="dxa"/>
            <w:tcBorders>
              <w:top w:val="nil"/>
              <w:left w:val="nil"/>
              <w:bottom w:val="nil"/>
              <w:right w:val="single" w:sz="8" w:space="0" w:color="FFFFFF"/>
            </w:tcBorders>
            <w:shd w:val="clear" w:color="000000" w:fill="D9D9D9"/>
            <w:noWrap/>
            <w:vAlign w:val="center"/>
            <w:hideMark/>
          </w:tcPr>
          <w:p w14:paraId="344DCDAB" w14:textId="2F82E9CF"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7</w:t>
            </w:r>
          </w:p>
        </w:tc>
      </w:tr>
      <w:tr w:rsidR="00EC29DC" w:rsidRPr="00743530" w14:paraId="75D898FC"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23DB2A2B"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domácnostem (%)</w:t>
            </w:r>
          </w:p>
        </w:tc>
        <w:tc>
          <w:tcPr>
            <w:tcW w:w="680" w:type="dxa"/>
            <w:tcBorders>
              <w:top w:val="nil"/>
              <w:left w:val="nil"/>
              <w:bottom w:val="nil"/>
              <w:right w:val="single" w:sz="8" w:space="0" w:color="FFFFFF"/>
            </w:tcBorders>
            <w:shd w:val="clear" w:color="000000" w:fill="D9D9D9"/>
            <w:noWrap/>
            <w:vAlign w:val="center"/>
            <w:hideMark/>
          </w:tcPr>
          <w:p w14:paraId="29ED7F73" w14:textId="477BEA17"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4</w:t>
            </w:r>
            <w:r w:rsidR="00A46415">
              <w:rPr>
                <w:rFonts w:ascii="Calibri Light" w:hAnsi="Calibri Light" w:cs="Calibri Light"/>
                <w:color w:val="13576B"/>
                <w:sz w:val="20"/>
              </w:rPr>
              <w:t>,</w:t>
            </w:r>
            <w:r>
              <w:rPr>
                <w:rFonts w:ascii="Calibri Light" w:hAnsi="Calibri Light" w:cs="Calibri Light"/>
                <w:color w:val="13576B"/>
                <w:sz w:val="20"/>
              </w:rPr>
              <w:t>8</w:t>
            </w:r>
          </w:p>
        </w:tc>
        <w:tc>
          <w:tcPr>
            <w:tcW w:w="680" w:type="dxa"/>
            <w:tcBorders>
              <w:top w:val="nil"/>
              <w:left w:val="nil"/>
              <w:bottom w:val="nil"/>
              <w:right w:val="single" w:sz="8" w:space="0" w:color="FFFFFF"/>
            </w:tcBorders>
            <w:shd w:val="clear" w:color="000000" w:fill="D9D9D9"/>
            <w:noWrap/>
            <w:vAlign w:val="center"/>
            <w:hideMark/>
          </w:tcPr>
          <w:p w14:paraId="173F31BA" w14:textId="0D1E084C"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6E6362F7" w14:textId="76E4BE97"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6</w:t>
            </w:r>
          </w:p>
        </w:tc>
      </w:tr>
      <w:tr w:rsidR="00EC29DC" w:rsidRPr="00743530" w14:paraId="71E39703" w14:textId="77777777" w:rsidTr="00743530">
        <w:trPr>
          <w:trHeight w:val="270"/>
        </w:trPr>
        <w:tc>
          <w:tcPr>
            <w:tcW w:w="4720" w:type="dxa"/>
            <w:tcBorders>
              <w:top w:val="nil"/>
              <w:left w:val="nil"/>
              <w:bottom w:val="nil"/>
              <w:right w:val="single" w:sz="8" w:space="0" w:color="FFFFFF"/>
            </w:tcBorders>
            <w:shd w:val="clear" w:color="000000" w:fill="13576B"/>
            <w:vAlign w:val="center"/>
            <w:hideMark/>
          </w:tcPr>
          <w:p w14:paraId="1171F41C"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(nefinančním) podnikům (%)</w:t>
            </w:r>
          </w:p>
        </w:tc>
        <w:tc>
          <w:tcPr>
            <w:tcW w:w="680" w:type="dxa"/>
            <w:tcBorders>
              <w:top w:val="nil"/>
              <w:left w:val="nil"/>
              <w:bottom w:val="nil"/>
              <w:right w:val="single" w:sz="8" w:space="0" w:color="FFFFFF"/>
            </w:tcBorders>
            <w:shd w:val="clear" w:color="000000" w:fill="D9D9D9"/>
            <w:noWrap/>
            <w:vAlign w:val="center"/>
            <w:hideMark/>
          </w:tcPr>
          <w:p w14:paraId="5BAE93B0" w14:textId="3E526A59"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4</w:t>
            </w:r>
            <w:r w:rsidR="00A46415">
              <w:rPr>
                <w:rFonts w:ascii="Calibri Light" w:hAnsi="Calibri Light" w:cs="Calibri Light"/>
                <w:color w:val="13576B"/>
                <w:sz w:val="20"/>
              </w:rPr>
              <w:t>,</w:t>
            </w:r>
            <w:r>
              <w:rPr>
                <w:rFonts w:ascii="Calibri Light" w:hAnsi="Calibri Light" w:cs="Calibri Light"/>
                <w:color w:val="13576B"/>
                <w:sz w:val="20"/>
              </w:rPr>
              <w:t>7</w:t>
            </w:r>
          </w:p>
        </w:tc>
        <w:tc>
          <w:tcPr>
            <w:tcW w:w="680" w:type="dxa"/>
            <w:tcBorders>
              <w:top w:val="nil"/>
              <w:left w:val="nil"/>
              <w:bottom w:val="nil"/>
              <w:right w:val="single" w:sz="8" w:space="0" w:color="FFFFFF"/>
            </w:tcBorders>
            <w:shd w:val="clear" w:color="000000" w:fill="D9D9D9"/>
            <w:noWrap/>
            <w:vAlign w:val="center"/>
            <w:hideMark/>
          </w:tcPr>
          <w:p w14:paraId="5364A5A5" w14:textId="35AADCC4"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w:t>
            </w:r>
            <w:r w:rsidR="00A46415">
              <w:rPr>
                <w:rFonts w:ascii="Calibri Light" w:hAnsi="Calibri Light" w:cs="Calibri Light"/>
                <w:color w:val="FF0000"/>
                <w:sz w:val="20"/>
              </w:rPr>
              <w:t>,</w:t>
            </w:r>
            <w:r>
              <w:rPr>
                <w:rFonts w:ascii="Calibri Light" w:hAnsi="Calibri Light" w:cs="Calibri Light"/>
                <w:color w:val="FF0000"/>
                <w:sz w:val="20"/>
              </w:rPr>
              <w:t>4</w:t>
            </w:r>
          </w:p>
        </w:tc>
        <w:tc>
          <w:tcPr>
            <w:tcW w:w="680" w:type="dxa"/>
            <w:tcBorders>
              <w:top w:val="nil"/>
              <w:left w:val="nil"/>
              <w:bottom w:val="nil"/>
              <w:right w:val="single" w:sz="8" w:space="0" w:color="FFFFFF"/>
            </w:tcBorders>
            <w:shd w:val="clear" w:color="000000" w:fill="D9D9D9"/>
            <w:noWrap/>
            <w:vAlign w:val="center"/>
            <w:hideMark/>
          </w:tcPr>
          <w:p w14:paraId="57339B8F" w14:textId="294B6A39"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5</w:t>
            </w:r>
          </w:p>
        </w:tc>
      </w:tr>
      <w:tr w:rsidR="00EC29DC" w:rsidRPr="00743530" w14:paraId="1395FEF0" w14:textId="77777777" w:rsidTr="0073410F">
        <w:trPr>
          <w:trHeight w:val="270"/>
        </w:trPr>
        <w:tc>
          <w:tcPr>
            <w:tcW w:w="4720" w:type="dxa"/>
            <w:tcBorders>
              <w:top w:val="nil"/>
              <w:left w:val="single" w:sz="8" w:space="0" w:color="FFFFFF"/>
              <w:bottom w:val="nil"/>
              <w:right w:val="single" w:sz="8" w:space="0" w:color="FFFFFF"/>
            </w:tcBorders>
            <w:shd w:val="clear" w:color="000000" w:fill="13576B"/>
            <w:vAlign w:val="center"/>
            <w:hideMark/>
          </w:tcPr>
          <w:p w14:paraId="432534AB" w14:textId="77777777" w:rsidR="00EC29DC" w:rsidRPr="00743530" w:rsidRDefault="00EC29DC" w:rsidP="00EC29DC">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vkladů klientských celkem (%)</w:t>
            </w:r>
          </w:p>
        </w:tc>
        <w:tc>
          <w:tcPr>
            <w:tcW w:w="680" w:type="dxa"/>
            <w:tcBorders>
              <w:top w:val="nil"/>
              <w:left w:val="nil"/>
              <w:bottom w:val="nil"/>
              <w:right w:val="single" w:sz="4" w:space="0" w:color="FFFFFF"/>
            </w:tcBorders>
            <w:shd w:val="clear" w:color="000000" w:fill="D9D9D9"/>
            <w:noWrap/>
            <w:vAlign w:val="center"/>
            <w:hideMark/>
          </w:tcPr>
          <w:p w14:paraId="0562513A" w14:textId="4A158A1F" w:rsidR="00EC29DC" w:rsidRPr="005071D2" w:rsidRDefault="00EC29DC" w:rsidP="00EC29DC">
            <w:pPr>
              <w:overflowPunct/>
              <w:autoSpaceDE/>
              <w:autoSpaceDN/>
              <w:adjustRightInd/>
              <w:jc w:val="center"/>
              <w:textAlignment w:val="auto"/>
              <w:rPr>
                <w:rFonts w:ascii="Calibri Light" w:hAnsi="Calibri Light" w:cs="Calibri Light"/>
                <w:color w:val="44546A" w:themeColor="text2"/>
                <w:sz w:val="20"/>
              </w:rPr>
            </w:pPr>
            <w:r>
              <w:rPr>
                <w:rFonts w:ascii="Calibri Light" w:hAnsi="Calibri Light" w:cs="Calibri Light"/>
                <w:color w:val="13576B"/>
                <w:sz w:val="20"/>
              </w:rPr>
              <w:t>7</w:t>
            </w:r>
            <w:r w:rsidR="00A46415">
              <w:rPr>
                <w:rFonts w:ascii="Calibri Light" w:hAnsi="Calibri Light" w:cs="Calibri Light"/>
                <w:color w:val="13576B"/>
                <w:sz w:val="20"/>
              </w:rPr>
              <w:t>,</w:t>
            </w:r>
            <w:r>
              <w:rPr>
                <w:rFonts w:ascii="Calibri Light" w:hAnsi="Calibri Light" w:cs="Calibri Light"/>
                <w:color w:val="13576B"/>
                <w:sz w:val="20"/>
              </w:rPr>
              <w:t>9</w:t>
            </w:r>
          </w:p>
        </w:tc>
        <w:tc>
          <w:tcPr>
            <w:tcW w:w="680" w:type="dxa"/>
            <w:tcBorders>
              <w:top w:val="nil"/>
              <w:left w:val="nil"/>
              <w:bottom w:val="nil"/>
              <w:right w:val="single" w:sz="8" w:space="0" w:color="FFFFFF"/>
            </w:tcBorders>
            <w:shd w:val="clear" w:color="000000" w:fill="D9D9D9"/>
            <w:noWrap/>
            <w:vAlign w:val="center"/>
            <w:hideMark/>
          </w:tcPr>
          <w:p w14:paraId="27D2CE07" w14:textId="140DD1B8"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w:t>
            </w:r>
            <w:r w:rsidR="00A46415">
              <w:rPr>
                <w:rFonts w:ascii="Calibri Light" w:hAnsi="Calibri Light" w:cs="Calibri Light"/>
                <w:color w:val="FF0000"/>
                <w:sz w:val="20"/>
              </w:rPr>
              <w:t>,</w:t>
            </w:r>
            <w:r>
              <w:rPr>
                <w:rFonts w:ascii="Calibri Light" w:hAnsi="Calibri Light" w:cs="Calibri Light"/>
                <w:color w:val="FF0000"/>
                <w:sz w:val="20"/>
              </w:rPr>
              <w:t>3</w:t>
            </w:r>
          </w:p>
        </w:tc>
        <w:tc>
          <w:tcPr>
            <w:tcW w:w="680" w:type="dxa"/>
            <w:tcBorders>
              <w:top w:val="nil"/>
              <w:left w:val="nil"/>
              <w:bottom w:val="nil"/>
              <w:right w:val="single" w:sz="8" w:space="0" w:color="FFFFFF"/>
            </w:tcBorders>
            <w:shd w:val="clear" w:color="000000" w:fill="D9D9D9"/>
            <w:noWrap/>
            <w:vAlign w:val="center"/>
            <w:hideMark/>
          </w:tcPr>
          <w:p w14:paraId="5D369F9C" w14:textId="56A6070B" w:rsidR="00EC29DC" w:rsidRPr="00743530" w:rsidRDefault="00EC29DC" w:rsidP="00EC29DC">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w:t>
            </w:r>
            <w:r w:rsidR="00A46415">
              <w:rPr>
                <w:rFonts w:ascii="Calibri Light" w:hAnsi="Calibri Light" w:cs="Calibri Light"/>
                <w:color w:val="FF0000"/>
                <w:sz w:val="20"/>
              </w:rPr>
              <w:t>,</w:t>
            </w:r>
            <w:r>
              <w:rPr>
                <w:rFonts w:ascii="Calibri Light" w:hAnsi="Calibri Light" w:cs="Calibri Light"/>
                <w:color w:val="FF0000"/>
                <w:sz w:val="20"/>
              </w:rPr>
              <w:t>8</w:t>
            </w:r>
          </w:p>
        </w:tc>
      </w:tr>
      <w:tr w:rsidR="0073410F" w:rsidRPr="00743530" w14:paraId="40B3B8B7" w14:textId="77777777" w:rsidTr="0073410F">
        <w:trPr>
          <w:trHeight w:val="270"/>
        </w:trPr>
        <w:tc>
          <w:tcPr>
            <w:tcW w:w="4720" w:type="dxa"/>
            <w:tcBorders>
              <w:top w:val="nil"/>
              <w:left w:val="single" w:sz="8" w:space="0" w:color="FFFFFF"/>
              <w:bottom w:val="nil"/>
              <w:right w:val="single" w:sz="8" w:space="0" w:color="FFFFFF"/>
            </w:tcBorders>
            <w:shd w:val="clear" w:color="000000" w:fill="13576B"/>
            <w:vAlign w:val="center"/>
          </w:tcPr>
          <w:p w14:paraId="784A2D1B" w14:textId="77777777" w:rsidR="0073410F" w:rsidRPr="00743530" w:rsidRDefault="0073410F" w:rsidP="007270C0">
            <w:pPr>
              <w:overflowPunct/>
              <w:autoSpaceDE/>
              <w:autoSpaceDN/>
              <w:adjustRightInd/>
              <w:jc w:val="left"/>
              <w:textAlignment w:val="auto"/>
              <w:rPr>
                <w:rFonts w:ascii="Calibri Light" w:hAnsi="Calibri Light" w:cs="Calibri Light"/>
                <w:b/>
                <w:bCs/>
                <w:color w:val="FFFFFF"/>
                <w:sz w:val="20"/>
              </w:rPr>
            </w:pPr>
          </w:p>
        </w:tc>
        <w:tc>
          <w:tcPr>
            <w:tcW w:w="680" w:type="dxa"/>
            <w:tcBorders>
              <w:top w:val="nil"/>
              <w:left w:val="nil"/>
              <w:bottom w:val="nil"/>
              <w:right w:val="single" w:sz="4" w:space="0" w:color="FFFFFF"/>
            </w:tcBorders>
            <w:shd w:val="clear" w:color="000000" w:fill="D9D9D9"/>
            <w:noWrap/>
            <w:vAlign w:val="center"/>
          </w:tcPr>
          <w:p w14:paraId="50B15C3E" w14:textId="77777777" w:rsidR="0073410F" w:rsidRDefault="0073410F" w:rsidP="007270C0">
            <w:pPr>
              <w:overflowPunct/>
              <w:autoSpaceDE/>
              <w:autoSpaceDN/>
              <w:adjustRightInd/>
              <w:jc w:val="center"/>
              <w:textAlignment w:val="auto"/>
              <w:rPr>
                <w:rFonts w:ascii="Calibri Light" w:hAnsi="Calibri Light" w:cs="Calibri Light"/>
                <w:color w:val="13576B"/>
                <w:sz w:val="20"/>
              </w:rPr>
            </w:pPr>
          </w:p>
        </w:tc>
        <w:tc>
          <w:tcPr>
            <w:tcW w:w="680" w:type="dxa"/>
            <w:tcBorders>
              <w:top w:val="nil"/>
              <w:left w:val="nil"/>
              <w:bottom w:val="nil"/>
              <w:right w:val="single" w:sz="8" w:space="0" w:color="FFFFFF"/>
            </w:tcBorders>
            <w:shd w:val="clear" w:color="000000" w:fill="D9D9D9"/>
            <w:noWrap/>
            <w:vAlign w:val="center"/>
          </w:tcPr>
          <w:p w14:paraId="3F2CA50B" w14:textId="77777777" w:rsidR="0073410F" w:rsidRDefault="0073410F" w:rsidP="007270C0">
            <w:pPr>
              <w:overflowPunct/>
              <w:autoSpaceDE/>
              <w:autoSpaceDN/>
              <w:adjustRightInd/>
              <w:jc w:val="center"/>
              <w:textAlignment w:val="auto"/>
              <w:rPr>
                <w:rFonts w:ascii="Calibri Light" w:hAnsi="Calibri Light" w:cs="Calibri Light"/>
                <w:color w:val="FF0000"/>
                <w:sz w:val="20"/>
              </w:rPr>
            </w:pPr>
          </w:p>
        </w:tc>
        <w:tc>
          <w:tcPr>
            <w:tcW w:w="680" w:type="dxa"/>
            <w:tcBorders>
              <w:top w:val="nil"/>
              <w:left w:val="nil"/>
              <w:bottom w:val="nil"/>
              <w:right w:val="single" w:sz="8" w:space="0" w:color="FFFFFF"/>
            </w:tcBorders>
            <w:shd w:val="clear" w:color="000000" w:fill="D9D9D9"/>
            <w:noWrap/>
            <w:vAlign w:val="center"/>
          </w:tcPr>
          <w:p w14:paraId="2EC46DC4" w14:textId="77777777" w:rsidR="0073410F" w:rsidRDefault="0073410F" w:rsidP="007270C0">
            <w:pPr>
              <w:overflowPunct/>
              <w:autoSpaceDE/>
              <w:autoSpaceDN/>
              <w:adjustRightInd/>
              <w:jc w:val="center"/>
              <w:textAlignment w:val="auto"/>
              <w:rPr>
                <w:rFonts w:ascii="Calibri Light" w:hAnsi="Calibri Light" w:cs="Calibri Light"/>
                <w:color w:val="FF0000"/>
                <w:sz w:val="20"/>
              </w:rPr>
            </w:pPr>
          </w:p>
        </w:tc>
      </w:tr>
    </w:tbl>
    <w:p w14:paraId="4D1810CE" w14:textId="77777777" w:rsidR="00FC11E3" w:rsidRDefault="00FC11E3" w:rsidP="00B4285D">
      <w:pPr>
        <w:rPr>
          <w:rFonts w:ascii="Calibri" w:eastAsiaTheme="minorEastAsia" w:hAnsi="Calibri" w:cs="Calibri"/>
        </w:rPr>
      </w:pPr>
    </w:p>
    <w:p w14:paraId="7561C03E" w14:textId="48A06A3A" w:rsidR="00F37DC9" w:rsidRDefault="003161ED" w:rsidP="00B4285D">
      <w:pPr>
        <w:rPr>
          <w:rFonts w:ascii="Calibri" w:eastAsiaTheme="minorEastAsia" w:hAnsi="Calibri" w:cs="Calibri"/>
        </w:rPr>
      </w:pPr>
      <w:r w:rsidRPr="00C9674F">
        <w:rPr>
          <w:noProof/>
          <w:sz w:val="16"/>
          <w:szCs w:val="16"/>
        </w:rPr>
        <mc:AlternateContent>
          <mc:Choice Requires="wps">
            <w:drawing>
              <wp:anchor distT="0" distB="0" distL="114300" distR="114300" simplePos="0" relativeHeight="251662336" behindDoc="1" locked="0" layoutInCell="1" hidden="0" allowOverlap="1" wp14:anchorId="3801A402" wp14:editId="55458A3A">
                <wp:simplePos x="0" y="0"/>
                <wp:positionH relativeFrom="margin">
                  <wp:align>right</wp:align>
                </wp:positionH>
                <wp:positionV relativeFrom="paragraph">
                  <wp:posOffset>13005</wp:posOffset>
                </wp:positionV>
                <wp:extent cx="6476365" cy="1168842"/>
                <wp:effectExtent l="0" t="0" r="635" b="0"/>
                <wp:wrapNone/>
                <wp:docPr id="4" name="Obdélník 4"/>
                <wp:cNvGraphicFramePr/>
                <a:graphic xmlns:a="http://schemas.openxmlformats.org/drawingml/2006/main">
                  <a:graphicData uri="http://schemas.microsoft.com/office/word/2010/wordprocessingShape">
                    <wps:wsp>
                      <wps:cNvSpPr/>
                      <wps:spPr>
                        <a:xfrm>
                          <a:off x="0" y="0"/>
                          <a:ext cx="6476365" cy="116884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13D1E" w14:textId="77777777" w:rsidR="00F37DC9" w:rsidRPr="0073410F" w:rsidRDefault="00F37DC9" w:rsidP="00F37DC9">
                            <w:pPr>
                              <w:spacing w:line="276" w:lineRule="auto"/>
                              <w:rPr>
                                <w:rFonts w:ascii="Calibri" w:hAnsi="Calibri" w:cs="Calibri"/>
                                <w:b/>
                                <w:color w:val="FFFFFF" w:themeColor="background1"/>
                                <w:szCs w:val="18"/>
                              </w:rPr>
                            </w:pPr>
                            <w:r w:rsidRPr="0073410F">
                              <w:rPr>
                                <w:rFonts w:ascii="Calibri" w:hAnsi="Calibri" w:cs="Calibri"/>
                                <w:b/>
                                <w:color w:val="FFFFFF" w:themeColor="background1"/>
                                <w:szCs w:val="18"/>
                              </w:rPr>
                              <w:t xml:space="preserve">O prognóze ČBA </w:t>
                            </w:r>
                          </w:p>
                          <w:p w14:paraId="04BF716D" w14:textId="668E47C3" w:rsidR="00EE7B05" w:rsidRPr="0073410F" w:rsidRDefault="00EE7B05" w:rsidP="00EE7B05">
                            <w:pPr>
                              <w:spacing w:line="276" w:lineRule="auto"/>
                              <w:ind w:left="28" w:hanging="28"/>
                              <w:rPr>
                                <w:rFonts w:ascii="Calibri" w:hAnsi="Calibri" w:cs="Calibri"/>
                                <w:color w:val="FFFFFF" w:themeColor="background1"/>
                                <w:szCs w:val="18"/>
                              </w:rPr>
                            </w:pPr>
                            <w:r w:rsidRPr="0073410F">
                              <w:rPr>
                                <w:rFonts w:ascii="Calibri" w:hAnsi="Calibri" w:cs="Calibri"/>
                                <w:color w:val="FFFFFF" w:themeColor="background1"/>
                                <w:szCs w:val="18"/>
                              </w:rPr>
                              <w:t xml:space="preserve">Tato prognóza vznikla na základě příspěvků analytiků </w:t>
                            </w:r>
                            <w:r w:rsidR="005A7E70" w:rsidRPr="0073410F">
                              <w:rPr>
                                <w:rFonts w:ascii="Calibri" w:hAnsi="Calibri" w:cs="Calibri"/>
                                <w:color w:val="FFFFFF" w:themeColor="background1"/>
                                <w:szCs w:val="18"/>
                              </w:rPr>
                              <w:t>9</w:t>
                            </w:r>
                            <w:r w:rsidRPr="0073410F">
                              <w:rPr>
                                <w:rFonts w:ascii="Calibri" w:hAnsi="Calibri" w:cs="Calibri"/>
                                <w:color w:val="FFFFFF" w:themeColor="background1"/>
                                <w:szCs w:val="18"/>
                              </w:rPr>
                              <w:t xml:space="preserve"> členských bank ČBA: Petr Dufek (</w:t>
                            </w:r>
                            <w:r w:rsidR="005A7E70" w:rsidRPr="0073410F">
                              <w:rPr>
                                <w:rFonts w:ascii="Calibri" w:hAnsi="Calibri" w:cs="Calibri"/>
                                <w:color w:val="FFFFFF" w:themeColor="background1"/>
                                <w:szCs w:val="18"/>
                              </w:rPr>
                              <w:t>hlavní ekonom</w:t>
                            </w:r>
                            <w:r w:rsidR="00675820" w:rsidRPr="0073410F">
                              <w:rPr>
                                <w:rFonts w:ascii="Calibri" w:hAnsi="Calibri" w:cs="Calibri"/>
                                <w:color w:val="FFFFFF" w:themeColor="background1"/>
                                <w:szCs w:val="18"/>
                              </w:rPr>
                              <w:t>,</w:t>
                            </w:r>
                            <w:r w:rsidR="005A7E70" w:rsidRPr="0073410F">
                              <w:rPr>
                                <w:rFonts w:ascii="Calibri" w:hAnsi="Calibri" w:cs="Calibri"/>
                                <w:color w:val="FFFFFF" w:themeColor="background1"/>
                                <w:szCs w:val="18"/>
                              </w:rPr>
                              <w:t xml:space="preserve"> Banka CREDITAS</w:t>
                            </w:r>
                            <w:r w:rsidRPr="0073410F">
                              <w:rPr>
                                <w:rFonts w:ascii="Calibri" w:hAnsi="Calibri" w:cs="Calibri"/>
                                <w:color w:val="FFFFFF" w:themeColor="background1"/>
                                <w:szCs w:val="18"/>
                              </w:rPr>
                              <w:t xml:space="preserve">), </w:t>
                            </w:r>
                            <w:r w:rsidR="005A7E70" w:rsidRPr="0073410F">
                              <w:rPr>
                                <w:rFonts w:ascii="Calibri" w:hAnsi="Calibri" w:cs="Calibri"/>
                                <w:color w:val="FFFFFF" w:themeColor="background1"/>
                                <w:szCs w:val="18"/>
                              </w:rPr>
                              <w:t xml:space="preserve">Jan Bureš (ekonomický analytik ČSOB), </w:t>
                            </w:r>
                            <w:r w:rsidRPr="0073410F">
                              <w:rPr>
                                <w:rFonts w:ascii="Calibri" w:hAnsi="Calibri" w:cs="Calibri"/>
                                <w:color w:val="FFFFFF" w:themeColor="background1"/>
                                <w:szCs w:val="18"/>
                              </w:rPr>
                              <w:t xml:space="preserve">Petr </w:t>
                            </w:r>
                            <w:proofErr w:type="spellStart"/>
                            <w:r w:rsidRPr="0073410F">
                              <w:rPr>
                                <w:rFonts w:ascii="Calibri" w:hAnsi="Calibri" w:cs="Calibri"/>
                                <w:color w:val="FFFFFF" w:themeColor="background1"/>
                                <w:szCs w:val="18"/>
                              </w:rPr>
                              <w:t>Gapko</w:t>
                            </w:r>
                            <w:proofErr w:type="spellEnd"/>
                            <w:r w:rsidRPr="0073410F">
                              <w:rPr>
                                <w:rFonts w:ascii="Calibri" w:hAnsi="Calibri" w:cs="Calibri"/>
                                <w:color w:val="FFFFFF" w:themeColor="background1"/>
                                <w:szCs w:val="18"/>
                              </w:rPr>
                              <w:t xml:space="preserve"> (hlavní ekonom</w:t>
                            </w:r>
                            <w:r w:rsidR="00675820" w:rsidRPr="0073410F">
                              <w:rPr>
                                <w:rFonts w:ascii="Calibri" w:hAnsi="Calibri" w:cs="Calibri"/>
                                <w:color w:val="FFFFFF" w:themeColor="background1"/>
                                <w:szCs w:val="18"/>
                              </w:rPr>
                              <w:t>,</w:t>
                            </w:r>
                            <w:r w:rsidRPr="0073410F">
                              <w:rPr>
                                <w:rFonts w:ascii="Calibri" w:hAnsi="Calibri" w:cs="Calibri"/>
                                <w:color w:val="FFFFFF" w:themeColor="background1"/>
                                <w:szCs w:val="18"/>
                              </w:rPr>
                              <w:t xml:space="preserve"> MONETA Money Bank), </w:t>
                            </w:r>
                            <w:r w:rsidR="008659F5" w:rsidRPr="0073410F">
                              <w:rPr>
                                <w:rFonts w:ascii="Calibri" w:hAnsi="Calibri" w:cs="Calibri"/>
                                <w:color w:val="FFFFFF" w:themeColor="background1"/>
                                <w:szCs w:val="18"/>
                              </w:rPr>
                              <w:t xml:space="preserve">Helena Horská a </w:t>
                            </w:r>
                            <w:r w:rsidR="00F57DE2">
                              <w:rPr>
                                <w:rFonts w:ascii="Calibri" w:hAnsi="Calibri" w:cs="Calibri"/>
                                <w:color w:val="FFFFFF" w:themeColor="background1"/>
                                <w:szCs w:val="18"/>
                              </w:rPr>
                              <w:t>Martin Kron</w:t>
                            </w:r>
                            <w:r w:rsidR="005A7E70" w:rsidRPr="0073410F">
                              <w:rPr>
                                <w:rFonts w:ascii="Calibri" w:hAnsi="Calibri" w:cs="Calibri"/>
                                <w:color w:val="FFFFFF" w:themeColor="background1"/>
                                <w:szCs w:val="18"/>
                              </w:rPr>
                              <w:t xml:space="preserve"> </w:t>
                            </w:r>
                            <w:r w:rsidRPr="0073410F">
                              <w:rPr>
                                <w:rFonts w:ascii="Calibri" w:hAnsi="Calibri" w:cs="Calibri"/>
                                <w:color w:val="FFFFFF" w:themeColor="background1"/>
                                <w:szCs w:val="18"/>
                              </w:rPr>
                              <w:t>(</w:t>
                            </w:r>
                            <w:r w:rsidR="005A7E70" w:rsidRPr="0073410F">
                              <w:rPr>
                                <w:rFonts w:ascii="Calibri" w:hAnsi="Calibri" w:cs="Calibri"/>
                                <w:color w:val="FFFFFF" w:themeColor="background1"/>
                                <w:szCs w:val="18"/>
                              </w:rPr>
                              <w:t xml:space="preserve">ekonomický </w:t>
                            </w:r>
                            <w:r w:rsidR="008659F5" w:rsidRPr="0073410F">
                              <w:rPr>
                                <w:rFonts w:ascii="Calibri" w:hAnsi="Calibri" w:cs="Calibri"/>
                                <w:color w:val="FFFFFF" w:themeColor="background1"/>
                                <w:szCs w:val="18"/>
                              </w:rPr>
                              <w:t>výzkum</w:t>
                            </w:r>
                            <w:r w:rsidRPr="0073410F">
                              <w:rPr>
                                <w:rFonts w:ascii="Calibri" w:hAnsi="Calibri" w:cs="Calibri"/>
                                <w:color w:val="FFFFFF" w:themeColor="background1"/>
                                <w:szCs w:val="18"/>
                              </w:rPr>
                              <w:t xml:space="preserve"> Raiffeisenbank), Michal Skořepa (makroekonomický analytik České spořitelny), Petr Sklenář (hlavní ekonom</w:t>
                            </w:r>
                            <w:r w:rsidR="00675820" w:rsidRPr="0073410F">
                              <w:rPr>
                                <w:rFonts w:ascii="Calibri" w:hAnsi="Calibri" w:cs="Calibri"/>
                                <w:color w:val="FFFFFF" w:themeColor="background1"/>
                                <w:szCs w:val="18"/>
                              </w:rPr>
                              <w:t>,</w:t>
                            </w:r>
                            <w:r w:rsidRPr="0073410F">
                              <w:rPr>
                                <w:rFonts w:ascii="Calibri" w:hAnsi="Calibri" w:cs="Calibri"/>
                                <w:color w:val="FFFFFF" w:themeColor="background1"/>
                                <w:szCs w:val="18"/>
                              </w:rPr>
                              <w:t xml:space="preserve"> J&amp;T Bank), Pavel Sobíšek (hlavní ekonom, UniCredit Bank), Jaromír Šindel (hlavní ekonom Citibank), Jan </w:t>
                            </w:r>
                            <w:proofErr w:type="spellStart"/>
                            <w:r w:rsidRPr="0073410F">
                              <w:rPr>
                                <w:rFonts w:ascii="Calibri" w:hAnsi="Calibri" w:cs="Calibri"/>
                                <w:color w:val="FFFFFF" w:themeColor="background1"/>
                                <w:szCs w:val="18"/>
                              </w:rPr>
                              <w:t>Vejmělek</w:t>
                            </w:r>
                            <w:proofErr w:type="spellEnd"/>
                            <w:r w:rsidRPr="0073410F">
                              <w:rPr>
                                <w:rFonts w:ascii="Calibri" w:hAnsi="Calibri" w:cs="Calibri"/>
                                <w:color w:val="FFFFFF" w:themeColor="background1"/>
                                <w:szCs w:val="18"/>
                              </w:rPr>
                              <w:t xml:space="preserve"> (hlavní ekonom Komerční banky). Za ČBA se na tvorbě prognózy podílel Jakub Seidler</w:t>
                            </w:r>
                            <w:r w:rsidR="00361DD8" w:rsidRPr="0073410F">
                              <w:rPr>
                                <w:rFonts w:ascii="Calibri" w:hAnsi="Calibri" w:cs="Calibri"/>
                                <w:color w:val="FFFFFF" w:themeColor="background1"/>
                                <w:szCs w:val="18"/>
                              </w:rPr>
                              <w:t>.</w:t>
                            </w:r>
                          </w:p>
                          <w:p w14:paraId="77C1A42D" w14:textId="77777777" w:rsidR="00F37DC9" w:rsidRPr="00A55BDD" w:rsidRDefault="00F37DC9" w:rsidP="00F37DC9">
                            <w:pPr>
                              <w:spacing w:line="276" w:lineRule="auto"/>
                              <w:ind w:left="28" w:hanging="28"/>
                              <w:jc w:val="left"/>
                              <w:rPr>
                                <w:sz w:val="16"/>
                                <w:szCs w:val="16"/>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1A402" id="Obdélník 4" o:spid="_x0000_s1029" style="position:absolute;left:0;text-align:left;margin-left:458.75pt;margin-top:1pt;width:509.95pt;height:92.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" fillcolor="#bfbfbf [2412]" stroked="f" strokeweight="1pt">
                <v:textbox inset="3mm,3mm,3mm,3mm">
                  <w:txbxContent>
                    <w:p w14:paraId="7E313D1E" w14:textId="77777777" w:rsidR="00F37DC9" w:rsidRPr="0073410F" w:rsidRDefault="00F37DC9" w:rsidP="00F37DC9">
                      <w:pPr>
                        <w:spacing w:line="276" w:lineRule="auto"/>
                        <w:rPr>
                          <w:rFonts w:ascii="Calibri" w:hAnsi="Calibri" w:cs="Calibri"/>
                          <w:b/>
                          <w:color w:val="FFFFFF" w:themeColor="background1"/>
                          <w:szCs w:val="18"/>
                        </w:rPr>
                      </w:pPr>
                      <w:r w:rsidRPr="0073410F">
                        <w:rPr>
                          <w:rFonts w:ascii="Calibri" w:hAnsi="Calibri" w:cs="Calibri"/>
                          <w:b/>
                          <w:color w:val="FFFFFF" w:themeColor="background1"/>
                          <w:szCs w:val="18"/>
                        </w:rPr>
                        <w:t xml:space="preserve">O prognóze ČBA </w:t>
                      </w:r>
                    </w:p>
                    <w:p w14:paraId="04BF716D" w14:textId="668E47C3" w:rsidR="00EE7B05" w:rsidRPr="0073410F" w:rsidRDefault="00EE7B05" w:rsidP="00EE7B05">
                      <w:pPr>
                        <w:spacing w:line="276" w:lineRule="auto"/>
                        <w:ind w:left="28" w:hanging="28"/>
                        <w:rPr>
                          <w:rFonts w:ascii="Calibri" w:hAnsi="Calibri" w:cs="Calibri"/>
                          <w:color w:val="FFFFFF" w:themeColor="background1"/>
                          <w:szCs w:val="18"/>
                        </w:rPr>
                      </w:pPr>
                      <w:r w:rsidRPr="0073410F">
                        <w:rPr>
                          <w:rFonts w:ascii="Calibri" w:hAnsi="Calibri" w:cs="Calibri"/>
                          <w:color w:val="FFFFFF" w:themeColor="background1"/>
                          <w:szCs w:val="18"/>
                        </w:rPr>
                        <w:t xml:space="preserve">Tato prognóza vznikla na základě příspěvků analytiků </w:t>
                      </w:r>
                      <w:r w:rsidR="005A7E70" w:rsidRPr="0073410F">
                        <w:rPr>
                          <w:rFonts w:ascii="Calibri" w:hAnsi="Calibri" w:cs="Calibri"/>
                          <w:color w:val="FFFFFF" w:themeColor="background1"/>
                          <w:szCs w:val="18"/>
                        </w:rPr>
                        <w:t>9</w:t>
                      </w:r>
                      <w:r w:rsidRPr="0073410F">
                        <w:rPr>
                          <w:rFonts w:ascii="Calibri" w:hAnsi="Calibri" w:cs="Calibri"/>
                          <w:color w:val="FFFFFF" w:themeColor="background1"/>
                          <w:szCs w:val="18"/>
                        </w:rPr>
                        <w:t xml:space="preserve"> členských bank ČBA: Petr Dufek (</w:t>
                      </w:r>
                      <w:r w:rsidR="005A7E70" w:rsidRPr="0073410F">
                        <w:rPr>
                          <w:rFonts w:ascii="Calibri" w:hAnsi="Calibri" w:cs="Calibri"/>
                          <w:color w:val="FFFFFF" w:themeColor="background1"/>
                          <w:szCs w:val="18"/>
                        </w:rPr>
                        <w:t>hlavní ekonom</w:t>
                      </w:r>
                      <w:r w:rsidR="00675820" w:rsidRPr="0073410F">
                        <w:rPr>
                          <w:rFonts w:ascii="Calibri" w:hAnsi="Calibri" w:cs="Calibri"/>
                          <w:color w:val="FFFFFF" w:themeColor="background1"/>
                          <w:szCs w:val="18"/>
                        </w:rPr>
                        <w:t>,</w:t>
                      </w:r>
                      <w:r w:rsidR="005A7E70" w:rsidRPr="0073410F">
                        <w:rPr>
                          <w:rFonts w:ascii="Calibri" w:hAnsi="Calibri" w:cs="Calibri"/>
                          <w:color w:val="FFFFFF" w:themeColor="background1"/>
                          <w:szCs w:val="18"/>
                        </w:rPr>
                        <w:t xml:space="preserve"> Banka CREDITAS</w:t>
                      </w:r>
                      <w:r w:rsidRPr="0073410F">
                        <w:rPr>
                          <w:rFonts w:ascii="Calibri" w:hAnsi="Calibri" w:cs="Calibri"/>
                          <w:color w:val="FFFFFF" w:themeColor="background1"/>
                          <w:szCs w:val="18"/>
                        </w:rPr>
                        <w:t xml:space="preserve">), </w:t>
                      </w:r>
                      <w:r w:rsidR="005A7E70" w:rsidRPr="0073410F">
                        <w:rPr>
                          <w:rFonts w:ascii="Calibri" w:hAnsi="Calibri" w:cs="Calibri"/>
                          <w:color w:val="FFFFFF" w:themeColor="background1"/>
                          <w:szCs w:val="18"/>
                        </w:rPr>
                        <w:t xml:space="preserve">Jan Bureš (ekonomický analytik ČSOB), </w:t>
                      </w:r>
                      <w:r w:rsidRPr="0073410F">
                        <w:rPr>
                          <w:rFonts w:ascii="Calibri" w:hAnsi="Calibri" w:cs="Calibri"/>
                          <w:color w:val="FFFFFF" w:themeColor="background1"/>
                          <w:szCs w:val="18"/>
                        </w:rPr>
                        <w:t xml:space="preserve">Petr </w:t>
                      </w:r>
                      <w:proofErr w:type="spellStart"/>
                      <w:r w:rsidRPr="0073410F">
                        <w:rPr>
                          <w:rFonts w:ascii="Calibri" w:hAnsi="Calibri" w:cs="Calibri"/>
                          <w:color w:val="FFFFFF" w:themeColor="background1"/>
                          <w:szCs w:val="18"/>
                        </w:rPr>
                        <w:t>Gapko</w:t>
                      </w:r>
                      <w:proofErr w:type="spellEnd"/>
                      <w:r w:rsidRPr="0073410F">
                        <w:rPr>
                          <w:rFonts w:ascii="Calibri" w:hAnsi="Calibri" w:cs="Calibri"/>
                          <w:color w:val="FFFFFF" w:themeColor="background1"/>
                          <w:szCs w:val="18"/>
                        </w:rPr>
                        <w:t xml:space="preserve"> (hlavní ekonom</w:t>
                      </w:r>
                      <w:r w:rsidR="00675820" w:rsidRPr="0073410F">
                        <w:rPr>
                          <w:rFonts w:ascii="Calibri" w:hAnsi="Calibri" w:cs="Calibri"/>
                          <w:color w:val="FFFFFF" w:themeColor="background1"/>
                          <w:szCs w:val="18"/>
                        </w:rPr>
                        <w:t>,</w:t>
                      </w:r>
                      <w:r w:rsidRPr="0073410F">
                        <w:rPr>
                          <w:rFonts w:ascii="Calibri" w:hAnsi="Calibri" w:cs="Calibri"/>
                          <w:color w:val="FFFFFF" w:themeColor="background1"/>
                          <w:szCs w:val="18"/>
                        </w:rPr>
                        <w:t xml:space="preserve"> MONETA Money Bank), </w:t>
                      </w:r>
                      <w:r w:rsidR="008659F5" w:rsidRPr="0073410F">
                        <w:rPr>
                          <w:rFonts w:ascii="Calibri" w:hAnsi="Calibri" w:cs="Calibri"/>
                          <w:color w:val="FFFFFF" w:themeColor="background1"/>
                          <w:szCs w:val="18"/>
                        </w:rPr>
                        <w:t xml:space="preserve">Helena Horská a </w:t>
                      </w:r>
                      <w:r w:rsidR="00F57DE2">
                        <w:rPr>
                          <w:rFonts w:ascii="Calibri" w:hAnsi="Calibri" w:cs="Calibri"/>
                          <w:color w:val="FFFFFF" w:themeColor="background1"/>
                          <w:szCs w:val="18"/>
                        </w:rPr>
                        <w:t>Martin Kron</w:t>
                      </w:r>
                      <w:r w:rsidR="005A7E70" w:rsidRPr="0073410F">
                        <w:rPr>
                          <w:rFonts w:ascii="Calibri" w:hAnsi="Calibri" w:cs="Calibri"/>
                          <w:color w:val="FFFFFF" w:themeColor="background1"/>
                          <w:szCs w:val="18"/>
                        </w:rPr>
                        <w:t xml:space="preserve"> </w:t>
                      </w:r>
                      <w:r w:rsidRPr="0073410F">
                        <w:rPr>
                          <w:rFonts w:ascii="Calibri" w:hAnsi="Calibri" w:cs="Calibri"/>
                          <w:color w:val="FFFFFF" w:themeColor="background1"/>
                          <w:szCs w:val="18"/>
                        </w:rPr>
                        <w:t>(</w:t>
                      </w:r>
                      <w:r w:rsidR="005A7E70" w:rsidRPr="0073410F">
                        <w:rPr>
                          <w:rFonts w:ascii="Calibri" w:hAnsi="Calibri" w:cs="Calibri"/>
                          <w:color w:val="FFFFFF" w:themeColor="background1"/>
                          <w:szCs w:val="18"/>
                        </w:rPr>
                        <w:t xml:space="preserve">ekonomický </w:t>
                      </w:r>
                      <w:r w:rsidR="008659F5" w:rsidRPr="0073410F">
                        <w:rPr>
                          <w:rFonts w:ascii="Calibri" w:hAnsi="Calibri" w:cs="Calibri"/>
                          <w:color w:val="FFFFFF" w:themeColor="background1"/>
                          <w:szCs w:val="18"/>
                        </w:rPr>
                        <w:t>výzkum</w:t>
                      </w:r>
                      <w:r w:rsidRPr="0073410F">
                        <w:rPr>
                          <w:rFonts w:ascii="Calibri" w:hAnsi="Calibri" w:cs="Calibri"/>
                          <w:color w:val="FFFFFF" w:themeColor="background1"/>
                          <w:szCs w:val="18"/>
                        </w:rPr>
                        <w:t xml:space="preserve"> Raiffeisenbank), Michal Skořepa (makroekonomický analytik České spořitelny), Petr Sklenář (hlavní ekonom</w:t>
                      </w:r>
                      <w:r w:rsidR="00675820" w:rsidRPr="0073410F">
                        <w:rPr>
                          <w:rFonts w:ascii="Calibri" w:hAnsi="Calibri" w:cs="Calibri"/>
                          <w:color w:val="FFFFFF" w:themeColor="background1"/>
                          <w:szCs w:val="18"/>
                        </w:rPr>
                        <w:t>,</w:t>
                      </w:r>
                      <w:r w:rsidRPr="0073410F">
                        <w:rPr>
                          <w:rFonts w:ascii="Calibri" w:hAnsi="Calibri" w:cs="Calibri"/>
                          <w:color w:val="FFFFFF" w:themeColor="background1"/>
                          <w:szCs w:val="18"/>
                        </w:rPr>
                        <w:t xml:space="preserve"> J&amp;T Bank), Pavel Sobíšek (hlavní ekonom, UniCredit Bank), Jaromír Šindel (hlavní ekonom Citibank), Jan </w:t>
                      </w:r>
                      <w:proofErr w:type="spellStart"/>
                      <w:r w:rsidRPr="0073410F">
                        <w:rPr>
                          <w:rFonts w:ascii="Calibri" w:hAnsi="Calibri" w:cs="Calibri"/>
                          <w:color w:val="FFFFFF" w:themeColor="background1"/>
                          <w:szCs w:val="18"/>
                        </w:rPr>
                        <w:t>Vejmělek</w:t>
                      </w:r>
                      <w:proofErr w:type="spellEnd"/>
                      <w:r w:rsidRPr="0073410F">
                        <w:rPr>
                          <w:rFonts w:ascii="Calibri" w:hAnsi="Calibri" w:cs="Calibri"/>
                          <w:color w:val="FFFFFF" w:themeColor="background1"/>
                          <w:szCs w:val="18"/>
                        </w:rPr>
                        <w:t xml:space="preserve"> (hlavní ekonom Komerční banky). Za ČBA se na tvorbě prognózy podílel Jakub Seidler</w:t>
                      </w:r>
                      <w:r w:rsidR="00361DD8" w:rsidRPr="0073410F">
                        <w:rPr>
                          <w:rFonts w:ascii="Calibri" w:hAnsi="Calibri" w:cs="Calibri"/>
                          <w:color w:val="FFFFFF" w:themeColor="background1"/>
                          <w:szCs w:val="18"/>
                        </w:rPr>
                        <w:t>.</w:t>
                      </w:r>
                    </w:p>
                    <w:p w14:paraId="77C1A42D" w14:textId="77777777" w:rsidR="00F37DC9" w:rsidRPr="00A55BDD" w:rsidRDefault="00F37DC9" w:rsidP="00F37DC9">
                      <w:pPr>
                        <w:spacing w:line="276" w:lineRule="auto"/>
                        <w:ind w:left="28" w:hanging="28"/>
                        <w:jc w:val="left"/>
                        <w:rPr>
                          <w:sz w:val="16"/>
                          <w:szCs w:val="16"/>
                        </w:rPr>
                      </w:pPr>
                    </w:p>
                  </w:txbxContent>
                </v:textbox>
                <w10:wrap anchorx="margin"/>
              </v:rect>
            </w:pict>
          </mc:Fallback>
        </mc:AlternateContent>
      </w:r>
      <w:r w:rsidR="00165D62" w:rsidRPr="00F37DC9">
        <w:rPr>
          <w:rFonts w:ascii="Calibri" w:eastAsiaTheme="minorEastAsia" w:hAnsi="Calibri" w:cs="Calibri"/>
        </w:rPr>
        <w:tab/>
      </w:r>
    </w:p>
    <w:p w14:paraId="17CF7A7C" w14:textId="77777777" w:rsidR="005547BF" w:rsidRDefault="005547BF" w:rsidP="00B4285D">
      <w:pPr>
        <w:rPr>
          <w:rFonts w:ascii="Calibri" w:eastAsiaTheme="minorEastAsia" w:hAnsi="Calibri" w:cs="Calibri"/>
        </w:rPr>
      </w:pPr>
    </w:p>
    <w:p w14:paraId="3B70CAB7" w14:textId="77777777" w:rsidR="005547BF" w:rsidRDefault="005547BF" w:rsidP="00B4285D">
      <w:pPr>
        <w:rPr>
          <w:rFonts w:ascii="Calibri" w:eastAsiaTheme="minorEastAsia" w:hAnsi="Calibri" w:cs="Calibri"/>
        </w:rPr>
      </w:pPr>
    </w:p>
    <w:p w14:paraId="6DB62AD1" w14:textId="5086AED3" w:rsidR="001642C0" w:rsidRDefault="001642C0" w:rsidP="00B4285D">
      <w:pPr>
        <w:rPr>
          <w:rFonts w:ascii="Calibri" w:eastAsiaTheme="minorEastAsia" w:hAnsi="Calibri" w:cs="Calibri"/>
        </w:rPr>
      </w:pPr>
    </w:p>
    <w:p w14:paraId="52E6141C" w14:textId="16E75886" w:rsidR="00F37DC9" w:rsidRDefault="00F37DC9" w:rsidP="00B4285D">
      <w:pPr>
        <w:rPr>
          <w:rFonts w:ascii="Calibri" w:eastAsiaTheme="minorEastAsia" w:hAnsi="Calibri" w:cs="Calibri"/>
        </w:rPr>
      </w:pPr>
    </w:p>
    <w:p w14:paraId="59DD5F85" w14:textId="14AD5D2F" w:rsidR="00F37DC9" w:rsidRDefault="00F37DC9" w:rsidP="00B4285D">
      <w:pPr>
        <w:rPr>
          <w:rFonts w:ascii="Calibri" w:eastAsiaTheme="minorEastAsia" w:hAnsi="Calibri" w:cs="Calibri"/>
        </w:rPr>
      </w:pPr>
    </w:p>
    <w:p w14:paraId="333F07F6" w14:textId="217C26C9" w:rsidR="00F37DC9" w:rsidRDefault="00F37DC9" w:rsidP="00B4285D">
      <w:pPr>
        <w:rPr>
          <w:rFonts w:ascii="Calibri" w:eastAsiaTheme="minorEastAsia" w:hAnsi="Calibri" w:cs="Calibri"/>
        </w:rPr>
      </w:pPr>
    </w:p>
    <w:p w14:paraId="5ACD7EBC" w14:textId="267566DC" w:rsidR="00F37DC9" w:rsidRDefault="00F37DC9" w:rsidP="00272A8E">
      <w:pPr>
        <w:tabs>
          <w:tab w:val="left" w:pos="2532"/>
        </w:tabs>
        <w:rPr>
          <w:rFonts w:ascii="Calibri" w:eastAsiaTheme="minorEastAsia" w:hAnsi="Calibri" w:cs="Calibri"/>
        </w:rPr>
      </w:pPr>
    </w:p>
    <w:p w14:paraId="77090A9B" w14:textId="5B92B9DD" w:rsidR="00F37DC9" w:rsidRDefault="00F37DC9" w:rsidP="00B4285D">
      <w:pPr>
        <w:rPr>
          <w:rFonts w:ascii="Calibri" w:eastAsiaTheme="minorEastAsia" w:hAnsi="Calibri" w:cs="Calibri"/>
        </w:rPr>
      </w:pPr>
    </w:p>
    <w:p w14:paraId="5D41C5D7" w14:textId="77777777" w:rsidR="0073410F" w:rsidRDefault="0073410F" w:rsidP="00B4285D">
      <w:pPr>
        <w:rPr>
          <w:rFonts w:ascii="Calibri" w:eastAsiaTheme="minorEastAsia" w:hAnsi="Calibri" w:cs="Calibri"/>
        </w:rPr>
      </w:pPr>
    </w:p>
    <w:tbl>
      <w:tblPr>
        <w:tblW w:w="10201" w:type="dxa"/>
        <w:tblLook w:val="04A0" w:firstRow="1" w:lastRow="0" w:firstColumn="1" w:lastColumn="0" w:noHBand="0" w:noVBand="1"/>
      </w:tblPr>
      <w:tblGrid>
        <w:gridCol w:w="6817"/>
        <w:gridCol w:w="3384"/>
      </w:tblGrid>
      <w:tr w:rsidR="0073410F" w:rsidRPr="00635D8B" w14:paraId="2BB4B9D8" w14:textId="77777777" w:rsidTr="001726CC">
        <w:trPr>
          <w:trHeight w:val="1364"/>
        </w:trPr>
        <w:tc>
          <w:tcPr>
            <w:tcW w:w="6817" w:type="dxa"/>
            <w:shd w:val="clear" w:color="auto" w:fill="13576B"/>
          </w:tcPr>
          <w:p w14:paraId="32CA9EB7" w14:textId="77777777" w:rsidR="0073410F" w:rsidRDefault="0073410F" w:rsidP="001726CC">
            <w:pPr>
              <w:pStyle w:val="CBANadpisvTABULCE"/>
              <w:jc w:val="both"/>
              <w:rPr>
                <w:rFonts w:ascii="IBM Plex Sans" w:hAnsi="IBM Plex Sans" w:cs="Poppins"/>
                <w:color w:val="FFFFFF"/>
                <w:szCs w:val="18"/>
              </w:rPr>
            </w:pPr>
            <w:r>
              <w:rPr>
                <w:rFonts w:ascii="IBM Plex Sans" w:hAnsi="IBM Plex Sans" w:cs="Poppins"/>
                <w:color w:val="FFFFFF"/>
                <w:szCs w:val="18"/>
              </w:rPr>
              <w:t>O České bankovní asociaci</w:t>
            </w:r>
          </w:p>
          <w:p w14:paraId="22379D56" w14:textId="057F3E4D" w:rsidR="0073410F" w:rsidRDefault="0073410F" w:rsidP="001726CC">
            <w:pPr>
              <w:rPr>
                <w:rFonts w:ascii="Calibri" w:hAnsi="Calibri"/>
                <w:color w:val="FFFFFF"/>
                <w:sz w:val="22"/>
              </w:rPr>
            </w:pPr>
            <w:bookmarkStart w:id="14" w:name="_Hlk128734138"/>
            <w:r>
              <w:rPr>
                <w:color w:val="FFFFFF"/>
              </w:rPr>
              <w:t>Česká bankovní asociace (ČBA) je dobrovolné sdružení 3</w:t>
            </w:r>
            <w:r w:rsidR="004E3E95">
              <w:rPr>
                <w:color w:val="FFFFFF"/>
              </w:rPr>
              <w:t>3</w:t>
            </w:r>
            <w:r>
              <w:rPr>
                <w:color w:val="FFFFFF"/>
              </w:rPr>
              <w:t xml:space="preserve"> bank působících v České republice a reprezentuje tak 99 % trhu. Již 30 let podporuje nejen rozvoj bankovního sektoru, ale i celé ekonomiky a všeobecné finanční gramotnosti. ČBA je členem Evropské bankovní federace (EBF).</w:t>
            </w:r>
          </w:p>
          <w:bookmarkEnd w:id="14"/>
          <w:p w14:paraId="4A9BB153" w14:textId="77777777" w:rsidR="0073410F" w:rsidRDefault="0073410F" w:rsidP="001726CC">
            <w:pPr>
              <w:pStyle w:val="CBAodstavecvTABULCE"/>
              <w:jc w:val="both"/>
              <w:rPr>
                <w:rFonts w:ascii="IBM Plex Sans" w:hAnsi="IBM Plex Sans" w:cs="Poppins"/>
                <w:color w:val="FFFFFF"/>
                <w:szCs w:val="18"/>
              </w:rPr>
            </w:pPr>
            <w:r>
              <w:rPr>
                <w:rFonts w:ascii="IBM Plex Sans" w:hAnsi="IBM Plex Sans" w:cs="Poppins"/>
                <w:color w:val="FFFFFF"/>
                <w:szCs w:val="18"/>
              </w:rPr>
              <w:t xml:space="preserve">Více informací na </w:t>
            </w:r>
            <w:r>
              <w:rPr>
                <w:rFonts w:ascii="IBM Plex Sans" w:hAnsi="IBM Plex Sans" w:cs="Poppins"/>
                <w:color w:val="FFFFFF"/>
                <w:szCs w:val="18"/>
                <w:u w:val="single"/>
              </w:rPr>
              <w:t>www.cbaonline.cz.</w:t>
            </w:r>
            <w:r>
              <w:rPr>
                <w:rFonts w:ascii="IBM Plex Sans" w:hAnsi="IBM Plex Sans" w:cs="Poppins"/>
                <w:color w:val="A9936D"/>
                <w:szCs w:val="18"/>
              </w:rPr>
              <w:t xml:space="preserve"> </w:t>
            </w:r>
          </w:p>
        </w:tc>
        <w:tc>
          <w:tcPr>
            <w:tcW w:w="3384" w:type="dxa"/>
            <w:shd w:val="clear" w:color="auto" w:fill="A9936D"/>
            <w:vAlign w:val="center"/>
          </w:tcPr>
          <w:p w14:paraId="51EEA920" w14:textId="4CA6AF39" w:rsidR="0073410F" w:rsidRDefault="00D260F0" w:rsidP="001726CC">
            <w:pPr>
              <w:pStyle w:val="CBAodstavecvTABULCE"/>
              <w:rPr>
                <w:rFonts w:ascii="IBM Plex Sans" w:hAnsi="IBM Plex Sans" w:cs="Poppins"/>
                <w:b/>
                <w:bCs/>
                <w:color w:val="FFFFFF"/>
                <w:szCs w:val="18"/>
              </w:rPr>
            </w:pPr>
            <w:r>
              <w:rPr>
                <w:rFonts w:ascii="IBM Plex Sans" w:hAnsi="IBM Plex Sans" w:cs="Poppins"/>
                <w:b/>
                <w:bCs/>
                <w:color w:val="FFFFFF"/>
                <w:szCs w:val="18"/>
              </w:rPr>
              <w:t xml:space="preserve"> </w:t>
            </w:r>
            <w:r w:rsidR="0073410F">
              <w:rPr>
                <w:rFonts w:ascii="IBM Plex Sans" w:hAnsi="IBM Plex Sans" w:cs="Poppins"/>
                <w:b/>
                <w:bCs/>
                <w:color w:val="FFFFFF"/>
                <w:szCs w:val="18"/>
              </w:rPr>
              <w:t>Dotazy posílejte na</w:t>
            </w:r>
          </w:p>
          <w:p w14:paraId="4BDB00A6" w14:textId="77777777" w:rsidR="0073410F" w:rsidRDefault="0073410F" w:rsidP="001726CC">
            <w:pPr>
              <w:pStyle w:val="CBAodstavecvTABULCE"/>
              <w:jc w:val="center"/>
              <w:rPr>
                <w:rFonts w:ascii="IBM Plex Sans" w:hAnsi="IBM Plex Sans" w:cs="Poppins"/>
                <w:color w:val="FFFFFF"/>
                <w:szCs w:val="18"/>
              </w:rPr>
            </w:pPr>
            <w:r>
              <w:rPr>
                <w:rFonts w:ascii="IBM Plex Sans" w:hAnsi="IBM Plex Sans" w:cs="Poppins"/>
                <w:b/>
                <w:bCs/>
                <w:color w:val="FFFFFF"/>
                <w:szCs w:val="18"/>
              </w:rPr>
              <w:t>radek.salsa@cbaonline.cz</w:t>
            </w:r>
          </w:p>
        </w:tc>
      </w:tr>
    </w:tbl>
    <w:p w14:paraId="1AE6FC8E" w14:textId="01CA802E" w:rsidR="005C1943" w:rsidRPr="00F37DC9" w:rsidRDefault="005C1943" w:rsidP="00060800">
      <w:pPr>
        <w:rPr>
          <w:rFonts w:ascii="Calibri" w:eastAsiaTheme="minorEastAsia" w:hAnsi="Calibri" w:cs="Calibri"/>
        </w:rPr>
      </w:pPr>
    </w:p>
    <w:sectPr w:rsidR="005C1943" w:rsidRPr="00F37DC9" w:rsidSect="00524989">
      <w:headerReference w:type="default" r:id="rId8"/>
      <w:footerReference w:type="default" r:id="rId9"/>
      <w:pgSz w:w="11906" w:h="16838"/>
      <w:pgMar w:top="2552" w:right="851" w:bottom="1418" w:left="851"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316D6" w14:textId="77777777" w:rsidR="005A17AC" w:rsidRDefault="005A17AC" w:rsidP="00F573F1">
      <w:r>
        <w:separator/>
      </w:r>
    </w:p>
  </w:endnote>
  <w:endnote w:type="continuationSeparator" w:id="0">
    <w:p w14:paraId="37C64A3A" w14:textId="77777777" w:rsidR="005A17AC" w:rsidRDefault="005A17AC" w:rsidP="00F573F1">
      <w:r>
        <w:continuationSeparator/>
      </w:r>
    </w:p>
  </w:endnote>
  <w:endnote w:type="continuationNotice" w:id="1">
    <w:p w14:paraId="0A58123E" w14:textId="77777777" w:rsidR="005A17AC" w:rsidRDefault="005A1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Poppins">
    <w:panose1 w:val="00000500000000000000"/>
    <w:charset w:val="EE"/>
    <w:family w:val="auto"/>
    <w:pitch w:val="variable"/>
    <w:sig w:usb0="00008007"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Cs w:val="18"/>
      </w:rPr>
      <w:id w:val="1149944182"/>
      <w:docPartObj>
        <w:docPartGallery w:val="Page Numbers (Bottom of Page)"/>
        <w:docPartUnique/>
      </w:docPartObj>
    </w:sdtPr>
    <w:sdtEndPr/>
    <w:sdtContent>
      <w:sdt>
        <w:sdtPr>
          <w:rPr>
            <w:rFonts w:ascii="Calibri" w:hAnsi="Calibri" w:cs="Calibri"/>
            <w:szCs w:val="18"/>
          </w:rPr>
          <w:id w:val="-1769616900"/>
          <w:docPartObj>
            <w:docPartGallery w:val="Page Numbers (Top of Page)"/>
            <w:docPartUnique/>
          </w:docPartObj>
        </w:sdtPr>
        <w:sdtEndPr/>
        <w:sdtContent>
          <w:p w14:paraId="7854F1F5" w14:textId="19327CD8" w:rsidR="00F37DC9" w:rsidRPr="00F37DC9" w:rsidRDefault="00F37DC9">
            <w:pPr>
              <w:pStyle w:val="Zpat"/>
              <w:jc w:val="right"/>
              <w:rPr>
                <w:rFonts w:ascii="Calibri" w:hAnsi="Calibri" w:cs="Calibri"/>
                <w:szCs w:val="18"/>
              </w:rPr>
            </w:pPr>
            <w:r w:rsidRPr="001E31AB">
              <w:rPr>
                <w:rFonts w:ascii="Calibri" w:hAnsi="Calibri"/>
                <w:noProof/>
                <w:szCs w:val="18"/>
              </w:rPr>
              <w:drawing>
                <wp:anchor distT="0" distB="0" distL="114300" distR="114300" simplePos="0" relativeHeight="251658240" behindDoc="0" locked="0" layoutInCell="1" allowOverlap="1" wp14:anchorId="40EC3339" wp14:editId="625B1AC4">
                  <wp:simplePos x="0" y="0"/>
                  <wp:positionH relativeFrom="column">
                    <wp:posOffset>-541020</wp:posOffset>
                  </wp:positionH>
                  <wp:positionV relativeFrom="paragraph">
                    <wp:posOffset>-137160</wp:posOffset>
                  </wp:positionV>
                  <wp:extent cx="3042285" cy="701040"/>
                  <wp:effectExtent l="0" t="0" r="5715"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7DC9">
              <w:rPr>
                <w:rFonts w:ascii="Calibri" w:hAnsi="Calibri" w:cs="Calibri"/>
                <w:szCs w:val="18"/>
              </w:rPr>
              <w:t xml:space="preserve">Stránka </w:t>
            </w:r>
            <w:r w:rsidRPr="00F37DC9">
              <w:rPr>
                <w:rFonts w:ascii="Calibri" w:hAnsi="Calibri" w:cs="Calibri"/>
                <w:b/>
                <w:bCs/>
                <w:szCs w:val="18"/>
              </w:rPr>
              <w:fldChar w:fldCharType="begin"/>
            </w:r>
            <w:r w:rsidRPr="00F37DC9">
              <w:rPr>
                <w:rFonts w:ascii="Calibri" w:hAnsi="Calibri" w:cs="Calibri"/>
                <w:b/>
                <w:bCs/>
                <w:szCs w:val="18"/>
              </w:rPr>
              <w:instrText>PAGE</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r w:rsidRPr="00F37DC9">
              <w:rPr>
                <w:rFonts w:ascii="Calibri" w:hAnsi="Calibri" w:cs="Calibri"/>
                <w:szCs w:val="18"/>
              </w:rPr>
              <w:t xml:space="preserve"> z </w:t>
            </w:r>
            <w:r w:rsidRPr="00F37DC9">
              <w:rPr>
                <w:rFonts w:ascii="Calibri" w:hAnsi="Calibri" w:cs="Calibri"/>
                <w:b/>
                <w:bCs/>
                <w:szCs w:val="18"/>
              </w:rPr>
              <w:fldChar w:fldCharType="begin"/>
            </w:r>
            <w:r w:rsidRPr="00F37DC9">
              <w:rPr>
                <w:rFonts w:ascii="Calibri" w:hAnsi="Calibri" w:cs="Calibri"/>
                <w:b/>
                <w:bCs/>
                <w:szCs w:val="18"/>
              </w:rPr>
              <w:instrText>NUMPAGES</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p>
        </w:sdtContent>
      </w:sdt>
    </w:sdtContent>
  </w:sdt>
  <w:p w14:paraId="6B2FBE8E" w14:textId="77777777" w:rsidR="00536B9B" w:rsidRPr="00FB4A1C" w:rsidRDefault="00536B9B"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CDFC2" w14:textId="77777777" w:rsidR="005A17AC" w:rsidRDefault="005A17AC" w:rsidP="00F573F1">
      <w:r>
        <w:separator/>
      </w:r>
    </w:p>
  </w:footnote>
  <w:footnote w:type="continuationSeparator" w:id="0">
    <w:p w14:paraId="7E691090" w14:textId="77777777" w:rsidR="005A17AC" w:rsidRDefault="005A17AC" w:rsidP="00F573F1">
      <w:r>
        <w:continuationSeparator/>
      </w:r>
    </w:p>
  </w:footnote>
  <w:footnote w:type="continuationNotice" w:id="1">
    <w:p w14:paraId="5B715CA1" w14:textId="77777777" w:rsidR="005A17AC" w:rsidRDefault="005A1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6A72" w14:textId="2B5E0211" w:rsidR="00F37DC9" w:rsidRDefault="00F37DC9" w:rsidP="00F37DC9">
    <w:pPr>
      <w:pStyle w:val="Zhlav"/>
    </w:pPr>
    <w:r>
      <w:rPr>
        <w:noProof/>
      </w:rPr>
      <w:drawing>
        <wp:anchor distT="0" distB="0" distL="114300" distR="114300" simplePos="0" relativeHeight="251661312" behindDoc="0" locked="0" layoutInCell="1" allowOverlap="1" wp14:anchorId="12F98975" wp14:editId="270559D0">
          <wp:simplePos x="0" y="0"/>
          <wp:positionH relativeFrom="column">
            <wp:posOffset>-52705</wp:posOffset>
          </wp:positionH>
          <wp:positionV relativeFrom="paragraph">
            <wp:posOffset>29845</wp:posOffset>
          </wp:positionV>
          <wp:extent cx="2209800" cy="778510"/>
          <wp:effectExtent l="0" t="0" r="0" b="254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BA7D056" wp14:editId="7FF03F24">
          <wp:simplePos x="0" y="0"/>
          <wp:positionH relativeFrom="column">
            <wp:posOffset>3985895</wp:posOffset>
          </wp:positionH>
          <wp:positionV relativeFrom="paragraph">
            <wp:posOffset>-8255</wp:posOffset>
          </wp:positionV>
          <wp:extent cx="2943225" cy="243840"/>
          <wp:effectExtent l="0" t="0" r="9525" b="381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17EE12" w14:textId="7A435DE2" w:rsidR="00F37DC9" w:rsidRDefault="00F37DC9">
    <w:pPr>
      <w:pStyle w:val="Zhlav"/>
    </w:pPr>
    <w:r w:rsidRPr="00F615BD">
      <w:rPr>
        <w:noProof/>
        <w:lang w:val="en-GB" w:eastAsia="en-GB"/>
      </w:rPr>
      <mc:AlternateContent>
        <mc:Choice Requires="wps">
          <w:drawing>
            <wp:anchor distT="45720" distB="45720" distL="114300" distR="114300" simplePos="0" relativeHeight="251659264" behindDoc="0" locked="0" layoutInCell="1" allowOverlap="1" wp14:anchorId="05CB3763" wp14:editId="1059E9BC">
              <wp:simplePos x="0" y="0"/>
              <wp:positionH relativeFrom="margin">
                <wp:posOffset>5289974</wp:posOffset>
              </wp:positionH>
              <wp:positionV relativeFrom="paragraph">
                <wp:posOffset>6985</wp:posOffset>
              </wp:positionV>
              <wp:extent cx="1239520" cy="1404620"/>
              <wp:effectExtent l="0" t="0" r="0" b="0"/>
              <wp:wrapNone/>
              <wp:docPr id="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1D6EBE22" w:rsidR="00F37DC9" w:rsidRPr="00F37DC9" w:rsidRDefault="00D41530" w:rsidP="00F37DC9">
                          <w:pPr>
                            <w:spacing w:line="276" w:lineRule="auto"/>
                            <w:jc w:val="right"/>
                            <w:rPr>
                              <w:rFonts w:ascii="Calibri" w:hAnsi="Calibri" w:cs="Calibri"/>
                              <w:b/>
                              <w:color w:val="13576B"/>
                              <w:sz w:val="22"/>
                              <w:szCs w:val="24"/>
                            </w:rPr>
                          </w:pPr>
                          <w:r>
                            <w:rPr>
                              <w:rFonts w:ascii="Calibri" w:hAnsi="Calibri" w:cs="Calibri"/>
                              <w:color w:val="13576B"/>
                              <w:sz w:val="22"/>
                              <w:szCs w:val="24"/>
                            </w:rPr>
                            <w:t>14</w:t>
                          </w:r>
                          <w:r w:rsidR="00F37DC9" w:rsidRPr="00F37DC9">
                            <w:rPr>
                              <w:rFonts w:ascii="Calibri" w:hAnsi="Calibri" w:cs="Calibri"/>
                              <w:color w:val="13576B"/>
                              <w:sz w:val="22"/>
                              <w:szCs w:val="24"/>
                            </w:rPr>
                            <w:t xml:space="preserve">. </w:t>
                          </w:r>
                          <w:r>
                            <w:rPr>
                              <w:rFonts w:ascii="Calibri" w:hAnsi="Calibri" w:cs="Calibri"/>
                              <w:color w:val="13576B"/>
                              <w:sz w:val="22"/>
                              <w:szCs w:val="24"/>
                            </w:rPr>
                            <w:t>11</w:t>
                          </w:r>
                          <w:r w:rsidR="00F37DC9" w:rsidRPr="00F37DC9">
                            <w:rPr>
                              <w:rFonts w:ascii="Calibri" w:hAnsi="Calibri" w:cs="Calibri"/>
                              <w:color w:val="13576B"/>
                              <w:sz w:val="22"/>
                              <w:szCs w:val="24"/>
                            </w:rPr>
                            <w:t>. 202</w:t>
                          </w:r>
                          <w:r w:rsidR="00FF1673">
                            <w:rPr>
                              <w:rFonts w:ascii="Calibri" w:hAnsi="Calibri" w:cs="Calibri"/>
                              <w:color w:val="13576B"/>
                              <w:sz w:val="22"/>
                              <w:szCs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B3763" id="_x0000_t202" coordsize="21600,21600" o:spt="202" path="m,l,21600r21600,l21600,xe">
              <v:stroke joinstyle="miter"/>
              <v:path gradientshapeok="t" o:connecttype="rect"/>
            </v:shapetype>
            <v:shape id="_x0000_s1030" type="#_x0000_t202" style="position:absolute;left:0;text-align:left;margin-left:416.55pt;margin-top:.55pt;width:97.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" filled="f" stroked="f">
              <v:textbox style="mso-fit-shape-to-text:t">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1D6EBE22" w:rsidR="00F37DC9" w:rsidRPr="00F37DC9" w:rsidRDefault="00D41530" w:rsidP="00F37DC9">
                    <w:pPr>
                      <w:spacing w:line="276" w:lineRule="auto"/>
                      <w:jc w:val="right"/>
                      <w:rPr>
                        <w:rFonts w:ascii="Calibri" w:hAnsi="Calibri" w:cs="Calibri"/>
                        <w:b/>
                        <w:color w:val="13576B"/>
                        <w:sz w:val="22"/>
                        <w:szCs w:val="24"/>
                      </w:rPr>
                    </w:pPr>
                    <w:r>
                      <w:rPr>
                        <w:rFonts w:ascii="Calibri" w:hAnsi="Calibri" w:cs="Calibri"/>
                        <w:color w:val="13576B"/>
                        <w:sz w:val="22"/>
                        <w:szCs w:val="24"/>
                      </w:rPr>
                      <w:t>14</w:t>
                    </w:r>
                    <w:r w:rsidR="00F37DC9" w:rsidRPr="00F37DC9">
                      <w:rPr>
                        <w:rFonts w:ascii="Calibri" w:hAnsi="Calibri" w:cs="Calibri"/>
                        <w:color w:val="13576B"/>
                        <w:sz w:val="22"/>
                        <w:szCs w:val="24"/>
                      </w:rPr>
                      <w:t xml:space="preserve">. </w:t>
                    </w:r>
                    <w:r>
                      <w:rPr>
                        <w:rFonts w:ascii="Calibri" w:hAnsi="Calibri" w:cs="Calibri"/>
                        <w:color w:val="13576B"/>
                        <w:sz w:val="22"/>
                        <w:szCs w:val="24"/>
                      </w:rPr>
                      <w:t>11</w:t>
                    </w:r>
                    <w:r w:rsidR="00F37DC9" w:rsidRPr="00F37DC9">
                      <w:rPr>
                        <w:rFonts w:ascii="Calibri" w:hAnsi="Calibri" w:cs="Calibri"/>
                        <w:color w:val="13576B"/>
                        <w:sz w:val="22"/>
                        <w:szCs w:val="24"/>
                      </w:rPr>
                      <w:t>. 202</w:t>
                    </w:r>
                    <w:r w:rsidR="00FF1673">
                      <w:rPr>
                        <w:rFonts w:ascii="Calibri" w:hAnsi="Calibri" w:cs="Calibri"/>
                        <w:color w:val="13576B"/>
                        <w:sz w:val="22"/>
                        <w:szCs w:val="24"/>
                      </w:rPr>
                      <w:t>4</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8A7"/>
    <w:multiLevelType w:val="hybridMultilevel"/>
    <w:tmpl w:val="ADD42E08"/>
    <w:lvl w:ilvl="0" w:tplc="9B0CBF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15A72"/>
    <w:multiLevelType w:val="hybridMultilevel"/>
    <w:tmpl w:val="4222A8D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12C4DCE"/>
    <w:multiLevelType w:val="hybridMultilevel"/>
    <w:tmpl w:val="D4D47A08"/>
    <w:lvl w:ilvl="0" w:tplc="F062A1EA">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86F60"/>
    <w:multiLevelType w:val="hybridMultilevel"/>
    <w:tmpl w:val="3232EEBE"/>
    <w:lvl w:ilvl="0" w:tplc="491E84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8B2CEC"/>
    <w:multiLevelType w:val="hybridMultilevel"/>
    <w:tmpl w:val="FDB00238"/>
    <w:lvl w:ilvl="0" w:tplc="BD9EF866">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C57BCF"/>
    <w:multiLevelType w:val="hybridMultilevel"/>
    <w:tmpl w:val="3554269C"/>
    <w:lvl w:ilvl="0" w:tplc="F52C1D16">
      <w:numFmt w:val="bullet"/>
      <w:lvlText w:val="-"/>
      <w:lvlJc w:val="left"/>
      <w:pPr>
        <w:ind w:left="720" w:hanging="360"/>
      </w:pPr>
      <w:rPr>
        <w:rFonts w:ascii="Calibri" w:eastAsia="PMingLiU"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F41FF"/>
    <w:multiLevelType w:val="hybridMultilevel"/>
    <w:tmpl w:val="06ECF1A8"/>
    <w:lvl w:ilvl="0" w:tplc="7216123C">
      <w:start w:val="1"/>
      <w:numFmt w:val="bullet"/>
      <w:lvlText w:val="-"/>
      <w:lvlJc w:val="left"/>
      <w:pPr>
        <w:tabs>
          <w:tab w:val="num" w:pos="720"/>
        </w:tabs>
        <w:ind w:left="720" w:hanging="360"/>
      </w:pPr>
      <w:rPr>
        <w:rFonts w:ascii="Arial" w:hAnsi="Arial" w:hint="default"/>
      </w:rPr>
    </w:lvl>
    <w:lvl w:ilvl="1" w:tplc="D4D69B72" w:tentative="1">
      <w:start w:val="1"/>
      <w:numFmt w:val="bullet"/>
      <w:lvlText w:val="-"/>
      <w:lvlJc w:val="left"/>
      <w:pPr>
        <w:tabs>
          <w:tab w:val="num" w:pos="1440"/>
        </w:tabs>
        <w:ind w:left="1440" w:hanging="360"/>
      </w:pPr>
      <w:rPr>
        <w:rFonts w:ascii="Arial" w:hAnsi="Arial" w:hint="default"/>
      </w:rPr>
    </w:lvl>
    <w:lvl w:ilvl="2" w:tplc="F4A4DA8A" w:tentative="1">
      <w:start w:val="1"/>
      <w:numFmt w:val="bullet"/>
      <w:lvlText w:val="-"/>
      <w:lvlJc w:val="left"/>
      <w:pPr>
        <w:tabs>
          <w:tab w:val="num" w:pos="2160"/>
        </w:tabs>
        <w:ind w:left="2160" w:hanging="360"/>
      </w:pPr>
      <w:rPr>
        <w:rFonts w:ascii="Arial" w:hAnsi="Arial" w:hint="default"/>
      </w:rPr>
    </w:lvl>
    <w:lvl w:ilvl="3" w:tplc="992E1B1C" w:tentative="1">
      <w:start w:val="1"/>
      <w:numFmt w:val="bullet"/>
      <w:lvlText w:val="-"/>
      <w:lvlJc w:val="left"/>
      <w:pPr>
        <w:tabs>
          <w:tab w:val="num" w:pos="2880"/>
        </w:tabs>
        <w:ind w:left="2880" w:hanging="360"/>
      </w:pPr>
      <w:rPr>
        <w:rFonts w:ascii="Arial" w:hAnsi="Arial" w:hint="default"/>
      </w:rPr>
    </w:lvl>
    <w:lvl w:ilvl="4" w:tplc="87344526" w:tentative="1">
      <w:start w:val="1"/>
      <w:numFmt w:val="bullet"/>
      <w:lvlText w:val="-"/>
      <w:lvlJc w:val="left"/>
      <w:pPr>
        <w:tabs>
          <w:tab w:val="num" w:pos="3600"/>
        </w:tabs>
        <w:ind w:left="3600" w:hanging="360"/>
      </w:pPr>
      <w:rPr>
        <w:rFonts w:ascii="Arial" w:hAnsi="Arial" w:hint="default"/>
      </w:rPr>
    </w:lvl>
    <w:lvl w:ilvl="5" w:tplc="48FEB5AE" w:tentative="1">
      <w:start w:val="1"/>
      <w:numFmt w:val="bullet"/>
      <w:lvlText w:val="-"/>
      <w:lvlJc w:val="left"/>
      <w:pPr>
        <w:tabs>
          <w:tab w:val="num" w:pos="4320"/>
        </w:tabs>
        <w:ind w:left="4320" w:hanging="360"/>
      </w:pPr>
      <w:rPr>
        <w:rFonts w:ascii="Arial" w:hAnsi="Arial" w:hint="default"/>
      </w:rPr>
    </w:lvl>
    <w:lvl w:ilvl="6" w:tplc="53A2F4D2" w:tentative="1">
      <w:start w:val="1"/>
      <w:numFmt w:val="bullet"/>
      <w:lvlText w:val="-"/>
      <w:lvlJc w:val="left"/>
      <w:pPr>
        <w:tabs>
          <w:tab w:val="num" w:pos="5040"/>
        </w:tabs>
        <w:ind w:left="5040" w:hanging="360"/>
      </w:pPr>
      <w:rPr>
        <w:rFonts w:ascii="Arial" w:hAnsi="Arial" w:hint="default"/>
      </w:rPr>
    </w:lvl>
    <w:lvl w:ilvl="7" w:tplc="AEA686B4" w:tentative="1">
      <w:start w:val="1"/>
      <w:numFmt w:val="bullet"/>
      <w:lvlText w:val="-"/>
      <w:lvlJc w:val="left"/>
      <w:pPr>
        <w:tabs>
          <w:tab w:val="num" w:pos="5760"/>
        </w:tabs>
        <w:ind w:left="5760" w:hanging="360"/>
      </w:pPr>
      <w:rPr>
        <w:rFonts w:ascii="Arial" w:hAnsi="Arial" w:hint="default"/>
      </w:rPr>
    </w:lvl>
    <w:lvl w:ilvl="8" w:tplc="0F3A89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F3628E"/>
    <w:multiLevelType w:val="hybridMultilevel"/>
    <w:tmpl w:val="771602E6"/>
    <w:lvl w:ilvl="0" w:tplc="30548F9A">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9763A7"/>
    <w:multiLevelType w:val="hybridMultilevel"/>
    <w:tmpl w:val="F904BEEC"/>
    <w:lvl w:ilvl="0" w:tplc="E0A2536E">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FA73130"/>
    <w:multiLevelType w:val="hybridMultilevel"/>
    <w:tmpl w:val="65281904"/>
    <w:lvl w:ilvl="0" w:tplc="DF56ABD4">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26451B"/>
    <w:multiLevelType w:val="hybridMultilevel"/>
    <w:tmpl w:val="C1DEF65C"/>
    <w:lvl w:ilvl="0" w:tplc="0E7285A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9576527">
    <w:abstractNumId w:val="1"/>
  </w:num>
  <w:num w:numId="2" w16cid:durableId="433785663">
    <w:abstractNumId w:val="2"/>
  </w:num>
  <w:num w:numId="3" w16cid:durableId="1729918350">
    <w:abstractNumId w:val="10"/>
  </w:num>
  <w:num w:numId="4" w16cid:durableId="253903565">
    <w:abstractNumId w:val="7"/>
  </w:num>
  <w:num w:numId="5" w16cid:durableId="802504195">
    <w:abstractNumId w:val="3"/>
  </w:num>
  <w:num w:numId="6" w16cid:durableId="197862842">
    <w:abstractNumId w:val="4"/>
  </w:num>
  <w:num w:numId="7" w16cid:durableId="1431047350">
    <w:abstractNumId w:val="6"/>
  </w:num>
  <w:num w:numId="8" w16cid:durableId="1469476053">
    <w:abstractNumId w:val="12"/>
  </w:num>
  <w:num w:numId="9" w16cid:durableId="1848516986">
    <w:abstractNumId w:val="0"/>
  </w:num>
  <w:num w:numId="10" w16cid:durableId="2118717874">
    <w:abstractNumId w:val="9"/>
  </w:num>
  <w:num w:numId="11" w16cid:durableId="185876810">
    <w:abstractNumId w:val="8"/>
  </w:num>
  <w:num w:numId="12" w16cid:durableId="2013485861">
    <w:abstractNumId w:val="5"/>
  </w:num>
  <w:num w:numId="13" w16cid:durableId="754328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email"/>
    <w:dataType w:val="textFile"/>
    <w:activeRecord w:val="-1"/>
  </w:mailMerg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169"/>
    <w:rsid w:val="000013D3"/>
    <w:rsid w:val="00001E30"/>
    <w:rsid w:val="00004B58"/>
    <w:rsid w:val="00005244"/>
    <w:rsid w:val="00006087"/>
    <w:rsid w:val="00006860"/>
    <w:rsid w:val="00014977"/>
    <w:rsid w:val="0001513F"/>
    <w:rsid w:val="000158F1"/>
    <w:rsid w:val="000162B2"/>
    <w:rsid w:val="00017461"/>
    <w:rsid w:val="00017F00"/>
    <w:rsid w:val="000221D6"/>
    <w:rsid w:val="00023000"/>
    <w:rsid w:val="00026596"/>
    <w:rsid w:val="00032B41"/>
    <w:rsid w:val="00032EF8"/>
    <w:rsid w:val="00033084"/>
    <w:rsid w:val="00034035"/>
    <w:rsid w:val="000349D8"/>
    <w:rsid w:val="00034F87"/>
    <w:rsid w:val="000366C2"/>
    <w:rsid w:val="00036DD3"/>
    <w:rsid w:val="000419CA"/>
    <w:rsid w:val="00044002"/>
    <w:rsid w:val="00044266"/>
    <w:rsid w:val="00044DB3"/>
    <w:rsid w:val="0005001B"/>
    <w:rsid w:val="0005108F"/>
    <w:rsid w:val="0005493C"/>
    <w:rsid w:val="00054E8F"/>
    <w:rsid w:val="00055376"/>
    <w:rsid w:val="00055B74"/>
    <w:rsid w:val="00060800"/>
    <w:rsid w:val="00062A8A"/>
    <w:rsid w:val="00062D67"/>
    <w:rsid w:val="00062DC6"/>
    <w:rsid w:val="000650ED"/>
    <w:rsid w:val="00066333"/>
    <w:rsid w:val="00067501"/>
    <w:rsid w:val="0006786A"/>
    <w:rsid w:val="0007096D"/>
    <w:rsid w:val="00071B9F"/>
    <w:rsid w:val="0007438C"/>
    <w:rsid w:val="000766D5"/>
    <w:rsid w:val="00076970"/>
    <w:rsid w:val="0007755C"/>
    <w:rsid w:val="0008071A"/>
    <w:rsid w:val="0008238B"/>
    <w:rsid w:val="00082CD7"/>
    <w:rsid w:val="00082E1D"/>
    <w:rsid w:val="000831A0"/>
    <w:rsid w:val="0008323B"/>
    <w:rsid w:val="00087711"/>
    <w:rsid w:val="00087849"/>
    <w:rsid w:val="00087A3D"/>
    <w:rsid w:val="00092245"/>
    <w:rsid w:val="00092ACE"/>
    <w:rsid w:val="00093C64"/>
    <w:rsid w:val="00095A11"/>
    <w:rsid w:val="00097B97"/>
    <w:rsid w:val="000A00DE"/>
    <w:rsid w:val="000A086B"/>
    <w:rsid w:val="000A1677"/>
    <w:rsid w:val="000A1D30"/>
    <w:rsid w:val="000A1E1A"/>
    <w:rsid w:val="000A1EA1"/>
    <w:rsid w:val="000A2025"/>
    <w:rsid w:val="000A2144"/>
    <w:rsid w:val="000A2EC0"/>
    <w:rsid w:val="000A337A"/>
    <w:rsid w:val="000A34D4"/>
    <w:rsid w:val="000A3C49"/>
    <w:rsid w:val="000A5EDA"/>
    <w:rsid w:val="000A6730"/>
    <w:rsid w:val="000A72B8"/>
    <w:rsid w:val="000A7993"/>
    <w:rsid w:val="000A7E0A"/>
    <w:rsid w:val="000B1869"/>
    <w:rsid w:val="000B1B0C"/>
    <w:rsid w:val="000B27C5"/>
    <w:rsid w:val="000B4814"/>
    <w:rsid w:val="000B6BEC"/>
    <w:rsid w:val="000C1155"/>
    <w:rsid w:val="000C1D98"/>
    <w:rsid w:val="000C2287"/>
    <w:rsid w:val="000C552C"/>
    <w:rsid w:val="000C6B0C"/>
    <w:rsid w:val="000C779F"/>
    <w:rsid w:val="000D0BFE"/>
    <w:rsid w:val="000D12F8"/>
    <w:rsid w:val="000D1977"/>
    <w:rsid w:val="000D2B81"/>
    <w:rsid w:val="000D314F"/>
    <w:rsid w:val="000D5D2B"/>
    <w:rsid w:val="000D7C38"/>
    <w:rsid w:val="000E1460"/>
    <w:rsid w:val="000E1A02"/>
    <w:rsid w:val="000E1DF8"/>
    <w:rsid w:val="000E3A69"/>
    <w:rsid w:val="000E5E2A"/>
    <w:rsid w:val="000E7086"/>
    <w:rsid w:val="000F0B99"/>
    <w:rsid w:val="000F34A7"/>
    <w:rsid w:val="000F39C3"/>
    <w:rsid w:val="000F4797"/>
    <w:rsid w:val="000F6888"/>
    <w:rsid w:val="000F790F"/>
    <w:rsid w:val="00100481"/>
    <w:rsid w:val="00100B73"/>
    <w:rsid w:val="0010293D"/>
    <w:rsid w:val="00102C57"/>
    <w:rsid w:val="001045A6"/>
    <w:rsid w:val="00104E9B"/>
    <w:rsid w:val="001058E0"/>
    <w:rsid w:val="00105C84"/>
    <w:rsid w:val="0010643C"/>
    <w:rsid w:val="001064A7"/>
    <w:rsid w:val="0011443F"/>
    <w:rsid w:val="0011497E"/>
    <w:rsid w:val="00114D42"/>
    <w:rsid w:val="00115103"/>
    <w:rsid w:val="00115379"/>
    <w:rsid w:val="00115462"/>
    <w:rsid w:val="00116565"/>
    <w:rsid w:val="00120A0D"/>
    <w:rsid w:val="0012304F"/>
    <w:rsid w:val="001246BC"/>
    <w:rsid w:val="00124A05"/>
    <w:rsid w:val="00124FA1"/>
    <w:rsid w:val="00125474"/>
    <w:rsid w:val="0012566F"/>
    <w:rsid w:val="001262D3"/>
    <w:rsid w:val="00126D6F"/>
    <w:rsid w:val="00127A07"/>
    <w:rsid w:val="001309A9"/>
    <w:rsid w:val="00131552"/>
    <w:rsid w:val="0013261F"/>
    <w:rsid w:val="00134800"/>
    <w:rsid w:val="00134A0B"/>
    <w:rsid w:val="00135CBF"/>
    <w:rsid w:val="00135CD7"/>
    <w:rsid w:val="001362D6"/>
    <w:rsid w:val="00142834"/>
    <w:rsid w:val="00142FD3"/>
    <w:rsid w:val="00144F4C"/>
    <w:rsid w:val="00146670"/>
    <w:rsid w:val="00146F24"/>
    <w:rsid w:val="00147E43"/>
    <w:rsid w:val="0015008F"/>
    <w:rsid w:val="00150BD1"/>
    <w:rsid w:val="00151610"/>
    <w:rsid w:val="00153984"/>
    <w:rsid w:val="00153D1F"/>
    <w:rsid w:val="00154824"/>
    <w:rsid w:val="00156D1E"/>
    <w:rsid w:val="00156EF2"/>
    <w:rsid w:val="001607D6"/>
    <w:rsid w:val="001610CA"/>
    <w:rsid w:val="001613CA"/>
    <w:rsid w:val="00161A57"/>
    <w:rsid w:val="00161E9D"/>
    <w:rsid w:val="00162CD4"/>
    <w:rsid w:val="001642C0"/>
    <w:rsid w:val="001645F1"/>
    <w:rsid w:val="00164D55"/>
    <w:rsid w:val="00165709"/>
    <w:rsid w:val="00165D62"/>
    <w:rsid w:val="00166404"/>
    <w:rsid w:val="0016743F"/>
    <w:rsid w:val="00174667"/>
    <w:rsid w:val="001766F5"/>
    <w:rsid w:val="001768A6"/>
    <w:rsid w:val="001802DE"/>
    <w:rsid w:val="001828E8"/>
    <w:rsid w:val="0018297A"/>
    <w:rsid w:val="001855FF"/>
    <w:rsid w:val="00186E9F"/>
    <w:rsid w:val="00187BEF"/>
    <w:rsid w:val="00190861"/>
    <w:rsid w:val="001914C2"/>
    <w:rsid w:val="00191CB2"/>
    <w:rsid w:val="00193933"/>
    <w:rsid w:val="00194F73"/>
    <w:rsid w:val="001951E8"/>
    <w:rsid w:val="00195399"/>
    <w:rsid w:val="00195C6D"/>
    <w:rsid w:val="001960B2"/>
    <w:rsid w:val="0019625C"/>
    <w:rsid w:val="0019764B"/>
    <w:rsid w:val="001A19BA"/>
    <w:rsid w:val="001A3800"/>
    <w:rsid w:val="001A6522"/>
    <w:rsid w:val="001A7447"/>
    <w:rsid w:val="001A7725"/>
    <w:rsid w:val="001A7E43"/>
    <w:rsid w:val="001B33B0"/>
    <w:rsid w:val="001B44EF"/>
    <w:rsid w:val="001B4FA1"/>
    <w:rsid w:val="001B5613"/>
    <w:rsid w:val="001B5FE5"/>
    <w:rsid w:val="001B69C3"/>
    <w:rsid w:val="001B79B9"/>
    <w:rsid w:val="001B7A61"/>
    <w:rsid w:val="001B7FB3"/>
    <w:rsid w:val="001C03DD"/>
    <w:rsid w:val="001C0DF4"/>
    <w:rsid w:val="001C1FEF"/>
    <w:rsid w:val="001C2230"/>
    <w:rsid w:val="001C25B6"/>
    <w:rsid w:val="001C297A"/>
    <w:rsid w:val="001C333D"/>
    <w:rsid w:val="001C3443"/>
    <w:rsid w:val="001C48A4"/>
    <w:rsid w:val="001C576C"/>
    <w:rsid w:val="001C7F27"/>
    <w:rsid w:val="001D20AB"/>
    <w:rsid w:val="001D245F"/>
    <w:rsid w:val="001D5BB9"/>
    <w:rsid w:val="001D6EE3"/>
    <w:rsid w:val="001E0DB9"/>
    <w:rsid w:val="001E1D50"/>
    <w:rsid w:val="001E4A94"/>
    <w:rsid w:val="001E4E51"/>
    <w:rsid w:val="001E6405"/>
    <w:rsid w:val="001E667D"/>
    <w:rsid w:val="001E6A1E"/>
    <w:rsid w:val="001F2FD4"/>
    <w:rsid w:val="001F30AC"/>
    <w:rsid w:val="001F5756"/>
    <w:rsid w:val="001F64CB"/>
    <w:rsid w:val="001F6807"/>
    <w:rsid w:val="001F783F"/>
    <w:rsid w:val="001F7C24"/>
    <w:rsid w:val="00201AC5"/>
    <w:rsid w:val="00202169"/>
    <w:rsid w:val="00202BDA"/>
    <w:rsid w:val="00203F12"/>
    <w:rsid w:val="002050D0"/>
    <w:rsid w:val="00205254"/>
    <w:rsid w:val="00205BC3"/>
    <w:rsid w:val="00213F46"/>
    <w:rsid w:val="00213FC6"/>
    <w:rsid w:val="002178D0"/>
    <w:rsid w:val="00217AD4"/>
    <w:rsid w:val="00217E6B"/>
    <w:rsid w:val="002207A6"/>
    <w:rsid w:val="00221E42"/>
    <w:rsid w:val="002228F8"/>
    <w:rsid w:val="00224038"/>
    <w:rsid w:val="00224284"/>
    <w:rsid w:val="00224F0E"/>
    <w:rsid w:val="002401B0"/>
    <w:rsid w:val="002401C0"/>
    <w:rsid w:val="002418DB"/>
    <w:rsid w:val="00242192"/>
    <w:rsid w:val="00244B0F"/>
    <w:rsid w:val="00245099"/>
    <w:rsid w:val="0024553D"/>
    <w:rsid w:val="00246F10"/>
    <w:rsid w:val="00247943"/>
    <w:rsid w:val="0025106C"/>
    <w:rsid w:val="002511A0"/>
    <w:rsid w:val="00251963"/>
    <w:rsid w:val="00252997"/>
    <w:rsid w:val="00253ECD"/>
    <w:rsid w:val="00254030"/>
    <w:rsid w:val="00254EB5"/>
    <w:rsid w:val="00261296"/>
    <w:rsid w:val="00261512"/>
    <w:rsid w:val="002624E9"/>
    <w:rsid w:val="002636B5"/>
    <w:rsid w:val="00263F96"/>
    <w:rsid w:val="00264CED"/>
    <w:rsid w:val="00264F1B"/>
    <w:rsid w:val="00266E32"/>
    <w:rsid w:val="00267813"/>
    <w:rsid w:val="00267ACA"/>
    <w:rsid w:val="0027007C"/>
    <w:rsid w:val="002728A8"/>
    <w:rsid w:val="00272A8E"/>
    <w:rsid w:val="00272AB0"/>
    <w:rsid w:val="00273B83"/>
    <w:rsid w:val="0027402B"/>
    <w:rsid w:val="00275FB5"/>
    <w:rsid w:val="00276138"/>
    <w:rsid w:val="0027655E"/>
    <w:rsid w:val="00282419"/>
    <w:rsid w:val="0028253D"/>
    <w:rsid w:val="00282A5F"/>
    <w:rsid w:val="00284DD5"/>
    <w:rsid w:val="0028553F"/>
    <w:rsid w:val="002858AE"/>
    <w:rsid w:val="002878FD"/>
    <w:rsid w:val="002900B3"/>
    <w:rsid w:val="00292C2B"/>
    <w:rsid w:val="0029614D"/>
    <w:rsid w:val="002A2B40"/>
    <w:rsid w:val="002A2CD8"/>
    <w:rsid w:val="002A2D5A"/>
    <w:rsid w:val="002A2ED6"/>
    <w:rsid w:val="002A3E47"/>
    <w:rsid w:val="002A60DC"/>
    <w:rsid w:val="002A7837"/>
    <w:rsid w:val="002B1A4A"/>
    <w:rsid w:val="002B273C"/>
    <w:rsid w:val="002B3725"/>
    <w:rsid w:val="002B5D56"/>
    <w:rsid w:val="002C063C"/>
    <w:rsid w:val="002C1004"/>
    <w:rsid w:val="002C1871"/>
    <w:rsid w:val="002C2AE2"/>
    <w:rsid w:val="002C4547"/>
    <w:rsid w:val="002C4F14"/>
    <w:rsid w:val="002C5839"/>
    <w:rsid w:val="002C752B"/>
    <w:rsid w:val="002D12BD"/>
    <w:rsid w:val="002D1376"/>
    <w:rsid w:val="002D2DEC"/>
    <w:rsid w:val="002D34FC"/>
    <w:rsid w:val="002D3F33"/>
    <w:rsid w:val="002D48F8"/>
    <w:rsid w:val="002D4C1A"/>
    <w:rsid w:val="002D57C2"/>
    <w:rsid w:val="002D6131"/>
    <w:rsid w:val="002D615E"/>
    <w:rsid w:val="002D6B03"/>
    <w:rsid w:val="002E1078"/>
    <w:rsid w:val="002E18D7"/>
    <w:rsid w:val="002E1F2F"/>
    <w:rsid w:val="002E39FF"/>
    <w:rsid w:val="002E3DF7"/>
    <w:rsid w:val="002E5008"/>
    <w:rsid w:val="002E732D"/>
    <w:rsid w:val="002E7CA6"/>
    <w:rsid w:val="002F1A0F"/>
    <w:rsid w:val="002F3D6C"/>
    <w:rsid w:val="002F477C"/>
    <w:rsid w:val="002F6016"/>
    <w:rsid w:val="00302451"/>
    <w:rsid w:val="00302716"/>
    <w:rsid w:val="00303B8A"/>
    <w:rsid w:val="00303D8D"/>
    <w:rsid w:val="00303DD6"/>
    <w:rsid w:val="00304E17"/>
    <w:rsid w:val="00310201"/>
    <w:rsid w:val="00310D0B"/>
    <w:rsid w:val="00310ECE"/>
    <w:rsid w:val="003123D0"/>
    <w:rsid w:val="00312467"/>
    <w:rsid w:val="0031389C"/>
    <w:rsid w:val="003152F5"/>
    <w:rsid w:val="00315BAC"/>
    <w:rsid w:val="00315F30"/>
    <w:rsid w:val="003161ED"/>
    <w:rsid w:val="00316A23"/>
    <w:rsid w:val="003172F8"/>
    <w:rsid w:val="00320075"/>
    <w:rsid w:val="00320A31"/>
    <w:rsid w:val="00320A3F"/>
    <w:rsid w:val="003215CA"/>
    <w:rsid w:val="0032171F"/>
    <w:rsid w:val="0032297D"/>
    <w:rsid w:val="0032343F"/>
    <w:rsid w:val="003239D9"/>
    <w:rsid w:val="00324583"/>
    <w:rsid w:val="00325C91"/>
    <w:rsid w:val="00327407"/>
    <w:rsid w:val="00327E59"/>
    <w:rsid w:val="003305B2"/>
    <w:rsid w:val="003306A1"/>
    <w:rsid w:val="00334A50"/>
    <w:rsid w:val="00334D1C"/>
    <w:rsid w:val="00335332"/>
    <w:rsid w:val="003366D7"/>
    <w:rsid w:val="0033687A"/>
    <w:rsid w:val="00336B96"/>
    <w:rsid w:val="0033718B"/>
    <w:rsid w:val="00337931"/>
    <w:rsid w:val="003401BC"/>
    <w:rsid w:val="00343CB8"/>
    <w:rsid w:val="0034583B"/>
    <w:rsid w:val="00346FF6"/>
    <w:rsid w:val="00350A04"/>
    <w:rsid w:val="00350D3F"/>
    <w:rsid w:val="00351068"/>
    <w:rsid w:val="00355435"/>
    <w:rsid w:val="0035571B"/>
    <w:rsid w:val="00356262"/>
    <w:rsid w:val="00360F61"/>
    <w:rsid w:val="00361426"/>
    <w:rsid w:val="00361DD8"/>
    <w:rsid w:val="00362759"/>
    <w:rsid w:val="00364050"/>
    <w:rsid w:val="00364371"/>
    <w:rsid w:val="0036442C"/>
    <w:rsid w:val="003654CD"/>
    <w:rsid w:val="00365B2D"/>
    <w:rsid w:val="00365D50"/>
    <w:rsid w:val="003668D4"/>
    <w:rsid w:val="00366C7D"/>
    <w:rsid w:val="00367443"/>
    <w:rsid w:val="00367D3B"/>
    <w:rsid w:val="00367F9E"/>
    <w:rsid w:val="0037051A"/>
    <w:rsid w:val="00370F35"/>
    <w:rsid w:val="003713E7"/>
    <w:rsid w:val="003724E9"/>
    <w:rsid w:val="003727EB"/>
    <w:rsid w:val="0037353B"/>
    <w:rsid w:val="00373AE4"/>
    <w:rsid w:val="00373D9D"/>
    <w:rsid w:val="003745FD"/>
    <w:rsid w:val="00380C99"/>
    <w:rsid w:val="003831B6"/>
    <w:rsid w:val="00383E25"/>
    <w:rsid w:val="003909E1"/>
    <w:rsid w:val="00391C6F"/>
    <w:rsid w:val="00391FA6"/>
    <w:rsid w:val="00393731"/>
    <w:rsid w:val="003947A8"/>
    <w:rsid w:val="003952ED"/>
    <w:rsid w:val="00395434"/>
    <w:rsid w:val="00395A5D"/>
    <w:rsid w:val="00397D2D"/>
    <w:rsid w:val="00397E02"/>
    <w:rsid w:val="00397F9F"/>
    <w:rsid w:val="003A1647"/>
    <w:rsid w:val="003A2F89"/>
    <w:rsid w:val="003A30BE"/>
    <w:rsid w:val="003A5A57"/>
    <w:rsid w:val="003A5DED"/>
    <w:rsid w:val="003A6E43"/>
    <w:rsid w:val="003A6F74"/>
    <w:rsid w:val="003A714E"/>
    <w:rsid w:val="003B21DD"/>
    <w:rsid w:val="003B29C5"/>
    <w:rsid w:val="003B2E15"/>
    <w:rsid w:val="003B2E74"/>
    <w:rsid w:val="003B3F77"/>
    <w:rsid w:val="003B48EF"/>
    <w:rsid w:val="003B61CD"/>
    <w:rsid w:val="003B6752"/>
    <w:rsid w:val="003C2B53"/>
    <w:rsid w:val="003C2DA2"/>
    <w:rsid w:val="003C3D7F"/>
    <w:rsid w:val="003C4F56"/>
    <w:rsid w:val="003C6E2A"/>
    <w:rsid w:val="003C7352"/>
    <w:rsid w:val="003C7394"/>
    <w:rsid w:val="003D104A"/>
    <w:rsid w:val="003D1132"/>
    <w:rsid w:val="003D14D7"/>
    <w:rsid w:val="003D424E"/>
    <w:rsid w:val="003D5446"/>
    <w:rsid w:val="003D6D17"/>
    <w:rsid w:val="003E0E58"/>
    <w:rsid w:val="003E2BA3"/>
    <w:rsid w:val="003E31EA"/>
    <w:rsid w:val="003E3DCB"/>
    <w:rsid w:val="003E6581"/>
    <w:rsid w:val="003E6B52"/>
    <w:rsid w:val="003E75D1"/>
    <w:rsid w:val="003E76B2"/>
    <w:rsid w:val="003F1CB9"/>
    <w:rsid w:val="003F2B91"/>
    <w:rsid w:val="003F3510"/>
    <w:rsid w:val="003F618A"/>
    <w:rsid w:val="003F7F31"/>
    <w:rsid w:val="0040072F"/>
    <w:rsid w:val="00401262"/>
    <w:rsid w:val="00401322"/>
    <w:rsid w:val="00402738"/>
    <w:rsid w:val="00404BF2"/>
    <w:rsid w:val="00404CED"/>
    <w:rsid w:val="00405C26"/>
    <w:rsid w:val="00407468"/>
    <w:rsid w:val="00410C72"/>
    <w:rsid w:val="004113BD"/>
    <w:rsid w:val="00416028"/>
    <w:rsid w:val="00416A62"/>
    <w:rsid w:val="00420888"/>
    <w:rsid w:val="00421049"/>
    <w:rsid w:val="0042113A"/>
    <w:rsid w:val="00422611"/>
    <w:rsid w:val="00425C7D"/>
    <w:rsid w:val="004300C6"/>
    <w:rsid w:val="00430E68"/>
    <w:rsid w:val="004333DE"/>
    <w:rsid w:val="00433E42"/>
    <w:rsid w:val="00435968"/>
    <w:rsid w:val="00435AAD"/>
    <w:rsid w:val="00435C21"/>
    <w:rsid w:val="004366A2"/>
    <w:rsid w:val="00437356"/>
    <w:rsid w:val="00437589"/>
    <w:rsid w:val="004401B1"/>
    <w:rsid w:val="004403EB"/>
    <w:rsid w:val="00442322"/>
    <w:rsid w:val="0044304B"/>
    <w:rsid w:val="004475DD"/>
    <w:rsid w:val="00447B3F"/>
    <w:rsid w:val="00453E1C"/>
    <w:rsid w:val="00454547"/>
    <w:rsid w:val="004551CA"/>
    <w:rsid w:val="00455AD4"/>
    <w:rsid w:val="0045664E"/>
    <w:rsid w:val="00457A66"/>
    <w:rsid w:val="0046134F"/>
    <w:rsid w:val="00462589"/>
    <w:rsid w:val="00463781"/>
    <w:rsid w:val="00463F39"/>
    <w:rsid w:val="0047073B"/>
    <w:rsid w:val="00471FFB"/>
    <w:rsid w:val="004728A5"/>
    <w:rsid w:val="00472906"/>
    <w:rsid w:val="00474A86"/>
    <w:rsid w:val="0047616B"/>
    <w:rsid w:val="0047676E"/>
    <w:rsid w:val="00476BD0"/>
    <w:rsid w:val="00477857"/>
    <w:rsid w:val="004817D8"/>
    <w:rsid w:val="00483BB7"/>
    <w:rsid w:val="00484A70"/>
    <w:rsid w:val="00484CE4"/>
    <w:rsid w:val="00484DC6"/>
    <w:rsid w:val="00485076"/>
    <w:rsid w:val="004852C9"/>
    <w:rsid w:val="00485870"/>
    <w:rsid w:val="00490B90"/>
    <w:rsid w:val="0049113D"/>
    <w:rsid w:val="0049132F"/>
    <w:rsid w:val="00495A30"/>
    <w:rsid w:val="0049605B"/>
    <w:rsid w:val="0049790B"/>
    <w:rsid w:val="004A03FB"/>
    <w:rsid w:val="004A1724"/>
    <w:rsid w:val="004A21B8"/>
    <w:rsid w:val="004A2FAE"/>
    <w:rsid w:val="004A511A"/>
    <w:rsid w:val="004A6443"/>
    <w:rsid w:val="004A6B15"/>
    <w:rsid w:val="004A7ABD"/>
    <w:rsid w:val="004A7D28"/>
    <w:rsid w:val="004B49EC"/>
    <w:rsid w:val="004B4C95"/>
    <w:rsid w:val="004B4E22"/>
    <w:rsid w:val="004C133B"/>
    <w:rsid w:val="004C1B31"/>
    <w:rsid w:val="004C297A"/>
    <w:rsid w:val="004C389E"/>
    <w:rsid w:val="004C3EBA"/>
    <w:rsid w:val="004C5DF3"/>
    <w:rsid w:val="004C5ED8"/>
    <w:rsid w:val="004C6901"/>
    <w:rsid w:val="004D1CED"/>
    <w:rsid w:val="004D2291"/>
    <w:rsid w:val="004D5EDF"/>
    <w:rsid w:val="004D63E3"/>
    <w:rsid w:val="004D6922"/>
    <w:rsid w:val="004D7651"/>
    <w:rsid w:val="004D77F2"/>
    <w:rsid w:val="004E1A7D"/>
    <w:rsid w:val="004E1AC6"/>
    <w:rsid w:val="004E27AE"/>
    <w:rsid w:val="004E323E"/>
    <w:rsid w:val="004E3A25"/>
    <w:rsid w:val="004E3E95"/>
    <w:rsid w:val="004E4AD6"/>
    <w:rsid w:val="004E6615"/>
    <w:rsid w:val="004E6814"/>
    <w:rsid w:val="004F0729"/>
    <w:rsid w:val="004F09E3"/>
    <w:rsid w:val="004F1275"/>
    <w:rsid w:val="004F24F2"/>
    <w:rsid w:val="004F2700"/>
    <w:rsid w:val="004F29DA"/>
    <w:rsid w:val="004F4A74"/>
    <w:rsid w:val="005024DC"/>
    <w:rsid w:val="00503095"/>
    <w:rsid w:val="00504443"/>
    <w:rsid w:val="005044E1"/>
    <w:rsid w:val="00504A5F"/>
    <w:rsid w:val="00505601"/>
    <w:rsid w:val="00505850"/>
    <w:rsid w:val="00505C9C"/>
    <w:rsid w:val="005061AA"/>
    <w:rsid w:val="005064E9"/>
    <w:rsid w:val="00506DF1"/>
    <w:rsid w:val="005071D2"/>
    <w:rsid w:val="00507B3C"/>
    <w:rsid w:val="0051322A"/>
    <w:rsid w:val="005142C0"/>
    <w:rsid w:val="00517111"/>
    <w:rsid w:val="00520AEA"/>
    <w:rsid w:val="00520BE6"/>
    <w:rsid w:val="00520C82"/>
    <w:rsid w:val="00521B07"/>
    <w:rsid w:val="005228D2"/>
    <w:rsid w:val="00524989"/>
    <w:rsid w:val="00525ABD"/>
    <w:rsid w:val="00525F88"/>
    <w:rsid w:val="0052644D"/>
    <w:rsid w:val="00527304"/>
    <w:rsid w:val="00527C61"/>
    <w:rsid w:val="00532363"/>
    <w:rsid w:val="005354AE"/>
    <w:rsid w:val="00536B9B"/>
    <w:rsid w:val="00537515"/>
    <w:rsid w:val="00537656"/>
    <w:rsid w:val="005376D6"/>
    <w:rsid w:val="00537A4D"/>
    <w:rsid w:val="00537C68"/>
    <w:rsid w:val="00540AD1"/>
    <w:rsid w:val="00545533"/>
    <w:rsid w:val="0054647F"/>
    <w:rsid w:val="0054661B"/>
    <w:rsid w:val="00550C81"/>
    <w:rsid w:val="00551B4C"/>
    <w:rsid w:val="005531EC"/>
    <w:rsid w:val="00553FBC"/>
    <w:rsid w:val="005547BF"/>
    <w:rsid w:val="00554D9D"/>
    <w:rsid w:val="005552E9"/>
    <w:rsid w:val="00555B91"/>
    <w:rsid w:val="00561393"/>
    <w:rsid w:val="00561FE2"/>
    <w:rsid w:val="00562D02"/>
    <w:rsid w:val="0056315C"/>
    <w:rsid w:val="0056335A"/>
    <w:rsid w:val="00563E7E"/>
    <w:rsid w:val="005642DD"/>
    <w:rsid w:val="00564C9B"/>
    <w:rsid w:val="00571647"/>
    <w:rsid w:val="00571819"/>
    <w:rsid w:val="00572DA2"/>
    <w:rsid w:val="00576028"/>
    <w:rsid w:val="005763DB"/>
    <w:rsid w:val="005775FE"/>
    <w:rsid w:val="00577677"/>
    <w:rsid w:val="0058017E"/>
    <w:rsid w:val="00581327"/>
    <w:rsid w:val="00581C97"/>
    <w:rsid w:val="0058265B"/>
    <w:rsid w:val="00582D22"/>
    <w:rsid w:val="0058388D"/>
    <w:rsid w:val="005839E3"/>
    <w:rsid w:val="00585A0A"/>
    <w:rsid w:val="00585B36"/>
    <w:rsid w:val="005864AD"/>
    <w:rsid w:val="00587061"/>
    <w:rsid w:val="00587F82"/>
    <w:rsid w:val="00591B8C"/>
    <w:rsid w:val="00593090"/>
    <w:rsid w:val="005954B4"/>
    <w:rsid w:val="00595CAD"/>
    <w:rsid w:val="00595FD2"/>
    <w:rsid w:val="0059682A"/>
    <w:rsid w:val="00596CED"/>
    <w:rsid w:val="005A17AC"/>
    <w:rsid w:val="005A2501"/>
    <w:rsid w:val="005A2AF1"/>
    <w:rsid w:val="005A3968"/>
    <w:rsid w:val="005A44FF"/>
    <w:rsid w:val="005A5299"/>
    <w:rsid w:val="005A7328"/>
    <w:rsid w:val="005A7A4D"/>
    <w:rsid w:val="005A7E70"/>
    <w:rsid w:val="005B006B"/>
    <w:rsid w:val="005B12FA"/>
    <w:rsid w:val="005B1718"/>
    <w:rsid w:val="005B2A69"/>
    <w:rsid w:val="005B4768"/>
    <w:rsid w:val="005B493E"/>
    <w:rsid w:val="005B7249"/>
    <w:rsid w:val="005C01AE"/>
    <w:rsid w:val="005C025A"/>
    <w:rsid w:val="005C11B5"/>
    <w:rsid w:val="005C1943"/>
    <w:rsid w:val="005C3C3C"/>
    <w:rsid w:val="005C41EF"/>
    <w:rsid w:val="005C575F"/>
    <w:rsid w:val="005C60BB"/>
    <w:rsid w:val="005C6A0D"/>
    <w:rsid w:val="005C6BBE"/>
    <w:rsid w:val="005C6D52"/>
    <w:rsid w:val="005C6DB6"/>
    <w:rsid w:val="005C7415"/>
    <w:rsid w:val="005D053D"/>
    <w:rsid w:val="005D0910"/>
    <w:rsid w:val="005D42A6"/>
    <w:rsid w:val="005D42B1"/>
    <w:rsid w:val="005D59CD"/>
    <w:rsid w:val="005D738B"/>
    <w:rsid w:val="005E0B44"/>
    <w:rsid w:val="005E1864"/>
    <w:rsid w:val="005E236A"/>
    <w:rsid w:val="005E3B90"/>
    <w:rsid w:val="005E419A"/>
    <w:rsid w:val="005E51FF"/>
    <w:rsid w:val="005E58E1"/>
    <w:rsid w:val="005E5B24"/>
    <w:rsid w:val="005E5B52"/>
    <w:rsid w:val="005E5ECB"/>
    <w:rsid w:val="005E6125"/>
    <w:rsid w:val="005E7020"/>
    <w:rsid w:val="005F084E"/>
    <w:rsid w:val="005F0A8A"/>
    <w:rsid w:val="005F3FF0"/>
    <w:rsid w:val="005F4524"/>
    <w:rsid w:val="005F4ABC"/>
    <w:rsid w:val="005F5EB0"/>
    <w:rsid w:val="005F772B"/>
    <w:rsid w:val="005F7A84"/>
    <w:rsid w:val="0060060A"/>
    <w:rsid w:val="00602381"/>
    <w:rsid w:val="006028B1"/>
    <w:rsid w:val="00602E5F"/>
    <w:rsid w:val="00603141"/>
    <w:rsid w:val="00603B79"/>
    <w:rsid w:val="00603B91"/>
    <w:rsid w:val="00604274"/>
    <w:rsid w:val="0060552B"/>
    <w:rsid w:val="00611326"/>
    <w:rsid w:val="00611C5C"/>
    <w:rsid w:val="00611EFE"/>
    <w:rsid w:val="0061260D"/>
    <w:rsid w:val="00612725"/>
    <w:rsid w:val="0061416D"/>
    <w:rsid w:val="006146A8"/>
    <w:rsid w:val="00614E76"/>
    <w:rsid w:val="006155CF"/>
    <w:rsid w:val="006160C8"/>
    <w:rsid w:val="00621963"/>
    <w:rsid w:val="006223AD"/>
    <w:rsid w:val="00623B0C"/>
    <w:rsid w:val="006257D7"/>
    <w:rsid w:val="00626065"/>
    <w:rsid w:val="00626382"/>
    <w:rsid w:val="00632A2F"/>
    <w:rsid w:val="00634862"/>
    <w:rsid w:val="00635DD9"/>
    <w:rsid w:val="00635F63"/>
    <w:rsid w:val="00640878"/>
    <w:rsid w:val="00643505"/>
    <w:rsid w:val="0064499D"/>
    <w:rsid w:val="006454CC"/>
    <w:rsid w:val="0064654D"/>
    <w:rsid w:val="0064668C"/>
    <w:rsid w:val="006478ED"/>
    <w:rsid w:val="00647974"/>
    <w:rsid w:val="00650A3A"/>
    <w:rsid w:val="00650A73"/>
    <w:rsid w:val="006529D6"/>
    <w:rsid w:val="00653FBB"/>
    <w:rsid w:val="0065523B"/>
    <w:rsid w:val="0065675B"/>
    <w:rsid w:val="00660A8C"/>
    <w:rsid w:val="0066376E"/>
    <w:rsid w:val="00663D34"/>
    <w:rsid w:val="006642E5"/>
    <w:rsid w:val="0066436B"/>
    <w:rsid w:val="00664659"/>
    <w:rsid w:val="006648C4"/>
    <w:rsid w:val="006669D1"/>
    <w:rsid w:val="00667BA1"/>
    <w:rsid w:val="0067027E"/>
    <w:rsid w:val="0067043D"/>
    <w:rsid w:val="00670BEE"/>
    <w:rsid w:val="0067115A"/>
    <w:rsid w:val="0067201E"/>
    <w:rsid w:val="006723C7"/>
    <w:rsid w:val="006733E8"/>
    <w:rsid w:val="00674429"/>
    <w:rsid w:val="006756EC"/>
    <w:rsid w:val="006756FC"/>
    <w:rsid w:val="00675820"/>
    <w:rsid w:val="00675A09"/>
    <w:rsid w:val="00675D0C"/>
    <w:rsid w:val="00675EBD"/>
    <w:rsid w:val="00676235"/>
    <w:rsid w:val="00676F20"/>
    <w:rsid w:val="00680B54"/>
    <w:rsid w:val="00682D20"/>
    <w:rsid w:val="0068337D"/>
    <w:rsid w:val="00683E88"/>
    <w:rsid w:val="00685043"/>
    <w:rsid w:val="00685126"/>
    <w:rsid w:val="0068657C"/>
    <w:rsid w:val="006952F0"/>
    <w:rsid w:val="006963D2"/>
    <w:rsid w:val="006973A5"/>
    <w:rsid w:val="00697575"/>
    <w:rsid w:val="006A00DF"/>
    <w:rsid w:val="006A062A"/>
    <w:rsid w:val="006A1E09"/>
    <w:rsid w:val="006A3419"/>
    <w:rsid w:val="006A3C9A"/>
    <w:rsid w:val="006A4148"/>
    <w:rsid w:val="006A437E"/>
    <w:rsid w:val="006A54C3"/>
    <w:rsid w:val="006A5DB5"/>
    <w:rsid w:val="006A62C6"/>
    <w:rsid w:val="006A640B"/>
    <w:rsid w:val="006A7A3C"/>
    <w:rsid w:val="006A7ECC"/>
    <w:rsid w:val="006B03F0"/>
    <w:rsid w:val="006B19D1"/>
    <w:rsid w:val="006B2ADD"/>
    <w:rsid w:val="006B2CA3"/>
    <w:rsid w:val="006B2F86"/>
    <w:rsid w:val="006B3936"/>
    <w:rsid w:val="006B3B72"/>
    <w:rsid w:val="006B5123"/>
    <w:rsid w:val="006B5EA5"/>
    <w:rsid w:val="006B60A6"/>
    <w:rsid w:val="006B650F"/>
    <w:rsid w:val="006B68CC"/>
    <w:rsid w:val="006B7DE5"/>
    <w:rsid w:val="006C035F"/>
    <w:rsid w:val="006C3AF8"/>
    <w:rsid w:val="006C3BE5"/>
    <w:rsid w:val="006C4385"/>
    <w:rsid w:val="006C4E14"/>
    <w:rsid w:val="006C5A37"/>
    <w:rsid w:val="006C6CFF"/>
    <w:rsid w:val="006C6D8D"/>
    <w:rsid w:val="006C6DCB"/>
    <w:rsid w:val="006C7AFD"/>
    <w:rsid w:val="006D0B66"/>
    <w:rsid w:val="006D0B7D"/>
    <w:rsid w:val="006D1635"/>
    <w:rsid w:val="006D182D"/>
    <w:rsid w:val="006D23EF"/>
    <w:rsid w:val="006D2B74"/>
    <w:rsid w:val="006D3577"/>
    <w:rsid w:val="006D3D9F"/>
    <w:rsid w:val="006D5E66"/>
    <w:rsid w:val="006D7467"/>
    <w:rsid w:val="006D74B0"/>
    <w:rsid w:val="006D7A25"/>
    <w:rsid w:val="006E0634"/>
    <w:rsid w:val="006E0B29"/>
    <w:rsid w:val="006E0DB3"/>
    <w:rsid w:val="006E18EC"/>
    <w:rsid w:val="006E1DBB"/>
    <w:rsid w:val="006E27F8"/>
    <w:rsid w:val="006E335A"/>
    <w:rsid w:val="006E3A3B"/>
    <w:rsid w:val="006E6C76"/>
    <w:rsid w:val="006E7261"/>
    <w:rsid w:val="006F0636"/>
    <w:rsid w:val="006F0FDF"/>
    <w:rsid w:val="006F4A34"/>
    <w:rsid w:val="006F5022"/>
    <w:rsid w:val="007000AB"/>
    <w:rsid w:val="0070077F"/>
    <w:rsid w:val="00700BFA"/>
    <w:rsid w:val="00704FBA"/>
    <w:rsid w:val="00705401"/>
    <w:rsid w:val="007075B3"/>
    <w:rsid w:val="00710350"/>
    <w:rsid w:val="007201F3"/>
    <w:rsid w:val="007204F9"/>
    <w:rsid w:val="00720B0E"/>
    <w:rsid w:val="00722BC3"/>
    <w:rsid w:val="007243C9"/>
    <w:rsid w:val="00724502"/>
    <w:rsid w:val="007246B8"/>
    <w:rsid w:val="007251C1"/>
    <w:rsid w:val="00725295"/>
    <w:rsid w:val="00725BE6"/>
    <w:rsid w:val="00726439"/>
    <w:rsid w:val="007270C0"/>
    <w:rsid w:val="00730B38"/>
    <w:rsid w:val="00732A91"/>
    <w:rsid w:val="0073410F"/>
    <w:rsid w:val="00734471"/>
    <w:rsid w:val="007366FE"/>
    <w:rsid w:val="007403DA"/>
    <w:rsid w:val="00742303"/>
    <w:rsid w:val="00742971"/>
    <w:rsid w:val="00743530"/>
    <w:rsid w:val="0074441D"/>
    <w:rsid w:val="00744504"/>
    <w:rsid w:val="00744C93"/>
    <w:rsid w:val="00746400"/>
    <w:rsid w:val="00746582"/>
    <w:rsid w:val="007475DE"/>
    <w:rsid w:val="00747A85"/>
    <w:rsid w:val="00747C2E"/>
    <w:rsid w:val="0075147D"/>
    <w:rsid w:val="00751801"/>
    <w:rsid w:val="00752180"/>
    <w:rsid w:val="0075302C"/>
    <w:rsid w:val="00754744"/>
    <w:rsid w:val="0075587C"/>
    <w:rsid w:val="00755B46"/>
    <w:rsid w:val="007560A8"/>
    <w:rsid w:val="00757607"/>
    <w:rsid w:val="00757E86"/>
    <w:rsid w:val="00757EA3"/>
    <w:rsid w:val="00760C39"/>
    <w:rsid w:val="00761A85"/>
    <w:rsid w:val="00761C3F"/>
    <w:rsid w:val="0076384E"/>
    <w:rsid w:val="007642B3"/>
    <w:rsid w:val="007656CF"/>
    <w:rsid w:val="00766022"/>
    <w:rsid w:val="00766D42"/>
    <w:rsid w:val="007673D0"/>
    <w:rsid w:val="0077118A"/>
    <w:rsid w:val="007725F7"/>
    <w:rsid w:val="00772999"/>
    <w:rsid w:val="00772E8C"/>
    <w:rsid w:val="00773BB4"/>
    <w:rsid w:val="00774F0B"/>
    <w:rsid w:val="00777FD3"/>
    <w:rsid w:val="00781826"/>
    <w:rsid w:val="007836B5"/>
    <w:rsid w:val="00783B41"/>
    <w:rsid w:val="00785CFA"/>
    <w:rsid w:val="00786866"/>
    <w:rsid w:val="00790AE2"/>
    <w:rsid w:val="007948B6"/>
    <w:rsid w:val="00794DCF"/>
    <w:rsid w:val="00794FB6"/>
    <w:rsid w:val="00796120"/>
    <w:rsid w:val="0079753B"/>
    <w:rsid w:val="007A1BB8"/>
    <w:rsid w:val="007A35E0"/>
    <w:rsid w:val="007A6FBF"/>
    <w:rsid w:val="007A7909"/>
    <w:rsid w:val="007A7D73"/>
    <w:rsid w:val="007B02A8"/>
    <w:rsid w:val="007B17AD"/>
    <w:rsid w:val="007B5891"/>
    <w:rsid w:val="007B5D5A"/>
    <w:rsid w:val="007B5FE5"/>
    <w:rsid w:val="007B657D"/>
    <w:rsid w:val="007C0171"/>
    <w:rsid w:val="007C1FCA"/>
    <w:rsid w:val="007C2872"/>
    <w:rsid w:val="007C2F0D"/>
    <w:rsid w:val="007C4A76"/>
    <w:rsid w:val="007C4C83"/>
    <w:rsid w:val="007C5704"/>
    <w:rsid w:val="007C58D4"/>
    <w:rsid w:val="007C64E9"/>
    <w:rsid w:val="007D02A1"/>
    <w:rsid w:val="007D1A1C"/>
    <w:rsid w:val="007D4025"/>
    <w:rsid w:val="007D4984"/>
    <w:rsid w:val="007D4AC5"/>
    <w:rsid w:val="007D52B7"/>
    <w:rsid w:val="007D666C"/>
    <w:rsid w:val="007D6C66"/>
    <w:rsid w:val="007E029B"/>
    <w:rsid w:val="007E0BF1"/>
    <w:rsid w:val="007E0CE4"/>
    <w:rsid w:val="007E2C86"/>
    <w:rsid w:val="007E33A6"/>
    <w:rsid w:val="007E37FD"/>
    <w:rsid w:val="007E4E82"/>
    <w:rsid w:val="007E5F13"/>
    <w:rsid w:val="007E78B4"/>
    <w:rsid w:val="007E7B36"/>
    <w:rsid w:val="007F07AB"/>
    <w:rsid w:val="007F0962"/>
    <w:rsid w:val="007F0A89"/>
    <w:rsid w:val="007F10A4"/>
    <w:rsid w:val="007F16CA"/>
    <w:rsid w:val="007F1F07"/>
    <w:rsid w:val="007F2D02"/>
    <w:rsid w:val="007F39E1"/>
    <w:rsid w:val="007F40D6"/>
    <w:rsid w:val="007F45C8"/>
    <w:rsid w:val="007F61C7"/>
    <w:rsid w:val="007F6300"/>
    <w:rsid w:val="00801132"/>
    <w:rsid w:val="008030F5"/>
    <w:rsid w:val="00803E55"/>
    <w:rsid w:val="0080505A"/>
    <w:rsid w:val="0080589F"/>
    <w:rsid w:val="00805B5F"/>
    <w:rsid w:val="00805FC0"/>
    <w:rsid w:val="00806205"/>
    <w:rsid w:val="008066BB"/>
    <w:rsid w:val="00806F9C"/>
    <w:rsid w:val="00807F85"/>
    <w:rsid w:val="008102BB"/>
    <w:rsid w:val="00811FE2"/>
    <w:rsid w:val="0081429A"/>
    <w:rsid w:val="00816AF0"/>
    <w:rsid w:val="00816C4C"/>
    <w:rsid w:val="008175B9"/>
    <w:rsid w:val="00821693"/>
    <w:rsid w:val="0082348D"/>
    <w:rsid w:val="008268CD"/>
    <w:rsid w:val="008270D7"/>
    <w:rsid w:val="008315F2"/>
    <w:rsid w:val="00833844"/>
    <w:rsid w:val="0083413A"/>
    <w:rsid w:val="00835E99"/>
    <w:rsid w:val="008404DA"/>
    <w:rsid w:val="008454CD"/>
    <w:rsid w:val="008456CB"/>
    <w:rsid w:val="00846667"/>
    <w:rsid w:val="008466DF"/>
    <w:rsid w:val="00847E22"/>
    <w:rsid w:val="00850043"/>
    <w:rsid w:val="00851A29"/>
    <w:rsid w:val="00851DC6"/>
    <w:rsid w:val="0085398E"/>
    <w:rsid w:val="00854190"/>
    <w:rsid w:val="00855C1D"/>
    <w:rsid w:val="00856019"/>
    <w:rsid w:val="00857D12"/>
    <w:rsid w:val="008611A0"/>
    <w:rsid w:val="00862465"/>
    <w:rsid w:val="00864495"/>
    <w:rsid w:val="00864784"/>
    <w:rsid w:val="00864AC0"/>
    <w:rsid w:val="008659F5"/>
    <w:rsid w:val="008667B0"/>
    <w:rsid w:val="008676B2"/>
    <w:rsid w:val="00870102"/>
    <w:rsid w:val="00870714"/>
    <w:rsid w:val="00870D1C"/>
    <w:rsid w:val="00871DD4"/>
    <w:rsid w:val="008722D9"/>
    <w:rsid w:val="00872847"/>
    <w:rsid w:val="00872976"/>
    <w:rsid w:val="00872B18"/>
    <w:rsid w:val="00873666"/>
    <w:rsid w:val="008743BF"/>
    <w:rsid w:val="0087441A"/>
    <w:rsid w:val="0087452E"/>
    <w:rsid w:val="00877D52"/>
    <w:rsid w:val="00881CB5"/>
    <w:rsid w:val="00881D23"/>
    <w:rsid w:val="008820E6"/>
    <w:rsid w:val="00882583"/>
    <w:rsid w:val="008825F4"/>
    <w:rsid w:val="0088279B"/>
    <w:rsid w:val="00884E72"/>
    <w:rsid w:val="008857AA"/>
    <w:rsid w:val="0089060C"/>
    <w:rsid w:val="00890D45"/>
    <w:rsid w:val="00891074"/>
    <w:rsid w:val="008910AF"/>
    <w:rsid w:val="008919FD"/>
    <w:rsid w:val="00892903"/>
    <w:rsid w:val="00892B10"/>
    <w:rsid w:val="0089312E"/>
    <w:rsid w:val="00893782"/>
    <w:rsid w:val="00893FAA"/>
    <w:rsid w:val="00895ED5"/>
    <w:rsid w:val="00895EF3"/>
    <w:rsid w:val="00897332"/>
    <w:rsid w:val="008A0F96"/>
    <w:rsid w:val="008A1BEE"/>
    <w:rsid w:val="008A21AE"/>
    <w:rsid w:val="008A304A"/>
    <w:rsid w:val="008A389F"/>
    <w:rsid w:val="008A3A35"/>
    <w:rsid w:val="008A531D"/>
    <w:rsid w:val="008A594F"/>
    <w:rsid w:val="008B0EB9"/>
    <w:rsid w:val="008B1328"/>
    <w:rsid w:val="008B3232"/>
    <w:rsid w:val="008B3FEF"/>
    <w:rsid w:val="008B6D55"/>
    <w:rsid w:val="008C3B72"/>
    <w:rsid w:val="008C3E6D"/>
    <w:rsid w:val="008C4379"/>
    <w:rsid w:val="008C5FB5"/>
    <w:rsid w:val="008C67EB"/>
    <w:rsid w:val="008C782F"/>
    <w:rsid w:val="008C7E08"/>
    <w:rsid w:val="008D0F71"/>
    <w:rsid w:val="008D1230"/>
    <w:rsid w:val="008D2512"/>
    <w:rsid w:val="008D487B"/>
    <w:rsid w:val="008D49F6"/>
    <w:rsid w:val="008D5313"/>
    <w:rsid w:val="008D576F"/>
    <w:rsid w:val="008D6C27"/>
    <w:rsid w:val="008D7CA2"/>
    <w:rsid w:val="008E02B4"/>
    <w:rsid w:val="008E0A13"/>
    <w:rsid w:val="008E1318"/>
    <w:rsid w:val="008E1BD7"/>
    <w:rsid w:val="008E265E"/>
    <w:rsid w:val="008E2A55"/>
    <w:rsid w:val="008E31EC"/>
    <w:rsid w:val="008E37FC"/>
    <w:rsid w:val="008E48CE"/>
    <w:rsid w:val="008E56B6"/>
    <w:rsid w:val="008F06AA"/>
    <w:rsid w:val="008F11D5"/>
    <w:rsid w:val="008F472D"/>
    <w:rsid w:val="008F621B"/>
    <w:rsid w:val="008F659D"/>
    <w:rsid w:val="008F69D5"/>
    <w:rsid w:val="008F6F41"/>
    <w:rsid w:val="0090211A"/>
    <w:rsid w:val="009025CC"/>
    <w:rsid w:val="00903A4E"/>
    <w:rsid w:val="009047C8"/>
    <w:rsid w:val="00904D42"/>
    <w:rsid w:val="0090528F"/>
    <w:rsid w:val="009065D8"/>
    <w:rsid w:val="00906FDC"/>
    <w:rsid w:val="00907436"/>
    <w:rsid w:val="00907818"/>
    <w:rsid w:val="009100B7"/>
    <w:rsid w:val="00910CBA"/>
    <w:rsid w:val="00912FA3"/>
    <w:rsid w:val="00912FEF"/>
    <w:rsid w:val="009139AF"/>
    <w:rsid w:val="00914FD1"/>
    <w:rsid w:val="00915B01"/>
    <w:rsid w:val="00915CEC"/>
    <w:rsid w:val="0091603D"/>
    <w:rsid w:val="009224FC"/>
    <w:rsid w:val="00926110"/>
    <w:rsid w:val="009263C2"/>
    <w:rsid w:val="009308CD"/>
    <w:rsid w:val="00930E42"/>
    <w:rsid w:val="009330DE"/>
    <w:rsid w:val="009331BD"/>
    <w:rsid w:val="00934899"/>
    <w:rsid w:val="009358CC"/>
    <w:rsid w:val="00937940"/>
    <w:rsid w:val="009420E7"/>
    <w:rsid w:val="009430BD"/>
    <w:rsid w:val="00943C78"/>
    <w:rsid w:val="00943FFA"/>
    <w:rsid w:val="00944D10"/>
    <w:rsid w:val="00945AF2"/>
    <w:rsid w:val="009471C7"/>
    <w:rsid w:val="00947AC8"/>
    <w:rsid w:val="00947BA5"/>
    <w:rsid w:val="00950AD8"/>
    <w:rsid w:val="00951A46"/>
    <w:rsid w:val="0095568B"/>
    <w:rsid w:val="009563E8"/>
    <w:rsid w:val="00957974"/>
    <w:rsid w:val="00957FF9"/>
    <w:rsid w:val="00960232"/>
    <w:rsid w:val="00961386"/>
    <w:rsid w:val="00962A49"/>
    <w:rsid w:val="009638B3"/>
    <w:rsid w:val="00970450"/>
    <w:rsid w:val="00970853"/>
    <w:rsid w:val="0097099D"/>
    <w:rsid w:val="00975546"/>
    <w:rsid w:val="00976AD3"/>
    <w:rsid w:val="00977317"/>
    <w:rsid w:val="009774DC"/>
    <w:rsid w:val="00977832"/>
    <w:rsid w:val="009808F6"/>
    <w:rsid w:val="0098288C"/>
    <w:rsid w:val="00983579"/>
    <w:rsid w:val="0098366D"/>
    <w:rsid w:val="009836A6"/>
    <w:rsid w:val="0098573B"/>
    <w:rsid w:val="00996EDA"/>
    <w:rsid w:val="009977AA"/>
    <w:rsid w:val="009A05A6"/>
    <w:rsid w:val="009A1DCA"/>
    <w:rsid w:val="009A24CC"/>
    <w:rsid w:val="009A3086"/>
    <w:rsid w:val="009A4139"/>
    <w:rsid w:val="009A4429"/>
    <w:rsid w:val="009A4D08"/>
    <w:rsid w:val="009A5048"/>
    <w:rsid w:val="009A515B"/>
    <w:rsid w:val="009A6092"/>
    <w:rsid w:val="009A6859"/>
    <w:rsid w:val="009A7905"/>
    <w:rsid w:val="009B0181"/>
    <w:rsid w:val="009B4613"/>
    <w:rsid w:val="009B4FEE"/>
    <w:rsid w:val="009B6DA6"/>
    <w:rsid w:val="009B7C12"/>
    <w:rsid w:val="009B7D7F"/>
    <w:rsid w:val="009C181E"/>
    <w:rsid w:val="009C4DDF"/>
    <w:rsid w:val="009C5136"/>
    <w:rsid w:val="009C63C2"/>
    <w:rsid w:val="009C6555"/>
    <w:rsid w:val="009D150F"/>
    <w:rsid w:val="009D5E6C"/>
    <w:rsid w:val="009D73C5"/>
    <w:rsid w:val="009E2261"/>
    <w:rsid w:val="009E2662"/>
    <w:rsid w:val="009E36B5"/>
    <w:rsid w:val="009E3AA1"/>
    <w:rsid w:val="009F012D"/>
    <w:rsid w:val="009F0CA8"/>
    <w:rsid w:val="009F1744"/>
    <w:rsid w:val="009F1949"/>
    <w:rsid w:val="009F1A8B"/>
    <w:rsid w:val="009F4198"/>
    <w:rsid w:val="009F569C"/>
    <w:rsid w:val="009F5B5C"/>
    <w:rsid w:val="009F5C2E"/>
    <w:rsid w:val="009F7CC2"/>
    <w:rsid w:val="00A00BF5"/>
    <w:rsid w:val="00A01EB4"/>
    <w:rsid w:val="00A020B8"/>
    <w:rsid w:val="00A02527"/>
    <w:rsid w:val="00A0532F"/>
    <w:rsid w:val="00A06127"/>
    <w:rsid w:val="00A071F3"/>
    <w:rsid w:val="00A07E80"/>
    <w:rsid w:val="00A1037F"/>
    <w:rsid w:val="00A10A9C"/>
    <w:rsid w:val="00A114A1"/>
    <w:rsid w:val="00A12522"/>
    <w:rsid w:val="00A144A3"/>
    <w:rsid w:val="00A14650"/>
    <w:rsid w:val="00A14763"/>
    <w:rsid w:val="00A16762"/>
    <w:rsid w:val="00A1688A"/>
    <w:rsid w:val="00A177F0"/>
    <w:rsid w:val="00A22DEF"/>
    <w:rsid w:val="00A22F5D"/>
    <w:rsid w:val="00A2430B"/>
    <w:rsid w:val="00A257D9"/>
    <w:rsid w:val="00A25F05"/>
    <w:rsid w:val="00A26182"/>
    <w:rsid w:val="00A26EDB"/>
    <w:rsid w:val="00A2750F"/>
    <w:rsid w:val="00A278C7"/>
    <w:rsid w:val="00A414E1"/>
    <w:rsid w:val="00A41BA7"/>
    <w:rsid w:val="00A42EAA"/>
    <w:rsid w:val="00A43387"/>
    <w:rsid w:val="00A43682"/>
    <w:rsid w:val="00A46415"/>
    <w:rsid w:val="00A46AFF"/>
    <w:rsid w:val="00A4779D"/>
    <w:rsid w:val="00A50114"/>
    <w:rsid w:val="00A51840"/>
    <w:rsid w:val="00A520B1"/>
    <w:rsid w:val="00A55739"/>
    <w:rsid w:val="00A60208"/>
    <w:rsid w:val="00A60B81"/>
    <w:rsid w:val="00A6286E"/>
    <w:rsid w:val="00A6400E"/>
    <w:rsid w:val="00A64535"/>
    <w:rsid w:val="00A666C1"/>
    <w:rsid w:val="00A7019E"/>
    <w:rsid w:val="00A70AFB"/>
    <w:rsid w:val="00A7149F"/>
    <w:rsid w:val="00A71A8B"/>
    <w:rsid w:val="00A71F9A"/>
    <w:rsid w:val="00A72EC7"/>
    <w:rsid w:val="00A73218"/>
    <w:rsid w:val="00A732A1"/>
    <w:rsid w:val="00A745C6"/>
    <w:rsid w:val="00A757DD"/>
    <w:rsid w:val="00A767D3"/>
    <w:rsid w:val="00A80ECC"/>
    <w:rsid w:val="00A81442"/>
    <w:rsid w:val="00A84275"/>
    <w:rsid w:val="00A85E41"/>
    <w:rsid w:val="00A8617F"/>
    <w:rsid w:val="00A8750A"/>
    <w:rsid w:val="00A87E96"/>
    <w:rsid w:val="00A90878"/>
    <w:rsid w:val="00A908BE"/>
    <w:rsid w:val="00A9273C"/>
    <w:rsid w:val="00A928C2"/>
    <w:rsid w:val="00A929EE"/>
    <w:rsid w:val="00A941CA"/>
    <w:rsid w:val="00A95C21"/>
    <w:rsid w:val="00A97B14"/>
    <w:rsid w:val="00AA0055"/>
    <w:rsid w:val="00AA0A59"/>
    <w:rsid w:val="00AA1435"/>
    <w:rsid w:val="00AA16B8"/>
    <w:rsid w:val="00AA24D9"/>
    <w:rsid w:val="00AA2604"/>
    <w:rsid w:val="00AA2D4E"/>
    <w:rsid w:val="00AA3035"/>
    <w:rsid w:val="00AA6103"/>
    <w:rsid w:val="00AA6176"/>
    <w:rsid w:val="00AA6453"/>
    <w:rsid w:val="00AA66C1"/>
    <w:rsid w:val="00AA6BA4"/>
    <w:rsid w:val="00AB018D"/>
    <w:rsid w:val="00AB0580"/>
    <w:rsid w:val="00AB12AC"/>
    <w:rsid w:val="00AB1947"/>
    <w:rsid w:val="00AB24BA"/>
    <w:rsid w:val="00AB342B"/>
    <w:rsid w:val="00AB352D"/>
    <w:rsid w:val="00AB36AC"/>
    <w:rsid w:val="00AB39A4"/>
    <w:rsid w:val="00AB4419"/>
    <w:rsid w:val="00AC08E3"/>
    <w:rsid w:val="00AC0E0C"/>
    <w:rsid w:val="00AC1037"/>
    <w:rsid w:val="00AC12D8"/>
    <w:rsid w:val="00AC3C60"/>
    <w:rsid w:val="00AC57E5"/>
    <w:rsid w:val="00AC5A00"/>
    <w:rsid w:val="00AC75B5"/>
    <w:rsid w:val="00AD068B"/>
    <w:rsid w:val="00AD0B10"/>
    <w:rsid w:val="00AD2C6F"/>
    <w:rsid w:val="00AD4668"/>
    <w:rsid w:val="00AD4CC5"/>
    <w:rsid w:val="00AE125F"/>
    <w:rsid w:val="00AE1994"/>
    <w:rsid w:val="00AE3164"/>
    <w:rsid w:val="00AE69C7"/>
    <w:rsid w:val="00AF11ED"/>
    <w:rsid w:val="00AF218D"/>
    <w:rsid w:val="00AF36FE"/>
    <w:rsid w:val="00AF38C7"/>
    <w:rsid w:val="00AF3F59"/>
    <w:rsid w:val="00AF4DF3"/>
    <w:rsid w:val="00AF7F7E"/>
    <w:rsid w:val="00B03E8F"/>
    <w:rsid w:val="00B04775"/>
    <w:rsid w:val="00B05188"/>
    <w:rsid w:val="00B05DAB"/>
    <w:rsid w:val="00B067AB"/>
    <w:rsid w:val="00B06C78"/>
    <w:rsid w:val="00B06E15"/>
    <w:rsid w:val="00B07CAE"/>
    <w:rsid w:val="00B10A25"/>
    <w:rsid w:val="00B10C17"/>
    <w:rsid w:val="00B10FE5"/>
    <w:rsid w:val="00B11E30"/>
    <w:rsid w:val="00B13428"/>
    <w:rsid w:val="00B16925"/>
    <w:rsid w:val="00B16F18"/>
    <w:rsid w:val="00B1705E"/>
    <w:rsid w:val="00B20BCD"/>
    <w:rsid w:val="00B22F63"/>
    <w:rsid w:val="00B235CA"/>
    <w:rsid w:val="00B25140"/>
    <w:rsid w:val="00B2588D"/>
    <w:rsid w:val="00B25E96"/>
    <w:rsid w:val="00B2642F"/>
    <w:rsid w:val="00B2720B"/>
    <w:rsid w:val="00B27646"/>
    <w:rsid w:val="00B3003D"/>
    <w:rsid w:val="00B30573"/>
    <w:rsid w:val="00B3068D"/>
    <w:rsid w:val="00B32114"/>
    <w:rsid w:val="00B3228D"/>
    <w:rsid w:val="00B3306E"/>
    <w:rsid w:val="00B33525"/>
    <w:rsid w:val="00B337FB"/>
    <w:rsid w:val="00B33E7B"/>
    <w:rsid w:val="00B34EF4"/>
    <w:rsid w:val="00B36071"/>
    <w:rsid w:val="00B37513"/>
    <w:rsid w:val="00B403E8"/>
    <w:rsid w:val="00B4285D"/>
    <w:rsid w:val="00B4316B"/>
    <w:rsid w:val="00B44088"/>
    <w:rsid w:val="00B445A6"/>
    <w:rsid w:val="00B447B3"/>
    <w:rsid w:val="00B45293"/>
    <w:rsid w:val="00B461D8"/>
    <w:rsid w:val="00B4671E"/>
    <w:rsid w:val="00B46B97"/>
    <w:rsid w:val="00B4716E"/>
    <w:rsid w:val="00B506AC"/>
    <w:rsid w:val="00B5087D"/>
    <w:rsid w:val="00B518BF"/>
    <w:rsid w:val="00B52170"/>
    <w:rsid w:val="00B521E9"/>
    <w:rsid w:val="00B547AE"/>
    <w:rsid w:val="00B56AE5"/>
    <w:rsid w:val="00B57E29"/>
    <w:rsid w:val="00B639BE"/>
    <w:rsid w:val="00B63AFC"/>
    <w:rsid w:val="00B64423"/>
    <w:rsid w:val="00B64486"/>
    <w:rsid w:val="00B65809"/>
    <w:rsid w:val="00B65AF9"/>
    <w:rsid w:val="00B717E7"/>
    <w:rsid w:val="00B729D5"/>
    <w:rsid w:val="00B7479B"/>
    <w:rsid w:val="00B74A72"/>
    <w:rsid w:val="00B76371"/>
    <w:rsid w:val="00B806C2"/>
    <w:rsid w:val="00B8098A"/>
    <w:rsid w:val="00B80CC0"/>
    <w:rsid w:val="00B82C4A"/>
    <w:rsid w:val="00B83E9D"/>
    <w:rsid w:val="00B8455A"/>
    <w:rsid w:val="00B85767"/>
    <w:rsid w:val="00B858E0"/>
    <w:rsid w:val="00B87B58"/>
    <w:rsid w:val="00B87C49"/>
    <w:rsid w:val="00B93346"/>
    <w:rsid w:val="00B941DB"/>
    <w:rsid w:val="00B95673"/>
    <w:rsid w:val="00B960DB"/>
    <w:rsid w:val="00B9723F"/>
    <w:rsid w:val="00B97579"/>
    <w:rsid w:val="00B97D6A"/>
    <w:rsid w:val="00BA0841"/>
    <w:rsid w:val="00BA172A"/>
    <w:rsid w:val="00BA49C9"/>
    <w:rsid w:val="00BA4F26"/>
    <w:rsid w:val="00BA56E2"/>
    <w:rsid w:val="00BA5EDD"/>
    <w:rsid w:val="00BB1FC3"/>
    <w:rsid w:val="00BB3F99"/>
    <w:rsid w:val="00BB5FA5"/>
    <w:rsid w:val="00BB71E4"/>
    <w:rsid w:val="00BB751C"/>
    <w:rsid w:val="00BC0374"/>
    <w:rsid w:val="00BC15D2"/>
    <w:rsid w:val="00BC3556"/>
    <w:rsid w:val="00BC3E1C"/>
    <w:rsid w:val="00BC61FC"/>
    <w:rsid w:val="00BC646D"/>
    <w:rsid w:val="00BD1211"/>
    <w:rsid w:val="00BD42F8"/>
    <w:rsid w:val="00BD4DA9"/>
    <w:rsid w:val="00BD5070"/>
    <w:rsid w:val="00BD51B7"/>
    <w:rsid w:val="00BD55D6"/>
    <w:rsid w:val="00BD64FB"/>
    <w:rsid w:val="00BD6A3F"/>
    <w:rsid w:val="00BD7B5A"/>
    <w:rsid w:val="00BD7BF3"/>
    <w:rsid w:val="00BE1009"/>
    <w:rsid w:val="00BE4AFD"/>
    <w:rsid w:val="00BF0D5A"/>
    <w:rsid w:val="00BF1E98"/>
    <w:rsid w:val="00BF48A4"/>
    <w:rsid w:val="00BF58BD"/>
    <w:rsid w:val="00BF590E"/>
    <w:rsid w:val="00BF5C5A"/>
    <w:rsid w:val="00BF73F4"/>
    <w:rsid w:val="00C00D92"/>
    <w:rsid w:val="00C019C0"/>
    <w:rsid w:val="00C01A39"/>
    <w:rsid w:val="00C01CB1"/>
    <w:rsid w:val="00C01FF9"/>
    <w:rsid w:val="00C04531"/>
    <w:rsid w:val="00C05636"/>
    <w:rsid w:val="00C05857"/>
    <w:rsid w:val="00C0609E"/>
    <w:rsid w:val="00C10771"/>
    <w:rsid w:val="00C1402D"/>
    <w:rsid w:val="00C154B0"/>
    <w:rsid w:val="00C15C17"/>
    <w:rsid w:val="00C168B8"/>
    <w:rsid w:val="00C16997"/>
    <w:rsid w:val="00C17244"/>
    <w:rsid w:val="00C20E6C"/>
    <w:rsid w:val="00C212A4"/>
    <w:rsid w:val="00C224C2"/>
    <w:rsid w:val="00C23A88"/>
    <w:rsid w:val="00C253FE"/>
    <w:rsid w:val="00C25EA6"/>
    <w:rsid w:val="00C26803"/>
    <w:rsid w:val="00C311F5"/>
    <w:rsid w:val="00C31BC2"/>
    <w:rsid w:val="00C31CD3"/>
    <w:rsid w:val="00C320FB"/>
    <w:rsid w:val="00C322BF"/>
    <w:rsid w:val="00C33B31"/>
    <w:rsid w:val="00C35854"/>
    <w:rsid w:val="00C35F67"/>
    <w:rsid w:val="00C407F3"/>
    <w:rsid w:val="00C416EF"/>
    <w:rsid w:val="00C4207F"/>
    <w:rsid w:val="00C46358"/>
    <w:rsid w:val="00C4653C"/>
    <w:rsid w:val="00C50104"/>
    <w:rsid w:val="00C50233"/>
    <w:rsid w:val="00C50E1A"/>
    <w:rsid w:val="00C53046"/>
    <w:rsid w:val="00C53807"/>
    <w:rsid w:val="00C53C29"/>
    <w:rsid w:val="00C552C2"/>
    <w:rsid w:val="00C60A8B"/>
    <w:rsid w:val="00C617BE"/>
    <w:rsid w:val="00C62B5E"/>
    <w:rsid w:val="00C62C4C"/>
    <w:rsid w:val="00C64001"/>
    <w:rsid w:val="00C64546"/>
    <w:rsid w:val="00C65737"/>
    <w:rsid w:val="00C659ED"/>
    <w:rsid w:val="00C65E53"/>
    <w:rsid w:val="00C6610E"/>
    <w:rsid w:val="00C66678"/>
    <w:rsid w:val="00C66EF2"/>
    <w:rsid w:val="00C6774E"/>
    <w:rsid w:val="00C70439"/>
    <w:rsid w:val="00C71B8F"/>
    <w:rsid w:val="00C720E9"/>
    <w:rsid w:val="00C7355E"/>
    <w:rsid w:val="00C73708"/>
    <w:rsid w:val="00C7383D"/>
    <w:rsid w:val="00C73A76"/>
    <w:rsid w:val="00C74048"/>
    <w:rsid w:val="00C745AE"/>
    <w:rsid w:val="00C74E3F"/>
    <w:rsid w:val="00C77572"/>
    <w:rsid w:val="00C77948"/>
    <w:rsid w:val="00C83793"/>
    <w:rsid w:val="00C84C93"/>
    <w:rsid w:val="00C8570C"/>
    <w:rsid w:val="00C867C8"/>
    <w:rsid w:val="00C900FE"/>
    <w:rsid w:val="00C92683"/>
    <w:rsid w:val="00C92B88"/>
    <w:rsid w:val="00C93158"/>
    <w:rsid w:val="00C93EFF"/>
    <w:rsid w:val="00C94438"/>
    <w:rsid w:val="00C94867"/>
    <w:rsid w:val="00C94C33"/>
    <w:rsid w:val="00C94DCE"/>
    <w:rsid w:val="00C94E04"/>
    <w:rsid w:val="00C9579A"/>
    <w:rsid w:val="00C96511"/>
    <w:rsid w:val="00C9744E"/>
    <w:rsid w:val="00C975C9"/>
    <w:rsid w:val="00C97815"/>
    <w:rsid w:val="00CA0CF8"/>
    <w:rsid w:val="00CA1CBA"/>
    <w:rsid w:val="00CA3354"/>
    <w:rsid w:val="00CA3DD4"/>
    <w:rsid w:val="00CA69A8"/>
    <w:rsid w:val="00CA6B72"/>
    <w:rsid w:val="00CA7415"/>
    <w:rsid w:val="00CA74FD"/>
    <w:rsid w:val="00CA7866"/>
    <w:rsid w:val="00CB0619"/>
    <w:rsid w:val="00CB0FD3"/>
    <w:rsid w:val="00CB1B94"/>
    <w:rsid w:val="00CB1D5F"/>
    <w:rsid w:val="00CB1D9D"/>
    <w:rsid w:val="00CB2CC6"/>
    <w:rsid w:val="00CB3A76"/>
    <w:rsid w:val="00CB5392"/>
    <w:rsid w:val="00CB5C47"/>
    <w:rsid w:val="00CB608D"/>
    <w:rsid w:val="00CB6D21"/>
    <w:rsid w:val="00CB6D60"/>
    <w:rsid w:val="00CB6EC2"/>
    <w:rsid w:val="00CB79A1"/>
    <w:rsid w:val="00CC0530"/>
    <w:rsid w:val="00CC05B2"/>
    <w:rsid w:val="00CC060E"/>
    <w:rsid w:val="00CC2DDE"/>
    <w:rsid w:val="00CC3338"/>
    <w:rsid w:val="00CC3C89"/>
    <w:rsid w:val="00CC7510"/>
    <w:rsid w:val="00CC7D61"/>
    <w:rsid w:val="00CD149B"/>
    <w:rsid w:val="00CD214E"/>
    <w:rsid w:val="00CD5288"/>
    <w:rsid w:val="00CD67B5"/>
    <w:rsid w:val="00CD7450"/>
    <w:rsid w:val="00CE0212"/>
    <w:rsid w:val="00CE1014"/>
    <w:rsid w:val="00CE165F"/>
    <w:rsid w:val="00CE21CF"/>
    <w:rsid w:val="00CE2F5F"/>
    <w:rsid w:val="00CE5236"/>
    <w:rsid w:val="00CE5BFC"/>
    <w:rsid w:val="00CE5DCA"/>
    <w:rsid w:val="00CE6DF9"/>
    <w:rsid w:val="00CF04CA"/>
    <w:rsid w:val="00CF1CB7"/>
    <w:rsid w:val="00CF2169"/>
    <w:rsid w:val="00CF3F39"/>
    <w:rsid w:val="00CF5488"/>
    <w:rsid w:val="00CF6D15"/>
    <w:rsid w:val="00CF7040"/>
    <w:rsid w:val="00D0203A"/>
    <w:rsid w:val="00D021DB"/>
    <w:rsid w:val="00D03D9E"/>
    <w:rsid w:val="00D03EA1"/>
    <w:rsid w:val="00D04098"/>
    <w:rsid w:val="00D04BC7"/>
    <w:rsid w:val="00D071A8"/>
    <w:rsid w:val="00D10717"/>
    <w:rsid w:val="00D108D2"/>
    <w:rsid w:val="00D10FC9"/>
    <w:rsid w:val="00D13645"/>
    <w:rsid w:val="00D14C65"/>
    <w:rsid w:val="00D15085"/>
    <w:rsid w:val="00D15281"/>
    <w:rsid w:val="00D157A4"/>
    <w:rsid w:val="00D168FB"/>
    <w:rsid w:val="00D16D29"/>
    <w:rsid w:val="00D1792F"/>
    <w:rsid w:val="00D17D09"/>
    <w:rsid w:val="00D20916"/>
    <w:rsid w:val="00D20E42"/>
    <w:rsid w:val="00D2261D"/>
    <w:rsid w:val="00D236FC"/>
    <w:rsid w:val="00D242FD"/>
    <w:rsid w:val="00D24ACA"/>
    <w:rsid w:val="00D260F0"/>
    <w:rsid w:val="00D27F2C"/>
    <w:rsid w:val="00D30A6F"/>
    <w:rsid w:val="00D31368"/>
    <w:rsid w:val="00D318CA"/>
    <w:rsid w:val="00D32547"/>
    <w:rsid w:val="00D33278"/>
    <w:rsid w:val="00D347D2"/>
    <w:rsid w:val="00D358D2"/>
    <w:rsid w:val="00D36FE1"/>
    <w:rsid w:val="00D40CC6"/>
    <w:rsid w:val="00D412EC"/>
    <w:rsid w:val="00D41530"/>
    <w:rsid w:val="00D42B95"/>
    <w:rsid w:val="00D43613"/>
    <w:rsid w:val="00D45BA3"/>
    <w:rsid w:val="00D462C7"/>
    <w:rsid w:val="00D47140"/>
    <w:rsid w:val="00D4786E"/>
    <w:rsid w:val="00D47FD0"/>
    <w:rsid w:val="00D517DA"/>
    <w:rsid w:val="00D520B2"/>
    <w:rsid w:val="00D53F73"/>
    <w:rsid w:val="00D546E7"/>
    <w:rsid w:val="00D5614B"/>
    <w:rsid w:val="00D568EE"/>
    <w:rsid w:val="00D56D0F"/>
    <w:rsid w:val="00D57204"/>
    <w:rsid w:val="00D57A51"/>
    <w:rsid w:val="00D604F1"/>
    <w:rsid w:val="00D61603"/>
    <w:rsid w:val="00D6204C"/>
    <w:rsid w:val="00D62AF6"/>
    <w:rsid w:val="00D6328E"/>
    <w:rsid w:val="00D65B0A"/>
    <w:rsid w:val="00D676D5"/>
    <w:rsid w:val="00D67A35"/>
    <w:rsid w:val="00D7105D"/>
    <w:rsid w:val="00D72373"/>
    <w:rsid w:val="00D72C77"/>
    <w:rsid w:val="00D73A84"/>
    <w:rsid w:val="00D73B30"/>
    <w:rsid w:val="00D7485D"/>
    <w:rsid w:val="00D7566D"/>
    <w:rsid w:val="00D768EB"/>
    <w:rsid w:val="00D7765B"/>
    <w:rsid w:val="00D77C73"/>
    <w:rsid w:val="00D8042C"/>
    <w:rsid w:val="00D80DD5"/>
    <w:rsid w:val="00D81A21"/>
    <w:rsid w:val="00D823C6"/>
    <w:rsid w:val="00D85ED3"/>
    <w:rsid w:val="00D87B97"/>
    <w:rsid w:val="00D90D8D"/>
    <w:rsid w:val="00D91982"/>
    <w:rsid w:val="00D9338E"/>
    <w:rsid w:val="00D95BCC"/>
    <w:rsid w:val="00D967BD"/>
    <w:rsid w:val="00D97A26"/>
    <w:rsid w:val="00D97E49"/>
    <w:rsid w:val="00DA1EE9"/>
    <w:rsid w:val="00DA268C"/>
    <w:rsid w:val="00DA293A"/>
    <w:rsid w:val="00DA2C5D"/>
    <w:rsid w:val="00DA347B"/>
    <w:rsid w:val="00DA4328"/>
    <w:rsid w:val="00DA4796"/>
    <w:rsid w:val="00DA61AD"/>
    <w:rsid w:val="00DB3C8F"/>
    <w:rsid w:val="00DB46CC"/>
    <w:rsid w:val="00DB4B28"/>
    <w:rsid w:val="00DB4EAB"/>
    <w:rsid w:val="00DB5DA9"/>
    <w:rsid w:val="00DB7417"/>
    <w:rsid w:val="00DB7E15"/>
    <w:rsid w:val="00DC0C11"/>
    <w:rsid w:val="00DC1121"/>
    <w:rsid w:val="00DC328A"/>
    <w:rsid w:val="00DC4924"/>
    <w:rsid w:val="00DC556E"/>
    <w:rsid w:val="00DC6426"/>
    <w:rsid w:val="00DC674C"/>
    <w:rsid w:val="00DC7164"/>
    <w:rsid w:val="00DD0F97"/>
    <w:rsid w:val="00DD235A"/>
    <w:rsid w:val="00DD2360"/>
    <w:rsid w:val="00DD2480"/>
    <w:rsid w:val="00DD24D1"/>
    <w:rsid w:val="00DD45CD"/>
    <w:rsid w:val="00DD4A8E"/>
    <w:rsid w:val="00DD5178"/>
    <w:rsid w:val="00DE07EE"/>
    <w:rsid w:val="00DE0976"/>
    <w:rsid w:val="00DE3055"/>
    <w:rsid w:val="00DE3268"/>
    <w:rsid w:val="00DE5733"/>
    <w:rsid w:val="00DE70AE"/>
    <w:rsid w:val="00DF00E0"/>
    <w:rsid w:val="00DF00E7"/>
    <w:rsid w:val="00DF0182"/>
    <w:rsid w:val="00DF0C5E"/>
    <w:rsid w:val="00DF153D"/>
    <w:rsid w:val="00DF1C2C"/>
    <w:rsid w:val="00DF2C13"/>
    <w:rsid w:val="00DF2CEF"/>
    <w:rsid w:val="00DF32E5"/>
    <w:rsid w:val="00DF4577"/>
    <w:rsid w:val="00DF7A07"/>
    <w:rsid w:val="00E00755"/>
    <w:rsid w:val="00E00EC4"/>
    <w:rsid w:val="00E03E1A"/>
    <w:rsid w:val="00E040E8"/>
    <w:rsid w:val="00E0427D"/>
    <w:rsid w:val="00E04FC0"/>
    <w:rsid w:val="00E05BD0"/>
    <w:rsid w:val="00E07861"/>
    <w:rsid w:val="00E10053"/>
    <w:rsid w:val="00E10472"/>
    <w:rsid w:val="00E11110"/>
    <w:rsid w:val="00E14498"/>
    <w:rsid w:val="00E15014"/>
    <w:rsid w:val="00E1785E"/>
    <w:rsid w:val="00E22F3F"/>
    <w:rsid w:val="00E23BAB"/>
    <w:rsid w:val="00E23E0B"/>
    <w:rsid w:val="00E23F00"/>
    <w:rsid w:val="00E27281"/>
    <w:rsid w:val="00E27B5F"/>
    <w:rsid w:val="00E27F6D"/>
    <w:rsid w:val="00E30032"/>
    <w:rsid w:val="00E3112C"/>
    <w:rsid w:val="00E3213E"/>
    <w:rsid w:val="00E3317B"/>
    <w:rsid w:val="00E3386F"/>
    <w:rsid w:val="00E3424D"/>
    <w:rsid w:val="00E40B49"/>
    <w:rsid w:val="00E4401D"/>
    <w:rsid w:val="00E44BCD"/>
    <w:rsid w:val="00E454BA"/>
    <w:rsid w:val="00E463A1"/>
    <w:rsid w:val="00E5038F"/>
    <w:rsid w:val="00E50F70"/>
    <w:rsid w:val="00E52382"/>
    <w:rsid w:val="00E52BFC"/>
    <w:rsid w:val="00E52EE1"/>
    <w:rsid w:val="00E552A3"/>
    <w:rsid w:val="00E610F1"/>
    <w:rsid w:val="00E62677"/>
    <w:rsid w:val="00E63F7F"/>
    <w:rsid w:val="00E63FE0"/>
    <w:rsid w:val="00E708D5"/>
    <w:rsid w:val="00E729C3"/>
    <w:rsid w:val="00E732C9"/>
    <w:rsid w:val="00E73B21"/>
    <w:rsid w:val="00E74C2F"/>
    <w:rsid w:val="00E76C3A"/>
    <w:rsid w:val="00E77101"/>
    <w:rsid w:val="00E77BCA"/>
    <w:rsid w:val="00E77EE7"/>
    <w:rsid w:val="00E81FB1"/>
    <w:rsid w:val="00E820A2"/>
    <w:rsid w:val="00E8230A"/>
    <w:rsid w:val="00E82950"/>
    <w:rsid w:val="00E82C0C"/>
    <w:rsid w:val="00E836B3"/>
    <w:rsid w:val="00E858A7"/>
    <w:rsid w:val="00E868F3"/>
    <w:rsid w:val="00E8716B"/>
    <w:rsid w:val="00E8787F"/>
    <w:rsid w:val="00E900AF"/>
    <w:rsid w:val="00E90D21"/>
    <w:rsid w:val="00E9176D"/>
    <w:rsid w:val="00E91C6C"/>
    <w:rsid w:val="00E92D8C"/>
    <w:rsid w:val="00E93E95"/>
    <w:rsid w:val="00E95359"/>
    <w:rsid w:val="00E966FD"/>
    <w:rsid w:val="00E96BF7"/>
    <w:rsid w:val="00E9791F"/>
    <w:rsid w:val="00EA05BA"/>
    <w:rsid w:val="00EA0A1C"/>
    <w:rsid w:val="00EA2DCF"/>
    <w:rsid w:val="00EA3EEC"/>
    <w:rsid w:val="00EA57B1"/>
    <w:rsid w:val="00EA5E6A"/>
    <w:rsid w:val="00EA6FE9"/>
    <w:rsid w:val="00EB0399"/>
    <w:rsid w:val="00EB1AD7"/>
    <w:rsid w:val="00EB2C64"/>
    <w:rsid w:val="00EB2EED"/>
    <w:rsid w:val="00EB2F2C"/>
    <w:rsid w:val="00EB36AD"/>
    <w:rsid w:val="00EB3C69"/>
    <w:rsid w:val="00EB3D5F"/>
    <w:rsid w:val="00EB3E5F"/>
    <w:rsid w:val="00EB531D"/>
    <w:rsid w:val="00EB5451"/>
    <w:rsid w:val="00EB5CBD"/>
    <w:rsid w:val="00EB62D7"/>
    <w:rsid w:val="00EB6C50"/>
    <w:rsid w:val="00EB6F2B"/>
    <w:rsid w:val="00EC126D"/>
    <w:rsid w:val="00EC29DC"/>
    <w:rsid w:val="00EC4A5C"/>
    <w:rsid w:val="00EC5F71"/>
    <w:rsid w:val="00EC720E"/>
    <w:rsid w:val="00ED1237"/>
    <w:rsid w:val="00ED1277"/>
    <w:rsid w:val="00ED2F8C"/>
    <w:rsid w:val="00ED452D"/>
    <w:rsid w:val="00ED4B86"/>
    <w:rsid w:val="00ED525B"/>
    <w:rsid w:val="00EE0272"/>
    <w:rsid w:val="00EE3BCE"/>
    <w:rsid w:val="00EE53AB"/>
    <w:rsid w:val="00EE6358"/>
    <w:rsid w:val="00EE6EA2"/>
    <w:rsid w:val="00EE7B05"/>
    <w:rsid w:val="00EE7D8D"/>
    <w:rsid w:val="00EF0D43"/>
    <w:rsid w:val="00EF1FB7"/>
    <w:rsid w:val="00EF5727"/>
    <w:rsid w:val="00F00B3C"/>
    <w:rsid w:val="00F01005"/>
    <w:rsid w:val="00F0109D"/>
    <w:rsid w:val="00F01F41"/>
    <w:rsid w:val="00F039E2"/>
    <w:rsid w:val="00F052DC"/>
    <w:rsid w:val="00F05700"/>
    <w:rsid w:val="00F10CEF"/>
    <w:rsid w:val="00F110B1"/>
    <w:rsid w:val="00F120F4"/>
    <w:rsid w:val="00F123D1"/>
    <w:rsid w:val="00F1406D"/>
    <w:rsid w:val="00F14133"/>
    <w:rsid w:val="00F201D6"/>
    <w:rsid w:val="00F20CC6"/>
    <w:rsid w:val="00F20F0C"/>
    <w:rsid w:val="00F21173"/>
    <w:rsid w:val="00F21E02"/>
    <w:rsid w:val="00F21EDB"/>
    <w:rsid w:val="00F21FAB"/>
    <w:rsid w:val="00F23321"/>
    <w:rsid w:val="00F24239"/>
    <w:rsid w:val="00F24AFC"/>
    <w:rsid w:val="00F24D61"/>
    <w:rsid w:val="00F32F3A"/>
    <w:rsid w:val="00F331B0"/>
    <w:rsid w:val="00F3329B"/>
    <w:rsid w:val="00F345FE"/>
    <w:rsid w:val="00F34E21"/>
    <w:rsid w:val="00F35ABF"/>
    <w:rsid w:val="00F37DC9"/>
    <w:rsid w:val="00F40053"/>
    <w:rsid w:val="00F438E3"/>
    <w:rsid w:val="00F43D1E"/>
    <w:rsid w:val="00F464BF"/>
    <w:rsid w:val="00F46BA9"/>
    <w:rsid w:val="00F52243"/>
    <w:rsid w:val="00F5228D"/>
    <w:rsid w:val="00F528A9"/>
    <w:rsid w:val="00F52FD1"/>
    <w:rsid w:val="00F531A0"/>
    <w:rsid w:val="00F54329"/>
    <w:rsid w:val="00F545AC"/>
    <w:rsid w:val="00F54FF2"/>
    <w:rsid w:val="00F55212"/>
    <w:rsid w:val="00F55301"/>
    <w:rsid w:val="00F554B9"/>
    <w:rsid w:val="00F56999"/>
    <w:rsid w:val="00F573F1"/>
    <w:rsid w:val="00F57DE2"/>
    <w:rsid w:val="00F602AA"/>
    <w:rsid w:val="00F60422"/>
    <w:rsid w:val="00F60644"/>
    <w:rsid w:val="00F60F91"/>
    <w:rsid w:val="00F615BD"/>
    <w:rsid w:val="00F62FC1"/>
    <w:rsid w:val="00F65020"/>
    <w:rsid w:val="00F664D1"/>
    <w:rsid w:val="00F6767A"/>
    <w:rsid w:val="00F67E6A"/>
    <w:rsid w:val="00F71485"/>
    <w:rsid w:val="00F714C4"/>
    <w:rsid w:val="00F71F1F"/>
    <w:rsid w:val="00F72FB2"/>
    <w:rsid w:val="00F73328"/>
    <w:rsid w:val="00F73F74"/>
    <w:rsid w:val="00F7521F"/>
    <w:rsid w:val="00F75A88"/>
    <w:rsid w:val="00F7728A"/>
    <w:rsid w:val="00F80A00"/>
    <w:rsid w:val="00F811EE"/>
    <w:rsid w:val="00F829DC"/>
    <w:rsid w:val="00F848CC"/>
    <w:rsid w:val="00F854D8"/>
    <w:rsid w:val="00F860E1"/>
    <w:rsid w:val="00F860F7"/>
    <w:rsid w:val="00F8682A"/>
    <w:rsid w:val="00F8777E"/>
    <w:rsid w:val="00F91687"/>
    <w:rsid w:val="00F9181B"/>
    <w:rsid w:val="00F93181"/>
    <w:rsid w:val="00F934FC"/>
    <w:rsid w:val="00F9553E"/>
    <w:rsid w:val="00F97C75"/>
    <w:rsid w:val="00FA03BC"/>
    <w:rsid w:val="00FA2AD8"/>
    <w:rsid w:val="00FA2D2A"/>
    <w:rsid w:val="00FA2E41"/>
    <w:rsid w:val="00FA325B"/>
    <w:rsid w:val="00FA3413"/>
    <w:rsid w:val="00FA5F5A"/>
    <w:rsid w:val="00FA68D2"/>
    <w:rsid w:val="00FA7186"/>
    <w:rsid w:val="00FA7D6B"/>
    <w:rsid w:val="00FB115F"/>
    <w:rsid w:val="00FB19F5"/>
    <w:rsid w:val="00FB355A"/>
    <w:rsid w:val="00FB4A1C"/>
    <w:rsid w:val="00FB504D"/>
    <w:rsid w:val="00FB51DC"/>
    <w:rsid w:val="00FB5BF0"/>
    <w:rsid w:val="00FB5CD9"/>
    <w:rsid w:val="00FB6035"/>
    <w:rsid w:val="00FB66CC"/>
    <w:rsid w:val="00FB6924"/>
    <w:rsid w:val="00FB795F"/>
    <w:rsid w:val="00FC11E3"/>
    <w:rsid w:val="00FC1601"/>
    <w:rsid w:val="00FC1884"/>
    <w:rsid w:val="00FC2DE4"/>
    <w:rsid w:val="00FC3DEC"/>
    <w:rsid w:val="00FC5095"/>
    <w:rsid w:val="00FC6275"/>
    <w:rsid w:val="00FC7377"/>
    <w:rsid w:val="00FD0574"/>
    <w:rsid w:val="00FD05FD"/>
    <w:rsid w:val="00FD08E5"/>
    <w:rsid w:val="00FD0E2D"/>
    <w:rsid w:val="00FD0F4E"/>
    <w:rsid w:val="00FD12DB"/>
    <w:rsid w:val="00FD1A61"/>
    <w:rsid w:val="00FD3C84"/>
    <w:rsid w:val="00FD4088"/>
    <w:rsid w:val="00FD41A6"/>
    <w:rsid w:val="00FD57E2"/>
    <w:rsid w:val="00FD58B6"/>
    <w:rsid w:val="00FD5D61"/>
    <w:rsid w:val="00FD64E5"/>
    <w:rsid w:val="00FE03F5"/>
    <w:rsid w:val="00FE2E40"/>
    <w:rsid w:val="00FE493E"/>
    <w:rsid w:val="00FE4B30"/>
    <w:rsid w:val="00FE5DF6"/>
    <w:rsid w:val="00FE75CA"/>
    <w:rsid w:val="00FE7C79"/>
    <w:rsid w:val="00FF07EE"/>
    <w:rsid w:val="00FF1673"/>
    <w:rsid w:val="00FF1D71"/>
    <w:rsid w:val="00FF2AE4"/>
    <w:rsid w:val="00FF3C7C"/>
    <w:rsid w:val="00FF5794"/>
    <w:rsid w:val="00FF69E1"/>
    <w:rsid w:val="00FF6B3D"/>
    <w:rsid w:val="00FF7A8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594D"/>
  <w15:docId w15:val="{AE278A13-9C2A-4D53-8A14-E27E9B8F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744504"/>
    <w:rPr>
      <w:sz w:val="16"/>
      <w:szCs w:val="16"/>
    </w:rPr>
  </w:style>
  <w:style w:type="paragraph" w:styleId="Textkomente">
    <w:name w:val="annotation text"/>
    <w:basedOn w:val="Normln"/>
    <w:link w:val="TextkomenteChar"/>
    <w:uiPriority w:val="99"/>
    <w:unhideWhenUsed/>
    <w:rsid w:val="00744504"/>
    <w:rPr>
      <w:sz w:val="20"/>
    </w:rPr>
  </w:style>
  <w:style w:type="character" w:customStyle="1" w:styleId="TextkomenteChar">
    <w:name w:val="Text komentáře Char"/>
    <w:basedOn w:val="Standardnpsmoodstavce"/>
    <w:link w:val="Textkomente"/>
    <w:uiPriority w:val="99"/>
    <w:rsid w:val="0074450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4504"/>
    <w:rPr>
      <w:b/>
      <w:bCs/>
    </w:rPr>
  </w:style>
  <w:style w:type="character" w:customStyle="1" w:styleId="PedmtkomenteChar">
    <w:name w:val="Předmět komentáře Char"/>
    <w:basedOn w:val="TextkomenteChar"/>
    <w:link w:val="Pedmtkomente"/>
    <w:uiPriority w:val="99"/>
    <w:semiHidden/>
    <w:rsid w:val="00744504"/>
    <w:rPr>
      <w:rFonts w:ascii="Arial" w:eastAsia="Times New Roman" w:hAnsi="Arial" w:cs="Times New Roman"/>
      <w:b/>
      <w:bCs/>
      <w:sz w:val="20"/>
      <w:szCs w:val="20"/>
      <w:lang w:eastAsia="cs-CZ"/>
    </w:rPr>
  </w:style>
  <w:style w:type="paragraph" w:customStyle="1" w:styleId="Default">
    <w:name w:val="Default"/>
    <w:rsid w:val="006E1DBB"/>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747C2E"/>
    <w:pPr>
      <w:spacing w:after="0" w:line="240" w:lineRule="auto"/>
    </w:pPr>
    <w:rPr>
      <w:rFonts w:ascii="Arial" w:eastAsia="Times New Roman" w:hAnsi="Arial" w:cs="Times New Roman"/>
      <w:sz w:val="18"/>
      <w:szCs w:val="20"/>
      <w:lang w:eastAsia="cs-CZ"/>
    </w:rPr>
  </w:style>
  <w:style w:type="paragraph" w:styleId="Textpoznpodarou">
    <w:name w:val="footnote text"/>
    <w:basedOn w:val="Normln"/>
    <w:link w:val="TextpoznpodarouChar"/>
    <w:uiPriority w:val="99"/>
    <w:semiHidden/>
    <w:unhideWhenUsed/>
    <w:rsid w:val="00AA6453"/>
    <w:rPr>
      <w:sz w:val="20"/>
    </w:rPr>
  </w:style>
  <w:style w:type="character" w:customStyle="1" w:styleId="TextpoznpodarouChar">
    <w:name w:val="Text pozn. pod čarou Char"/>
    <w:basedOn w:val="Standardnpsmoodstavce"/>
    <w:link w:val="Textpoznpodarou"/>
    <w:uiPriority w:val="99"/>
    <w:semiHidden/>
    <w:rsid w:val="00AA645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AA6453"/>
    <w:rPr>
      <w:vertAlign w:val="superscript"/>
    </w:rPr>
  </w:style>
  <w:style w:type="character" w:customStyle="1" w:styleId="cf01">
    <w:name w:val="cf01"/>
    <w:basedOn w:val="Standardnpsmoodstavce"/>
    <w:rsid w:val="00983579"/>
    <w:rPr>
      <w:rFonts w:ascii="Segoe UI" w:hAnsi="Segoe UI" w:cs="Segoe UI" w:hint="default"/>
      <w:sz w:val="18"/>
      <w:szCs w:val="18"/>
    </w:rPr>
  </w:style>
  <w:style w:type="paragraph" w:customStyle="1" w:styleId="CBANadpisvTABULCE">
    <w:name w:val="CBA Nadpis v TABULCE"/>
    <w:basedOn w:val="Normln"/>
    <w:qFormat/>
    <w:rsid w:val="0073410F"/>
    <w:pPr>
      <w:spacing w:before="120" w:after="120"/>
      <w:jc w:val="left"/>
    </w:pPr>
    <w:rPr>
      <w:b/>
      <w:bCs/>
      <w:color w:val="13576B"/>
    </w:rPr>
  </w:style>
  <w:style w:type="paragraph" w:customStyle="1" w:styleId="CBAodstavecvTABULCE">
    <w:name w:val="CBA odstavec v TABULCE"/>
    <w:basedOn w:val="Normln"/>
    <w:qFormat/>
    <w:rsid w:val="0073410F"/>
    <w:pPr>
      <w:spacing w:before="120" w:after="120"/>
      <w:jc w:val="left"/>
    </w:pPr>
    <w:rPr>
      <w:color w:val="13576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587">
      <w:bodyDiv w:val="1"/>
      <w:marLeft w:val="0"/>
      <w:marRight w:val="0"/>
      <w:marTop w:val="0"/>
      <w:marBottom w:val="0"/>
      <w:divBdr>
        <w:top w:val="none" w:sz="0" w:space="0" w:color="auto"/>
        <w:left w:val="none" w:sz="0" w:space="0" w:color="auto"/>
        <w:bottom w:val="none" w:sz="0" w:space="0" w:color="auto"/>
        <w:right w:val="none" w:sz="0" w:space="0" w:color="auto"/>
      </w:divBdr>
    </w:div>
    <w:div w:id="90274939">
      <w:bodyDiv w:val="1"/>
      <w:marLeft w:val="0"/>
      <w:marRight w:val="0"/>
      <w:marTop w:val="0"/>
      <w:marBottom w:val="0"/>
      <w:divBdr>
        <w:top w:val="none" w:sz="0" w:space="0" w:color="auto"/>
        <w:left w:val="none" w:sz="0" w:space="0" w:color="auto"/>
        <w:bottom w:val="none" w:sz="0" w:space="0" w:color="auto"/>
        <w:right w:val="none" w:sz="0" w:space="0" w:color="auto"/>
      </w:divBdr>
    </w:div>
    <w:div w:id="125004222">
      <w:bodyDiv w:val="1"/>
      <w:marLeft w:val="0"/>
      <w:marRight w:val="0"/>
      <w:marTop w:val="0"/>
      <w:marBottom w:val="0"/>
      <w:divBdr>
        <w:top w:val="none" w:sz="0" w:space="0" w:color="auto"/>
        <w:left w:val="none" w:sz="0" w:space="0" w:color="auto"/>
        <w:bottom w:val="none" w:sz="0" w:space="0" w:color="auto"/>
        <w:right w:val="none" w:sz="0" w:space="0" w:color="auto"/>
      </w:divBdr>
    </w:div>
    <w:div w:id="171840413">
      <w:bodyDiv w:val="1"/>
      <w:marLeft w:val="0"/>
      <w:marRight w:val="0"/>
      <w:marTop w:val="0"/>
      <w:marBottom w:val="0"/>
      <w:divBdr>
        <w:top w:val="none" w:sz="0" w:space="0" w:color="auto"/>
        <w:left w:val="none" w:sz="0" w:space="0" w:color="auto"/>
        <w:bottom w:val="none" w:sz="0" w:space="0" w:color="auto"/>
        <w:right w:val="none" w:sz="0" w:space="0" w:color="auto"/>
      </w:divBdr>
    </w:div>
    <w:div w:id="175772208">
      <w:bodyDiv w:val="1"/>
      <w:marLeft w:val="0"/>
      <w:marRight w:val="0"/>
      <w:marTop w:val="0"/>
      <w:marBottom w:val="0"/>
      <w:divBdr>
        <w:top w:val="none" w:sz="0" w:space="0" w:color="auto"/>
        <w:left w:val="none" w:sz="0" w:space="0" w:color="auto"/>
        <w:bottom w:val="none" w:sz="0" w:space="0" w:color="auto"/>
        <w:right w:val="none" w:sz="0" w:space="0" w:color="auto"/>
      </w:divBdr>
    </w:div>
    <w:div w:id="213080258">
      <w:bodyDiv w:val="1"/>
      <w:marLeft w:val="0"/>
      <w:marRight w:val="0"/>
      <w:marTop w:val="0"/>
      <w:marBottom w:val="0"/>
      <w:divBdr>
        <w:top w:val="none" w:sz="0" w:space="0" w:color="auto"/>
        <w:left w:val="none" w:sz="0" w:space="0" w:color="auto"/>
        <w:bottom w:val="none" w:sz="0" w:space="0" w:color="auto"/>
        <w:right w:val="none" w:sz="0" w:space="0" w:color="auto"/>
      </w:divBdr>
    </w:div>
    <w:div w:id="235168362">
      <w:bodyDiv w:val="1"/>
      <w:marLeft w:val="0"/>
      <w:marRight w:val="0"/>
      <w:marTop w:val="0"/>
      <w:marBottom w:val="0"/>
      <w:divBdr>
        <w:top w:val="none" w:sz="0" w:space="0" w:color="auto"/>
        <w:left w:val="none" w:sz="0" w:space="0" w:color="auto"/>
        <w:bottom w:val="none" w:sz="0" w:space="0" w:color="auto"/>
        <w:right w:val="none" w:sz="0" w:space="0" w:color="auto"/>
      </w:divBdr>
    </w:div>
    <w:div w:id="27892470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20087060">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9623159">
      <w:bodyDiv w:val="1"/>
      <w:marLeft w:val="0"/>
      <w:marRight w:val="0"/>
      <w:marTop w:val="0"/>
      <w:marBottom w:val="0"/>
      <w:divBdr>
        <w:top w:val="none" w:sz="0" w:space="0" w:color="auto"/>
        <w:left w:val="none" w:sz="0" w:space="0" w:color="auto"/>
        <w:bottom w:val="none" w:sz="0" w:space="0" w:color="auto"/>
        <w:right w:val="none" w:sz="0" w:space="0" w:color="auto"/>
      </w:divBdr>
    </w:div>
    <w:div w:id="433131831">
      <w:bodyDiv w:val="1"/>
      <w:marLeft w:val="0"/>
      <w:marRight w:val="0"/>
      <w:marTop w:val="0"/>
      <w:marBottom w:val="0"/>
      <w:divBdr>
        <w:top w:val="none" w:sz="0" w:space="0" w:color="auto"/>
        <w:left w:val="none" w:sz="0" w:space="0" w:color="auto"/>
        <w:bottom w:val="none" w:sz="0" w:space="0" w:color="auto"/>
        <w:right w:val="none" w:sz="0" w:space="0" w:color="auto"/>
      </w:divBdr>
    </w:div>
    <w:div w:id="434447739">
      <w:bodyDiv w:val="1"/>
      <w:marLeft w:val="0"/>
      <w:marRight w:val="0"/>
      <w:marTop w:val="0"/>
      <w:marBottom w:val="0"/>
      <w:divBdr>
        <w:top w:val="none" w:sz="0" w:space="0" w:color="auto"/>
        <w:left w:val="none" w:sz="0" w:space="0" w:color="auto"/>
        <w:bottom w:val="none" w:sz="0" w:space="0" w:color="auto"/>
        <w:right w:val="none" w:sz="0" w:space="0" w:color="auto"/>
      </w:divBdr>
    </w:div>
    <w:div w:id="486096695">
      <w:bodyDiv w:val="1"/>
      <w:marLeft w:val="0"/>
      <w:marRight w:val="0"/>
      <w:marTop w:val="0"/>
      <w:marBottom w:val="0"/>
      <w:divBdr>
        <w:top w:val="none" w:sz="0" w:space="0" w:color="auto"/>
        <w:left w:val="none" w:sz="0" w:space="0" w:color="auto"/>
        <w:bottom w:val="none" w:sz="0" w:space="0" w:color="auto"/>
        <w:right w:val="none" w:sz="0" w:space="0" w:color="auto"/>
      </w:divBdr>
    </w:div>
    <w:div w:id="534267763">
      <w:bodyDiv w:val="1"/>
      <w:marLeft w:val="0"/>
      <w:marRight w:val="0"/>
      <w:marTop w:val="0"/>
      <w:marBottom w:val="0"/>
      <w:divBdr>
        <w:top w:val="none" w:sz="0" w:space="0" w:color="auto"/>
        <w:left w:val="none" w:sz="0" w:space="0" w:color="auto"/>
        <w:bottom w:val="none" w:sz="0" w:space="0" w:color="auto"/>
        <w:right w:val="none" w:sz="0" w:space="0" w:color="auto"/>
      </w:divBdr>
    </w:div>
    <w:div w:id="612832383">
      <w:bodyDiv w:val="1"/>
      <w:marLeft w:val="0"/>
      <w:marRight w:val="0"/>
      <w:marTop w:val="0"/>
      <w:marBottom w:val="0"/>
      <w:divBdr>
        <w:top w:val="none" w:sz="0" w:space="0" w:color="auto"/>
        <w:left w:val="none" w:sz="0" w:space="0" w:color="auto"/>
        <w:bottom w:val="none" w:sz="0" w:space="0" w:color="auto"/>
        <w:right w:val="none" w:sz="0" w:space="0" w:color="auto"/>
      </w:divBdr>
    </w:div>
    <w:div w:id="622227915">
      <w:bodyDiv w:val="1"/>
      <w:marLeft w:val="0"/>
      <w:marRight w:val="0"/>
      <w:marTop w:val="0"/>
      <w:marBottom w:val="0"/>
      <w:divBdr>
        <w:top w:val="none" w:sz="0" w:space="0" w:color="auto"/>
        <w:left w:val="none" w:sz="0" w:space="0" w:color="auto"/>
        <w:bottom w:val="none" w:sz="0" w:space="0" w:color="auto"/>
        <w:right w:val="none" w:sz="0" w:space="0" w:color="auto"/>
      </w:divBdr>
    </w:div>
    <w:div w:id="693072444">
      <w:bodyDiv w:val="1"/>
      <w:marLeft w:val="0"/>
      <w:marRight w:val="0"/>
      <w:marTop w:val="0"/>
      <w:marBottom w:val="0"/>
      <w:divBdr>
        <w:top w:val="none" w:sz="0" w:space="0" w:color="auto"/>
        <w:left w:val="none" w:sz="0" w:space="0" w:color="auto"/>
        <w:bottom w:val="none" w:sz="0" w:space="0" w:color="auto"/>
        <w:right w:val="none" w:sz="0" w:space="0" w:color="auto"/>
      </w:divBdr>
    </w:div>
    <w:div w:id="740103959">
      <w:bodyDiv w:val="1"/>
      <w:marLeft w:val="0"/>
      <w:marRight w:val="0"/>
      <w:marTop w:val="0"/>
      <w:marBottom w:val="0"/>
      <w:divBdr>
        <w:top w:val="none" w:sz="0" w:space="0" w:color="auto"/>
        <w:left w:val="none" w:sz="0" w:space="0" w:color="auto"/>
        <w:bottom w:val="none" w:sz="0" w:space="0" w:color="auto"/>
        <w:right w:val="none" w:sz="0" w:space="0" w:color="auto"/>
      </w:divBdr>
    </w:div>
    <w:div w:id="744883708">
      <w:bodyDiv w:val="1"/>
      <w:marLeft w:val="0"/>
      <w:marRight w:val="0"/>
      <w:marTop w:val="0"/>
      <w:marBottom w:val="0"/>
      <w:divBdr>
        <w:top w:val="none" w:sz="0" w:space="0" w:color="auto"/>
        <w:left w:val="none" w:sz="0" w:space="0" w:color="auto"/>
        <w:bottom w:val="none" w:sz="0" w:space="0" w:color="auto"/>
        <w:right w:val="none" w:sz="0" w:space="0" w:color="auto"/>
      </w:divBdr>
    </w:div>
    <w:div w:id="775829942">
      <w:bodyDiv w:val="1"/>
      <w:marLeft w:val="0"/>
      <w:marRight w:val="0"/>
      <w:marTop w:val="0"/>
      <w:marBottom w:val="0"/>
      <w:divBdr>
        <w:top w:val="none" w:sz="0" w:space="0" w:color="auto"/>
        <w:left w:val="none" w:sz="0" w:space="0" w:color="auto"/>
        <w:bottom w:val="none" w:sz="0" w:space="0" w:color="auto"/>
        <w:right w:val="none" w:sz="0" w:space="0" w:color="auto"/>
      </w:divBdr>
    </w:div>
    <w:div w:id="794324714">
      <w:bodyDiv w:val="1"/>
      <w:marLeft w:val="0"/>
      <w:marRight w:val="0"/>
      <w:marTop w:val="0"/>
      <w:marBottom w:val="0"/>
      <w:divBdr>
        <w:top w:val="none" w:sz="0" w:space="0" w:color="auto"/>
        <w:left w:val="none" w:sz="0" w:space="0" w:color="auto"/>
        <w:bottom w:val="none" w:sz="0" w:space="0" w:color="auto"/>
        <w:right w:val="none" w:sz="0" w:space="0" w:color="auto"/>
      </w:divBdr>
    </w:div>
    <w:div w:id="844367420">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74662016">
      <w:bodyDiv w:val="1"/>
      <w:marLeft w:val="0"/>
      <w:marRight w:val="0"/>
      <w:marTop w:val="0"/>
      <w:marBottom w:val="0"/>
      <w:divBdr>
        <w:top w:val="none" w:sz="0" w:space="0" w:color="auto"/>
        <w:left w:val="none" w:sz="0" w:space="0" w:color="auto"/>
        <w:bottom w:val="none" w:sz="0" w:space="0" w:color="auto"/>
        <w:right w:val="none" w:sz="0" w:space="0" w:color="auto"/>
      </w:divBdr>
    </w:div>
    <w:div w:id="881596654">
      <w:bodyDiv w:val="1"/>
      <w:marLeft w:val="0"/>
      <w:marRight w:val="0"/>
      <w:marTop w:val="0"/>
      <w:marBottom w:val="0"/>
      <w:divBdr>
        <w:top w:val="none" w:sz="0" w:space="0" w:color="auto"/>
        <w:left w:val="none" w:sz="0" w:space="0" w:color="auto"/>
        <w:bottom w:val="none" w:sz="0" w:space="0" w:color="auto"/>
        <w:right w:val="none" w:sz="0" w:space="0" w:color="auto"/>
      </w:divBdr>
    </w:div>
    <w:div w:id="952638638">
      <w:bodyDiv w:val="1"/>
      <w:marLeft w:val="0"/>
      <w:marRight w:val="0"/>
      <w:marTop w:val="0"/>
      <w:marBottom w:val="0"/>
      <w:divBdr>
        <w:top w:val="none" w:sz="0" w:space="0" w:color="auto"/>
        <w:left w:val="none" w:sz="0" w:space="0" w:color="auto"/>
        <w:bottom w:val="none" w:sz="0" w:space="0" w:color="auto"/>
        <w:right w:val="none" w:sz="0" w:space="0" w:color="auto"/>
      </w:divBdr>
    </w:div>
    <w:div w:id="960770868">
      <w:bodyDiv w:val="1"/>
      <w:marLeft w:val="0"/>
      <w:marRight w:val="0"/>
      <w:marTop w:val="0"/>
      <w:marBottom w:val="0"/>
      <w:divBdr>
        <w:top w:val="none" w:sz="0" w:space="0" w:color="auto"/>
        <w:left w:val="none" w:sz="0" w:space="0" w:color="auto"/>
        <w:bottom w:val="none" w:sz="0" w:space="0" w:color="auto"/>
        <w:right w:val="none" w:sz="0" w:space="0" w:color="auto"/>
      </w:divBdr>
    </w:div>
    <w:div w:id="972368172">
      <w:bodyDiv w:val="1"/>
      <w:marLeft w:val="0"/>
      <w:marRight w:val="0"/>
      <w:marTop w:val="0"/>
      <w:marBottom w:val="0"/>
      <w:divBdr>
        <w:top w:val="none" w:sz="0" w:space="0" w:color="auto"/>
        <w:left w:val="none" w:sz="0" w:space="0" w:color="auto"/>
        <w:bottom w:val="none" w:sz="0" w:space="0" w:color="auto"/>
        <w:right w:val="none" w:sz="0" w:space="0" w:color="auto"/>
      </w:divBdr>
    </w:div>
    <w:div w:id="974721017">
      <w:bodyDiv w:val="1"/>
      <w:marLeft w:val="0"/>
      <w:marRight w:val="0"/>
      <w:marTop w:val="0"/>
      <w:marBottom w:val="0"/>
      <w:divBdr>
        <w:top w:val="none" w:sz="0" w:space="0" w:color="auto"/>
        <w:left w:val="none" w:sz="0" w:space="0" w:color="auto"/>
        <w:bottom w:val="none" w:sz="0" w:space="0" w:color="auto"/>
        <w:right w:val="none" w:sz="0" w:space="0" w:color="auto"/>
      </w:divBdr>
    </w:div>
    <w:div w:id="1031538979">
      <w:bodyDiv w:val="1"/>
      <w:marLeft w:val="0"/>
      <w:marRight w:val="0"/>
      <w:marTop w:val="0"/>
      <w:marBottom w:val="0"/>
      <w:divBdr>
        <w:top w:val="none" w:sz="0" w:space="0" w:color="auto"/>
        <w:left w:val="none" w:sz="0" w:space="0" w:color="auto"/>
        <w:bottom w:val="none" w:sz="0" w:space="0" w:color="auto"/>
        <w:right w:val="none" w:sz="0" w:space="0" w:color="auto"/>
      </w:divBdr>
    </w:div>
    <w:div w:id="1053165063">
      <w:bodyDiv w:val="1"/>
      <w:marLeft w:val="0"/>
      <w:marRight w:val="0"/>
      <w:marTop w:val="0"/>
      <w:marBottom w:val="0"/>
      <w:divBdr>
        <w:top w:val="none" w:sz="0" w:space="0" w:color="auto"/>
        <w:left w:val="none" w:sz="0" w:space="0" w:color="auto"/>
        <w:bottom w:val="none" w:sz="0" w:space="0" w:color="auto"/>
        <w:right w:val="none" w:sz="0" w:space="0" w:color="auto"/>
      </w:divBdr>
    </w:div>
    <w:div w:id="1097822366">
      <w:bodyDiv w:val="1"/>
      <w:marLeft w:val="0"/>
      <w:marRight w:val="0"/>
      <w:marTop w:val="0"/>
      <w:marBottom w:val="0"/>
      <w:divBdr>
        <w:top w:val="none" w:sz="0" w:space="0" w:color="auto"/>
        <w:left w:val="none" w:sz="0" w:space="0" w:color="auto"/>
        <w:bottom w:val="none" w:sz="0" w:space="0" w:color="auto"/>
        <w:right w:val="none" w:sz="0" w:space="0" w:color="auto"/>
      </w:divBdr>
    </w:div>
    <w:div w:id="1132677217">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244995879">
      <w:bodyDiv w:val="1"/>
      <w:marLeft w:val="0"/>
      <w:marRight w:val="0"/>
      <w:marTop w:val="0"/>
      <w:marBottom w:val="0"/>
      <w:divBdr>
        <w:top w:val="none" w:sz="0" w:space="0" w:color="auto"/>
        <w:left w:val="none" w:sz="0" w:space="0" w:color="auto"/>
        <w:bottom w:val="none" w:sz="0" w:space="0" w:color="auto"/>
        <w:right w:val="none" w:sz="0" w:space="0" w:color="auto"/>
      </w:divBdr>
    </w:div>
    <w:div w:id="1247962172">
      <w:bodyDiv w:val="1"/>
      <w:marLeft w:val="0"/>
      <w:marRight w:val="0"/>
      <w:marTop w:val="0"/>
      <w:marBottom w:val="0"/>
      <w:divBdr>
        <w:top w:val="none" w:sz="0" w:space="0" w:color="auto"/>
        <w:left w:val="none" w:sz="0" w:space="0" w:color="auto"/>
        <w:bottom w:val="none" w:sz="0" w:space="0" w:color="auto"/>
        <w:right w:val="none" w:sz="0" w:space="0" w:color="auto"/>
      </w:divBdr>
    </w:div>
    <w:div w:id="1285036963">
      <w:bodyDiv w:val="1"/>
      <w:marLeft w:val="0"/>
      <w:marRight w:val="0"/>
      <w:marTop w:val="0"/>
      <w:marBottom w:val="0"/>
      <w:divBdr>
        <w:top w:val="none" w:sz="0" w:space="0" w:color="auto"/>
        <w:left w:val="none" w:sz="0" w:space="0" w:color="auto"/>
        <w:bottom w:val="none" w:sz="0" w:space="0" w:color="auto"/>
        <w:right w:val="none" w:sz="0" w:space="0" w:color="auto"/>
      </w:divBdr>
    </w:div>
    <w:div w:id="1303655994">
      <w:bodyDiv w:val="1"/>
      <w:marLeft w:val="0"/>
      <w:marRight w:val="0"/>
      <w:marTop w:val="0"/>
      <w:marBottom w:val="0"/>
      <w:divBdr>
        <w:top w:val="none" w:sz="0" w:space="0" w:color="auto"/>
        <w:left w:val="none" w:sz="0" w:space="0" w:color="auto"/>
        <w:bottom w:val="none" w:sz="0" w:space="0" w:color="auto"/>
        <w:right w:val="none" w:sz="0" w:space="0" w:color="auto"/>
      </w:divBdr>
    </w:div>
    <w:div w:id="1350253804">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509517607">
      <w:bodyDiv w:val="1"/>
      <w:marLeft w:val="0"/>
      <w:marRight w:val="0"/>
      <w:marTop w:val="0"/>
      <w:marBottom w:val="0"/>
      <w:divBdr>
        <w:top w:val="none" w:sz="0" w:space="0" w:color="auto"/>
        <w:left w:val="none" w:sz="0" w:space="0" w:color="auto"/>
        <w:bottom w:val="none" w:sz="0" w:space="0" w:color="auto"/>
        <w:right w:val="none" w:sz="0" w:space="0" w:color="auto"/>
      </w:divBdr>
    </w:div>
    <w:div w:id="1553422533">
      <w:bodyDiv w:val="1"/>
      <w:marLeft w:val="0"/>
      <w:marRight w:val="0"/>
      <w:marTop w:val="0"/>
      <w:marBottom w:val="0"/>
      <w:divBdr>
        <w:top w:val="none" w:sz="0" w:space="0" w:color="auto"/>
        <w:left w:val="none" w:sz="0" w:space="0" w:color="auto"/>
        <w:bottom w:val="none" w:sz="0" w:space="0" w:color="auto"/>
        <w:right w:val="none" w:sz="0" w:space="0" w:color="auto"/>
      </w:divBdr>
    </w:div>
    <w:div w:id="1575361020">
      <w:bodyDiv w:val="1"/>
      <w:marLeft w:val="0"/>
      <w:marRight w:val="0"/>
      <w:marTop w:val="0"/>
      <w:marBottom w:val="0"/>
      <w:divBdr>
        <w:top w:val="none" w:sz="0" w:space="0" w:color="auto"/>
        <w:left w:val="none" w:sz="0" w:space="0" w:color="auto"/>
        <w:bottom w:val="none" w:sz="0" w:space="0" w:color="auto"/>
        <w:right w:val="none" w:sz="0" w:space="0" w:color="auto"/>
      </w:divBdr>
    </w:div>
    <w:div w:id="1615551508">
      <w:bodyDiv w:val="1"/>
      <w:marLeft w:val="0"/>
      <w:marRight w:val="0"/>
      <w:marTop w:val="0"/>
      <w:marBottom w:val="0"/>
      <w:divBdr>
        <w:top w:val="none" w:sz="0" w:space="0" w:color="auto"/>
        <w:left w:val="none" w:sz="0" w:space="0" w:color="auto"/>
        <w:bottom w:val="none" w:sz="0" w:space="0" w:color="auto"/>
        <w:right w:val="none" w:sz="0" w:space="0" w:color="auto"/>
      </w:divBdr>
    </w:div>
    <w:div w:id="1670793888">
      <w:bodyDiv w:val="1"/>
      <w:marLeft w:val="0"/>
      <w:marRight w:val="0"/>
      <w:marTop w:val="0"/>
      <w:marBottom w:val="0"/>
      <w:divBdr>
        <w:top w:val="none" w:sz="0" w:space="0" w:color="auto"/>
        <w:left w:val="none" w:sz="0" w:space="0" w:color="auto"/>
        <w:bottom w:val="none" w:sz="0" w:space="0" w:color="auto"/>
        <w:right w:val="none" w:sz="0" w:space="0" w:color="auto"/>
      </w:divBdr>
    </w:div>
    <w:div w:id="1675649168">
      <w:bodyDiv w:val="1"/>
      <w:marLeft w:val="0"/>
      <w:marRight w:val="0"/>
      <w:marTop w:val="0"/>
      <w:marBottom w:val="0"/>
      <w:divBdr>
        <w:top w:val="none" w:sz="0" w:space="0" w:color="auto"/>
        <w:left w:val="none" w:sz="0" w:space="0" w:color="auto"/>
        <w:bottom w:val="none" w:sz="0" w:space="0" w:color="auto"/>
        <w:right w:val="none" w:sz="0" w:space="0" w:color="auto"/>
      </w:divBdr>
    </w:div>
    <w:div w:id="1727532493">
      <w:bodyDiv w:val="1"/>
      <w:marLeft w:val="0"/>
      <w:marRight w:val="0"/>
      <w:marTop w:val="0"/>
      <w:marBottom w:val="0"/>
      <w:divBdr>
        <w:top w:val="none" w:sz="0" w:space="0" w:color="auto"/>
        <w:left w:val="none" w:sz="0" w:space="0" w:color="auto"/>
        <w:bottom w:val="none" w:sz="0" w:space="0" w:color="auto"/>
        <w:right w:val="none" w:sz="0" w:space="0" w:color="auto"/>
      </w:divBdr>
    </w:div>
    <w:div w:id="1757242897">
      <w:bodyDiv w:val="1"/>
      <w:marLeft w:val="0"/>
      <w:marRight w:val="0"/>
      <w:marTop w:val="0"/>
      <w:marBottom w:val="0"/>
      <w:divBdr>
        <w:top w:val="none" w:sz="0" w:space="0" w:color="auto"/>
        <w:left w:val="none" w:sz="0" w:space="0" w:color="auto"/>
        <w:bottom w:val="none" w:sz="0" w:space="0" w:color="auto"/>
        <w:right w:val="none" w:sz="0" w:space="0" w:color="auto"/>
      </w:divBdr>
    </w:div>
    <w:div w:id="1775709910">
      <w:bodyDiv w:val="1"/>
      <w:marLeft w:val="0"/>
      <w:marRight w:val="0"/>
      <w:marTop w:val="0"/>
      <w:marBottom w:val="0"/>
      <w:divBdr>
        <w:top w:val="none" w:sz="0" w:space="0" w:color="auto"/>
        <w:left w:val="none" w:sz="0" w:space="0" w:color="auto"/>
        <w:bottom w:val="none" w:sz="0" w:space="0" w:color="auto"/>
        <w:right w:val="none" w:sz="0" w:space="0" w:color="auto"/>
      </w:divBdr>
      <w:divsChild>
        <w:div w:id="1008944210">
          <w:marLeft w:val="547"/>
          <w:marRight w:val="0"/>
          <w:marTop w:val="0"/>
          <w:marBottom w:val="0"/>
          <w:divBdr>
            <w:top w:val="none" w:sz="0" w:space="0" w:color="auto"/>
            <w:left w:val="none" w:sz="0" w:space="0" w:color="auto"/>
            <w:bottom w:val="none" w:sz="0" w:space="0" w:color="auto"/>
            <w:right w:val="none" w:sz="0" w:space="0" w:color="auto"/>
          </w:divBdr>
        </w:div>
      </w:divsChild>
    </w:div>
    <w:div w:id="1777214021">
      <w:bodyDiv w:val="1"/>
      <w:marLeft w:val="0"/>
      <w:marRight w:val="0"/>
      <w:marTop w:val="0"/>
      <w:marBottom w:val="0"/>
      <w:divBdr>
        <w:top w:val="none" w:sz="0" w:space="0" w:color="auto"/>
        <w:left w:val="none" w:sz="0" w:space="0" w:color="auto"/>
        <w:bottom w:val="none" w:sz="0" w:space="0" w:color="auto"/>
        <w:right w:val="none" w:sz="0" w:space="0" w:color="auto"/>
      </w:divBdr>
    </w:div>
    <w:div w:id="1824738871">
      <w:bodyDiv w:val="1"/>
      <w:marLeft w:val="0"/>
      <w:marRight w:val="0"/>
      <w:marTop w:val="0"/>
      <w:marBottom w:val="0"/>
      <w:divBdr>
        <w:top w:val="none" w:sz="0" w:space="0" w:color="auto"/>
        <w:left w:val="none" w:sz="0" w:space="0" w:color="auto"/>
        <w:bottom w:val="none" w:sz="0" w:space="0" w:color="auto"/>
        <w:right w:val="none" w:sz="0" w:space="0" w:color="auto"/>
      </w:divBdr>
    </w:div>
    <w:div w:id="1863548730">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994986753">
      <w:bodyDiv w:val="1"/>
      <w:marLeft w:val="0"/>
      <w:marRight w:val="0"/>
      <w:marTop w:val="0"/>
      <w:marBottom w:val="0"/>
      <w:divBdr>
        <w:top w:val="none" w:sz="0" w:space="0" w:color="auto"/>
        <w:left w:val="none" w:sz="0" w:space="0" w:color="auto"/>
        <w:bottom w:val="none" w:sz="0" w:space="0" w:color="auto"/>
        <w:right w:val="none" w:sz="0" w:space="0" w:color="auto"/>
      </w:divBdr>
    </w:div>
    <w:div w:id="2003854515">
      <w:bodyDiv w:val="1"/>
      <w:marLeft w:val="0"/>
      <w:marRight w:val="0"/>
      <w:marTop w:val="0"/>
      <w:marBottom w:val="0"/>
      <w:divBdr>
        <w:top w:val="none" w:sz="0" w:space="0" w:color="auto"/>
        <w:left w:val="none" w:sz="0" w:space="0" w:color="auto"/>
        <w:bottom w:val="none" w:sz="0" w:space="0" w:color="auto"/>
        <w:right w:val="none" w:sz="0" w:space="0" w:color="auto"/>
      </w:divBdr>
    </w:div>
    <w:div w:id="2033920408">
      <w:bodyDiv w:val="1"/>
      <w:marLeft w:val="0"/>
      <w:marRight w:val="0"/>
      <w:marTop w:val="0"/>
      <w:marBottom w:val="0"/>
      <w:divBdr>
        <w:top w:val="none" w:sz="0" w:space="0" w:color="auto"/>
        <w:left w:val="none" w:sz="0" w:space="0" w:color="auto"/>
        <w:bottom w:val="none" w:sz="0" w:space="0" w:color="auto"/>
        <w:right w:val="none" w:sz="0" w:space="0" w:color="auto"/>
      </w:divBdr>
    </w:div>
    <w:div w:id="2048217982">
      <w:bodyDiv w:val="1"/>
      <w:marLeft w:val="0"/>
      <w:marRight w:val="0"/>
      <w:marTop w:val="0"/>
      <w:marBottom w:val="0"/>
      <w:divBdr>
        <w:top w:val="none" w:sz="0" w:space="0" w:color="auto"/>
        <w:left w:val="none" w:sz="0" w:space="0" w:color="auto"/>
        <w:bottom w:val="none" w:sz="0" w:space="0" w:color="auto"/>
        <w:right w:val="none" w:sz="0" w:space="0" w:color="auto"/>
      </w:divBdr>
    </w:div>
    <w:div w:id="2071535983">
      <w:bodyDiv w:val="1"/>
      <w:marLeft w:val="0"/>
      <w:marRight w:val="0"/>
      <w:marTop w:val="0"/>
      <w:marBottom w:val="0"/>
      <w:divBdr>
        <w:top w:val="none" w:sz="0" w:space="0" w:color="auto"/>
        <w:left w:val="none" w:sz="0" w:space="0" w:color="auto"/>
        <w:bottom w:val="none" w:sz="0" w:space="0" w:color="auto"/>
        <w:right w:val="none" w:sz="0" w:space="0" w:color="auto"/>
      </w:divBdr>
    </w:div>
    <w:div w:id="2103793932">
      <w:bodyDiv w:val="1"/>
      <w:marLeft w:val="0"/>
      <w:marRight w:val="0"/>
      <w:marTop w:val="0"/>
      <w:marBottom w:val="0"/>
      <w:divBdr>
        <w:top w:val="none" w:sz="0" w:space="0" w:color="auto"/>
        <w:left w:val="none" w:sz="0" w:space="0" w:color="auto"/>
        <w:bottom w:val="none" w:sz="0" w:space="0" w:color="auto"/>
        <w:right w:val="none" w:sz="0" w:space="0" w:color="auto"/>
      </w:divBdr>
    </w:div>
    <w:div w:id="2121339819">
      <w:bodyDiv w:val="1"/>
      <w:marLeft w:val="0"/>
      <w:marRight w:val="0"/>
      <w:marTop w:val="0"/>
      <w:marBottom w:val="0"/>
      <w:divBdr>
        <w:top w:val="none" w:sz="0" w:space="0" w:color="auto"/>
        <w:left w:val="none" w:sz="0" w:space="0" w:color="auto"/>
        <w:bottom w:val="none" w:sz="0" w:space="0" w:color="auto"/>
        <w:right w:val="none" w:sz="0" w:space="0" w:color="auto"/>
      </w:divBdr>
    </w:div>
    <w:div w:id="21224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8650-8B43-417C-931A-06049C16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1992</Words>
  <Characters>11756</Characters>
  <Application>Microsoft Office Word</Application>
  <DocSecurity>4</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UGIS</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Možná, Radana (ČBA)</cp:lastModifiedBy>
  <cp:revision>2</cp:revision>
  <cp:lastPrinted>2024-11-13T06:29:00Z</cp:lastPrinted>
  <dcterms:created xsi:type="dcterms:W3CDTF">2024-11-14T07:47:00Z</dcterms:created>
  <dcterms:modified xsi:type="dcterms:W3CDTF">2024-11-14T07:47:00Z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0254f4-34d0-49c5-b888-af4abf762ef7_Enabled">
    <vt:lpwstr>True</vt:lpwstr>
  </property>
  <property fmtid="{D5CDD505-2E9C-101B-9397-08002B2CF9AE}" pid="3" name="MSIP_Label_390254f4-34d0-49c5-b888-af4abf762ef7_SiteId">
    <vt:lpwstr>2cc49ce9-66a1-41ac-a96b-bdc54247696a</vt:lpwstr>
  </property>
  <property fmtid="{D5CDD505-2E9C-101B-9397-08002B2CF9AE}" pid="4" name="MSIP_Label_390254f4-34d0-49c5-b888-af4abf762ef7_Owner">
    <vt:lpwstr>Pavel.Sobisek@unicreditgroup.cz</vt:lpwstr>
  </property>
  <property fmtid="{D5CDD505-2E9C-101B-9397-08002B2CF9AE}" pid="5" name="MSIP_Label_390254f4-34d0-49c5-b888-af4abf762ef7_SetDate">
    <vt:lpwstr>2020-01-15T16:11:29.8787231Z</vt:lpwstr>
  </property>
  <property fmtid="{D5CDD505-2E9C-101B-9397-08002B2CF9AE}" pid="6" name="MSIP_Label_390254f4-34d0-49c5-b888-af4abf762ef7_Name">
    <vt:lpwstr>Internal Use Only</vt:lpwstr>
  </property>
  <property fmtid="{D5CDD505-2E9C-101B-9397-08002B2CF9AE}" pid="7" name="MSIP_Label_390254f4-34d0-49c5-b888-af4abf762ef7_Application">
    <vt:lpwstr>Microsoft Azure Information Protection</vt:lpwstr>
  </property>
  <property fmtid="{D5CDD505-2E9C-101B-9397-08002B2CF9AE}" pid="8" name="MSIP_Label_390254f4-34d0-49c5-b888-af4abf762ef7_ActionId">
    <vt:lpwstr>43f3763f-d3c6-435c-ae50-a4a40081b5fb</vt:lpwstr>
  </property>
  <property fmtid="{D5CDD505-2E9C-101B-9397-08002B2CF9AE}" pid="9" name="MSIP_Label_390254f4-34d0-49c5-b888-af4abf762ef7_Extended_MSFT_Method">
    <vt:lpwstr>Automatic</vt:lpwstr>
  </property>
  <property fmtid="{D5CDD505-2E9C-101B-9397-08002B2CF9AE}" pid="10" name="MSIP_Label_faa92781-1fcb-4da3-a1a2-e534c28a25f3_Enabled">
    <vt:lpwstr>True</vt:lpwstr>
  </property>
  <property fmtid="{D5CDD505-2E9C-101B-9397-08002B2CF9AE}" pid="11" name="MSIP_Label_faa92781-1fcb-4da3-a1a2-e534c28a25f3_SiteId">
    <vt:lpwstr>2cc49ce9-66a1-41ac-a96b-bdc54247696a</vt:lpwstr>
  </property>
  <property fmtid="{D5CDD505-2E9C-101B-9397-08002B2CF9AE}" pid="12" name="MSIP_Label_faa92781-1fcb-4da3-a1a2-e534c28a25f3_Owner">
    <vt:lpwstr>Pavel.Sobisek@unicreditgroup.cz</vt:lpwstr>
  </property>
  <property fmtid="{D5CDD505-2E9C-101B-9397-08002B2CF9AE}" pid="13" name="MSIP_Label_faa92781-1fcb-4da3-a1a2-e534c28a25f3_SetDate">
    <vt:lpwstr>2020-01-15T16:11:29.8787231Z</vt:lpwstr>
  </property>
  <property fmtid="{D5CDD505-2E9C-101B-9397-08002B2CF9AE}" pid="14" name="MSIP_Label_faa92781-1fcb-4da3-a1a2-e534c28a25f3_Name">
    <vt:lpwstr>in UniCredit Group - no visual markings</vt:lpwstr>
  </property>
  <property fmtid="{D5CDD505-2E9C-101B-9397-08002B2CF9AE}" pid="15" name="MSIP_Label_faa92781-1fcb-4da3-a1a2-e534c28a25f3_Application">
    <vt:lpwstr>Microsoft Azure Information Protection</vt:lpwstr>
  </property>
  <property fmtid="{D5CDD505-2E9C-101B-9397-08002B2CF9AE}" pid="16" name="MSIP_Label_faa92781-1fcb-4da3-a1a2-e534c28a25f3_ActionId">
    <vt:lpwstr>43f3763f-d3c6-435c-ae50-a4a40081b5fb</vt:lpwstr>
  </property>
  <property fmtid="{D5CDD505-2E9C-101B-9397-08002B2CF9AE}" pid="17" name="MSIP_Label_faa92781-1fcb-4da3-a1a2-e534c28a25f3_Parent">
    <vt:lpwstr>390254f4-34d0-49c5-b888-af4abf762ef7</vt:lpwstr>
  </property>
  <property fmtid="{D5CDD505-2E9C-101B-9397-08002B2CF9AE}" pid="18" name="MSIP_Label_faa92781-1fcb-4da3-a1a2-e534c28a25f3_Extended_MSFT_Method">
    <vt:lpwstr>Automatic</vt:lpwstr>
  </property>
  <property fmtid="{D5CDD505-2E9C-101B-9397-08002B2CF9AE}" pid="19" name="MSIP_Label_2b3a104e-2916-42dc-a2f6-6210338509ed_Enabled">
    <vt:lpwstr>True</vt:lpwstr>
  </property>
  <property fmtid="{D5CDD505-2E9C-101B-9397-08002B2CF9AE}" pid="20" name="MSIP_Label_2b3a104e-2916-42dc-a2f6-6210338509ed_SiteId">
    <vt:lpwstr>e70aafb3-2e89-46a5-ba50-66803e8a4411</vt:lpwstr>
  </property>
  <property fmtid="{D5CDD505-2E9C-101B-9397-08002B2CF9AE}" pid="21" name="MSIP_Label_2b3a104e-2916-42dc-a2f6-6210338509ed_Owner">
    <vt:lpwstr>cen87316@csin.cz</vt:lpwstr>
  </property>
  <property fmtid="{D5CDD505-2E9C-101B-9397-08002B2CF9AE}" pid="22" name="MSIP_Label_2b3a104e-2916-42dc-a2f6-6210338509ed_SetDate">
    <vt:lpwstr>2020-01-17T08:10:02.3455520Z</vt:lpwstr>
  </property>
  <property fmtid="{D5CDD505-2E9C-101B-9397-08002B2CF9AE}" pid="23" name="MSIP_Label_2b3a104e-2916-42dc-a2f6-6210338509ed_Name">
    <vt:lpwstr>CS Internal</vt:lpwstr>
  </property>
  <property fmtid="{D5CDD505-2E9C-101B-9397-08002B2CF9AE}" pid="24" name="MSIP_Label_2b3a104e-2916-42dc-a2f6-6210338509ed_Application">
    <vt:lpwstr>Microsoft Azure Information Protection</vt:lpwstr>
  </property>
  <property fmtid="{D5CDD505-2E9C-101B-9397-08002B2CF9AE}" pid="25" name="MSIP_Label_2b3a104e-2916-42dc-a2f6-6210338509ed_ActionId">
    <vt:lpwstr>60b9ebe4-46ae-459c-bf59-6a05f328379e</vt:lpwstr>
  </property>
  <property fmtid="{D5CDD505-2E9C-101B-9397-08002B2CF9AE}" pid="26" name="MSIP_Label_2b3a104e-2916-42dc-a2f6-6210338509ed_Extended_MSFT_Method">
    <vt:lpwstr>Automatic</vt:lpwstr>
  </property>
  <property fmtid="{D5CDD505-2E9C-101B-9397-08002B2CF9AE}" pid="27" name="MSIP_Label_2a6524ed-fb1a-49fd-bafe-15c5e5ffd047_Enabled">
    <vt:lpwstr>true</vt:lpwstr>
  </property>
  <property fmtid="{D5CDD505-2E9C-101B-9397-08002B2CF9AE}" pid="28" name="MSIP_Label_2a6524ed-fb1a-49fd-bafe-15c5e5ffd047_SetDate">
    <vt:lpwstr>2021-05-10T05:54:55Z</vt:lpwstr>
  </property>
  <property fmtid="{D5CDD505-2E9C-101B-9397-08002B2CF9AE}" pid="29" name="MSIP_Label_2a6524ed-fb1a-49fd-bafe-15c5e5ffd047_Method">
    <vt:lpwstr>Standard</vt:lpwstr>
  </property>
  <property fmtid="{D5CDD505-2E9C-101B-9397-08002B2CF9AE}" pid="30" name="MSIP_Label_2a6524ed-fb1a-49fd-bafe-15c5e5ffd047_Name">
    <vt:lpwstr>Internal</vt:lpwstr>
  </property>
  <property fmtid="{D5CDD505-2E9C-101B-9397-08002B2CF9AE}" pid="31" name="MSIP_Label_2a6524ed-fb1a-49fd-bafe-15c5e5ffd047_SiteId">
    <vt:lpwstr>9b511fda-f0b1-43a5-b06e-1e720f64520a</vt:lpwstr>
  </property>
  <property fmtid="{D5CDD505-2E9C-101B-9397-08002B2CF9AE}" pid="32" name="MSIP_Label_2a6524ed-fb1a-49fd-bafe-15c5e5ffd047_ActionId">
    <vt:lpwstr>6e16e441-bca8-45fa-8e42-4b14b422a2ce</vt:lpwstr>
  </property>
  <property fmtid="{D5CDD505-2E9C-101B-9397-08002B2CF9AE}" pid="33" name="MSIP_Label_2a6524ed-fb1a-49fd-bafe-15c5e5ffd047_ContentBits">
    <vt:lpwstr>0</vt:lpwstr>
  </property>
  <property fmtid="{D5CDD505-2E9C-101B-9397-08002B2CF9AE}" pid="34" name="MSIP_Label_63f4bb52-bd44-4e71-98c6-b1e43e6be5b6_Enabled">
    <vt:lpwstr>true</vt:lpwstr>
  </property>
  <property fmtid="{D5CDD505-2E9C-101B-9397-08002B2CF9AE}" pid="35" name="MSIP_Label_63f4bb52-bd44-4e71-98c6-b1e43e6be5b6_SetDate">
    <vt:lpwstr>2022-08-10T09:54:41Z</vt:lpwstr>
  </property>
  <property fmtid="{D5CDD505-2E9C-101B-9397-08002B2CF9AE}" pid="36" name="MSIP_Label_63f4bb52-bd44-4e71-98c6-b1e43e6be5b6_Method">
    <vt:lpwstr>Standard</vt:lpwstr>
  </property>
  <property fmtid="{D5CDD505-2E9C-101B-9397-08002B2CF9AE}" pid="37" name="MSIP_Label_63f4bb52-bd44-4e71-98c6-b1e43e6be5b6_Name">
    <vt:lpwstr>Chráněné</vt:lpwstr>
  </property>
  <property fmtid="{D5CDD505-2E9C-101B-9397-08002B2CF9AE}" pid="38" name="MSIP_Label_63f4bb52-bd44-4e71-98c6-b1e43e6be5b6_SiteId">
    <vt:lpwstr>9cca307d-eed7-47e0-a567-a3b37ba0308b</vt:lpwstr>
  </property>
  <property fmtid="{D5CDD505-2E9C-101B-9397-08002B2CF9AE}" pid="39" name="MSIP_Label_63f4bb52-bd44-4e71-98c6-b1e43e6be5b6_ActionId">
    <vt:lpwstr>ca7f3bf3-cf89-4cf9-9bd8-fcbcfa83b433</vt:lpwstr>
  </property>
  <property fmtid="{D5CDD505-2E9C-101B-9397-08002B2CF9AE}" pid="40" name="MSIP_Label_63f4bb52-bd44-4e71-98c6-b1e43e6be5b6_ContentBits">
    <vt:lpwstr>0</vt:lpwstr>
  </property>
  <property fmtid="{D5CDD505-2E9C-101B-9397-08002B2CF9AE}" pid="41" name="MSIP_Label_95047c84-0a67-483c-b79b-e48654b86430_Enabled">
    <vt:lpwstr>true</vt:lpwstr>
  </property>
  <property fmtid="{D5CDD505-2E9C-101B-9397-08002B2CF9AE}" pid="42" name="MSIP_Label_95047c84-0a67-483c-b79b-e48654b86430_SetDate">
    <vt:lpwstr>2022-11-09T11:52:35Z</vt:lpwstr>
  </property>
  <property fmtid="{D5CDD505-2E9C-101B-9397-08002B2CF9AE}" pid="43" name="MSIP_Label_95047c84-0a67-483c-b79b-e48654b86430_Method">
    <vt:lpwstr>Standard</vt:lpwstr>
  </property>
  <property fmtid="{D5CDD505-2E9C-101B-9397-08002B2CF9AE}" pid="44" name="MSIP_Label_95047c84-0a67-483c-b79b-e48654b86430_Name">
    <vt:lpwstr>defa4170-0d19-0005-0004-bc88714345d2</vt:lpwstr>
  </property>
  <property fmtid="{D5CDD505-2E9C-101B-9397-08002B2CF9AE}" pid="45" name="MSIP_Label_95047c84-0a67-483c-b79b-e48654b86430_SiteId">
    <vt:lpwstr>3f20558b-6d29-4505-a3e9-96d02ae92fa1</vt:lpwstr>
  </property>
  <property fmtid="{D5CDD505-2E9C-101B-9397-08002B2CF9AE}" pid="46" name="MSIP_Label_95047c84-0a67-483c-b79b-e48654b86430_ActionId">
    <vt:lpwstr>09b031df-8fbf-4de6-9fcd-b47722a3820f</vt:lpwstr>
  </property>
  <property fmtid="{D5CDD505-2E9C-101B-9397-08002B2CF9AE}" pid="47" name="MSIP_Label_95047c84-0a67-483c-b79b-e48654b86430_ContentBits">
    <vt:lpwstr>0</vt:lpwstr>
  </property>
  <property fmtid="{D5CDD505-2E9C-101B-9397-08002B2CF9AE}" pid="48" name="MSIP_Label_38939b85-7e40-4a1d-91e1-0e84c3b219d7_Enabled">
    <vt:lpwstr>true</vt:lpwstr>
  </property>
  <property fmtid="{D5CDD505-2E9C-101B-9397-08002B2CF9AE}" pid="49" name="MSIP_Label_38939b85-7e40-4a1d-91e1-0e84c3b219d7_SetDate">
    <vt:lpwstr>2023-08-08T13:09:17Z</vt:lpwstr>
  </property>
  <property fmtid="{D5CDD505-2E9C-101B-9397-08002B2CF9AE}" pid="50" name="MSIP_Label_38939b85-7e40-4a1d-91e1-0e84c3b219d7_Method">
    <vt:lpwstr>Standard</vt:lpwstr>
  </property>
  <property fmtid="{D5CDD505-2E9C-101B-9397-08002B2CF9AE}" pid="51" name="MSIP_Label_38939b85-7e40-4a1d-91e1-0e84c3b219d7_Name">
    <vt:lpwstr>38939b85-7e40-4a1d-91e1-0e84c3b219d7</vt:lpwstr>
  </property>
  <property fmtid="{D5CDD505-2E9C-101B-9397-08002B2CF9AE}" pid="52" name="MSIP_Label_38939b85-7e40-4a1d-91e1-0e84c3b219d7_SiteId">
    <vt:lpwstr>3ad0376a-54d3-49a6-9e20-52de0a92fc89</vt:lpwstr>
  </property>
  <property fmtid="{D5CDD505-2E9C-101B-9397-08002B2CF9AE}" pid="53" name="MSIP_Label_38939b85-7e40-4a1d-91e1-0e84c3b219d7_ActionId">
    <vt:lpwstr>a9bfb157-61e9-41a9-8f12-7ab49d163955</vt:lpwstr>
  </property>
  <property fmtid="{D5CDD505-2E9C-101B-9397-08002B2CF9AE}" pid="54" name="MSIP_Label_38939b85-7e40-4a1d-91e1-0e84c3b219d7_ContentBits">
    <vt:lpwstr>0</vt:lpwstr>
  </property>
  <property fmtid="{D5CDD505-2E9C-101B-9397-08002B2CF9AE}" pid="55" name="MSIP_Label_076d9757-80ae-4c87-b4d7-9ffa7a0710d0_Enabled">
    <vt:lpwstr>true</vt:lpwstr>
  </property>
  <property fmtid="{D5CDD505-2E9C-101B-9397-08002B2CF9AE}" pid="56" name="MSIP_Label_076d9757-80ae-4c87-b4d7-9ffa7a0710d0_SetDate">
    <vt:lpwstr>2024-11-13T06:52:34Z</vt:lpwstr>
  </property>
  <property fmtid="{D5CDD505-2E9C-101B-9397-08002B2CF9AE}" pid="57" name="MSIP_Label_076d9757-80ae-4c87-b4d7-9ffa7a0710d0_Method">
    <vt:lpwstr>Standard</vt:lpwstr>
  </property>
  <property fmtid="{D5CDD505-2E9C-101B-9397-08002B2CF9AE}" pid="58" name="MSIP_Label_076d9757-80ae-4c87-b4d7-9ffa7a0710d0_Name">
    <vt:lpwstr>076d9757-80ae-4c87-b4d7-9ffa7a0710d0</vt:lpwstr>
  </property>
  <property fmtid="{D5CDD505-2E9C-101B-9397-08002B2CF9AE}" pid="59" name="MSIP_Label_076d9757-80ae-4c87-b4d7-9ffa7a0710d0_SiteId">
    <vt:lpwstr>c79e7c80-cff5-4503-b468-3702cea89272</vt:lpwstr>
  </property>
  <property fmtid="{D5CDD505-2E9C-101B-9397-08002B2CF9AE}" pid="60" name="MSIP_Label_076d9757-80ae-4c87-b4d7-9ffa7a0710d0_ActionId">
    <vt:lpwstr>e6da5af1-39f2-4f2b-b59b-984e27099740</vt:lpwstr>
  </property>
  <property fmtid="{D5CDD505-2E9C-101B-9397-08002B2CF9AE}" pid="61" name="MSIP_Label_076d9757-80ae-4c87-b4d7-9ffa7a0710d0_ContentBits">
    <vt:lpwstr>0</vt:lpwstr>
  </property>
  <property fmtid="{D5CDD505-2E9C-101B-9397-08002B2CF9AE}" pid="62" name="Kod_Duvernosti">
    <vt:lpwstr>KB_C1_INTERNAL_992521</vt:lpwstr>
  </property>
</Properties>
</file>