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245D2" w14:textId="6DC90918" w:rsidR="00266E32" w:rsidRPr="00906FDC" w:rsidRDefault="00266E32" w:rsidP="002B1A4A">
      <w:pPr>
        <w:spacing w:after="120"/>
        <w:rPr>
          <w:rFonts w:ascii="Calibri" w:hAnsi="Calibri" w:cs="Arial"/>
          <w:b/>
          <w:color w:val="13576B"/>
          <w:sz w:val="36"/>
          <w:szCs w:val="36"/>
        </w:rPr>
      </w:pPr>
      <w:r w:rsidRPr="00906FDC">
        <w:rPr>
          <w:rFonts w:ascii="Calibri" w:hAnsi="Calibri" w:cs="Arial"/>
          <w:b/>
          <w:color w:val="13576B"/>
          <w:sz w:val="36"/>
          <w:szCs w:val="36"/>
        </w:rPr>
        <w:t>MAKROEKONOMICKÁ PROGNÓZA ČBA</w:t>
      </w:r>
    </w:p>
    <w:p w14:paraId="240C088F" w14:textId="7F91F531" w:rsidR="00266E32" w:rsidRPr="00906FDC" w:rsidRDefault="00A46AFF" w:rsidP="00266E32">
      <w:pPr>
        <w:jc w:val="left"/>
        <w:rPr>
          <w:rFonts w:ascii="Calibri" w:hAnsi="Calibri" w:cs="Arial"/>
          <w:b/>
          <w:color w:val="13576B"/>
          <w:sz w:val="32"/>
          <w:szCs w:val="32"/>
        </w:rPr>
      </w:pPr>
      <w:r>
        <w:rPr>
          <w:rFonts w:ascii="Calibri" w:hAnsi="Calibri" w:cs="Arial"/>
          <w:b/>
          <w:color w:val="13576B"/>
          <w:sz w:val="32"/>
          <w:szCs w:val="32"/>
        </w:rPr>
        <w:t>Květen</w:t>
      </w:r>
      <w:r w:rsidR="00FF1673">
        <w:rPr>
          <w:rFonts w:ascii="Calibri" w:hAnsi="Calibri" w:cs="Arial"/>
          <w:b/>
          <w:color w:val="13576B"/>
          <w:sz w:val="32"/>
          <w:szCs w:val="32"/>
        </w:rPr>
        <w:t xml:space="preserve"> </w:t>
      </w:r>
      <w:r w:rsidR="000366C2" w:rsidRPr="00906FDC">
        <w:rPr>
          <w:rFonts w:ascii="Calibri" w:hAnsi="Calibri" w:cs="Arial"/>
          <w:b/>
          <w:color w:val="13576B"/>
          <w:sz w:val="32"/>
          <w:szCs w:val="32"/>
        </w:rPr>
        <w:t>20</w:t>
      </w:r>
      <w:r w:rsidR="00335332" w:rsidRPr="00906FDC">
        <w:rPr>
          <w:rFonts w:ascii="Calibri" w:hAnsi="Calibri" w:cs="Arial"/>
          <w:b/>
          <w:color w:val="13576B"/>
          <w:sz w:val="32"/>
          <w:szCs w:val="32"/>
        </w:rPr>
        <w:t>2</w:t>
      </w:r>
      <w:r w:rsidR="00FF1673">
        <w:rPr>
          <w:rFonts w:ascii="Calibri" w:hAnsi="Calibri" w:cs="Arial"/>
          <w:b/>
          <w:color w:val="13576B"/>
          <w:sz w:val="32"/>
          <w:szCs w:val="32"/>
        </w:rPr>
        <w:t>4</w:t>
      </w:r>
      <w:r w:rsidR="000366C2" w:rsidRPr="00906FDC">
        <w:rPr>
          <w:rFonts w:ascii="Calibri" w:hAnsi="Calibri" w:cs="Arial"/>
          <w:b/>
          <w:color w:val="13576B"/>
          <w:sz w:val="32"/>
          <w:szCs w:val="32"/>
        </w:rPr>
        <w:t xml:space="preserve">: </w:t>
      </w:r>
      <w:r w:rsidR="00FF1673">
        <w:rPr>
          <w:rFonts w:ascii="Calibri" w:hAnsi="Calibri" w:cs="Arial"/>
          <w:b/>
          <w:color w:val="13576B"/>
          <w:sz w:val="32"/>
          <w:szCs w:val="32"/>
        </w:rPr>
        <w:t xml:space="preserve">Letošní zotavování bude </w:t>
      </w:r>
      <w:r>
        <w:rPr>
          <w:rFonts w:ascii="Calibri" w:hAnsi="Calibri" w:cs="Arial"/>
          <w:b/>
          <w:color w:val="13576B"/>
          <w:sz w:val="32"/>
          <w:szCs w:val="32"/>
        </w:rPr>
        <w:t>pozvolné, v příštím roce by měl růst zrychlit,</w:t>
      </w:r>
      <w:r w:rsidR="00FF1673">
        <w:rPr>
          <w:rFonts w:ascii="Calibri" w:hAnsi="Calibri" w:cs="Arial"/>
          <w:b/>
          <w:color w:val="13576B"/>
          <w:sz w:val="32"/>
          <w:szCs w:val="32"/>
        </w:rPr>
        <w:t xml:space="preserve"> </w:t>
      </w:r>
      <w:r w:rsidR="00FF1673" w:rsidRPr="00635DD9">
        <w:rPr>
          <w:rFonts w:ascii="Calibri" w:hAnsi="Calibri" w:cs="Arial"/>
          <w:b/>
          <w:color w:val="13576B"/>
          <w:sz w:val="32"/>
          <w:szCs w:val="32"/>
        </w:rPr>
        <w:t xml:space="preserve">inflace </w:t>
      </w:r>
      <w:r>
        <w:rPr>
          <w:rFonts w:ascii="Calibri" w:hAnsi="Calibri" w:cs="Arial"/>
          <w:b/>
          <w:color w:val="13576B"/>
          <w:sz w:val="32"/>
          <w:szCs w:val="32"/>
        </w:rPr>
        <w:t>setrvá letos i příští rok u 2%</w:t>
      </w:r>
      <w:r w:rsidR="00EB0399" w:rsidRPr="00635DD9">
        <w:rPr>
          <w:rFonts w:ascii="Calibri" w:hAnsi="Calibri" w:cs="Arial"/>
          <w:b/>
          <w:color w:val="13576B"/>
          <w:sz w:val="32"/>
          <w:szCs w:val="32"/>
        </w:rPr>
        <w:t xml:space="preserve"> cíl</w:t>
      </w:r>
      <w:r>
        <w:rPr>
          <w:rFonts w:ascii="Calibri" w:hAnsi="Calibri" w:cs="Arial"/>
          <w:b/>
          <w:color w:val="13576B"/>
          <w:sz w:val="32"/>
          <w:szCs w:val="32"/>
        </w:rPr>
        <w:t>e</w:t>
      </w:r>
      <w:r w:rsidR="00EB0399" w:rsidRPr="00635DD9">
        <w:rPr>
          <w:rFonts w:ascii="Calibri" w:hAnsi="Calibri" w:cs="Arial"/>
          <w:b/>
          <w:color w:val="13576B"/>
          <w:sz w:val="32"/>
          <w:szCs w:val="32"/>
        </w:rPr>
        <w:t xml:space="preserve"> </w:t>
      </w:r>
      <w:r w:rsidR="00FF1673" w:rsidRPr="00635DD9">
        <w:rPr>
          <w:rFonts w:ascii="Calibri" w:hAnsi="Calibri" w:cs="Arial"/>
          <w:b/>
          <w:color w:val="13576B"/>
          <w:sz w:val="32"/>
          <w:szCs w:val="32"/>
        </w:rPr>
        <w:t>centrální banky</w:t>
      </w:r>
    </w:p>
    <w:p w14:paraId="47BA50B7" w14:textId="57D4C1DA" w:rsidR="008B1328" w:rsidRPr="00906FDC" w:rsidRDefault="00266E32" w:rsidP="00983579">
      <w:pPr>
        <w:pStyle w:val="Normlnweb"/>
        <w:jc w:val="both"/>
        <w:rPr>
          <w:rFonts w:ascii="Calibri" w:hAnsi="Calibri" w:cs="Calibri"/>
          <w:color w:val="13576B"/>
          <w:sz w:val="20"/>
        </w:rPr>
      </w:pPr>
      <w:r w:rsidRPr="00906FDC">
        <w:rPr>
          <w:rFonts w:ascii="Calibri" w:hAnsi="Calibri" w:cs="Calibri"/>
          <w:b/>
          <w:color w:val="13576B"/>
          <w:sz w:val="20"/>
        </w:rPr>
        <w:t xml:space="preserve">Praha, </w:t>
      </w:r>
      <w:r w:rsidR="00F662FA">
        <w:rPr>
          <w:rFonts w:ascii="Calibri" w:hAnsi="Calibri" w:cs="Calibri"/>
          <w:b/>
          <w:color w:val="13576B"/>
          <w:sz w:val="20"/>
        </w:rPr>
        <w:t>9</w:t>
      </w:r>
      <w:r w:rsidRPr="00906FDC">
        <w:rPr>
          <w:rFonts w:ascii="Calibri" w:hAnsi="Calibri" w:cs="Calibri"/>
          <w:b/>
          <w:color w:val="13576B"/>
          <w:sz w:val="20"/>
        </w:rPr>
        <w:t xml:space="preserve">. </w:t>
      </w:r>
      <w:r w:rsidR="00F662FA">
        <w:rPr>
          <w:rFonts w:ascii="Calibri" w:hAnsi="Calibri" w:cs="Calibri"/>
          <w:b/>
          <w:color w:val="13576B"/>
          <w:sz w:val="20"/>
        </w:rPr>
        <w:t>května</w:t>
      </w:r>
      <w:r w:rsidR="00FF1673">
        <w:rPr>
          <w:rFonts w:ascii="Calibri" w:hAnsi="Calibri" w:cs="Calibri"/>
          <w:b/>
          <w:color w:val="13576B"/>
          <w:sz w:val="20"/>
        </w:rPr>
        <w:t xml:space="preserve"> </w:t>
      </w:r>
      <w:r w:rsidRPr="00906FDC">
        <w:rPr>
          <w:rFonts w:ascii="Calibri" w:hAnsi="Calibri" w:cs="Calibri"/>
          <w:b/>
          <w:color w:val="13576B"/>
          <w:sz w:val="20"/>
        </w:rPr>
        <w:t>202</w:t>
      </w:r>
      <w:r w:rsidR="00FF1673">
        <w:rPr>
          <w:rFonts w:ascii="Calibri" w:hAnsi="Calibri" w:cs="Calibri"/>
          <w:b/>
          <w:color w:val="13576B"/>
          <w:sz w:val="20"/>
        </w:rPr>
        <w:t>4</w:t>
      </w:r>
      <w:r w:rsidRPr="00906FDC">
        <w:rPr>
          <w:rFonts w:ascii="Calibri" w:hAnsi="Calibri" w:cs="Calibri"/>
          <w:b/>
          <w:color w:val="13576B"/>
          <w:sz w:val="20"/>
        </w:rPr>
        <w:t xml:space="preserve"> – Hlavní ekonomové bank zastoupení v </w:t>
      </w:r>
      <w:r w:rsidR="005E1864" w:rsidRPr="00906FDC">
        <w:rPr>
          <w:rFonts w:ascii="Calibri" w:hAnsi="Calibri" w:cs="Calibri"/>
          <w:b/>
          <w:color w:val="13576B"/>
          <w:sz w:val="20"/>
        </w:rPr>
        <w:t>p</w:t>
      </w:r>
      <w:r w:rsidRPr="00906FDC">
        <w:rPr>
          <w:rFonts w:ascii="Calibri" w:hAnsi="Calibri" w:cs="Calibri"/>
          <w:b/>
          <w:color w:val="13576B"/>
          <w:sz w:val="20"/>
        </w:rPr>
        <w:t xml:space="preserve">rognostickém panelu České bankovní asociace (ČBA) </w:t>
      </w:r>
      <w:r w:rsidR="006A1E09" w:rsidRPr="00906FDC">
        <w:rPr>
          <w:rFonts w:ascii="Calibri" w:hAnsi="Calibri" w:cs="Calibri"/>
          <w:b/>
          <w:color w:val="13576B"/>
          <w:sz w:val="20"/>
        </w:rPr>
        <w:t xml:space="preserve">očekávají, že tuzemská ekonomika v letošním roce </w:t>
      </w:r>
      <w:r w:rsidR="00821693">
        <w:rPr>
          <w:rFonts w:ascii="Calibri" w:hAnsi="Calibri" w:cs="Calibri"/>
          <w:b/>
          <w:color w:val="13576B"/>
          <w:sz w:val="20"/>
        </w:rPr>
        <w:t>bude růst o 1,</w:t>
      </w:r>
      <w:r w:rsidR="00E05BD0">
        <w:rPr>
          <w:rFonts w:ascii="Calibri" w:hAnsi="Calibri" w:cs="Calibri"/>
          <w:b/>
          <w:color w:val="13576B"/>
          <w:sz w:val="20"/>
        </w:rPr>
        <w:t>4</w:t>
      </w:r>
      <w:r w:rsidR="00821693">
        <w:rPr>
          <w:rFonts w:ascii="Calibri" w:hAnsi="Calibri" w:cs="Calibri"/>
          <w:b/>
          <w:color w:val="13576B"/>
          <w:sz w:val="20"/>
        </w:rPr>
        <w:t xml:space="preserve"> % a odhad tak oproti </w:t>
      </w:r>
      <w:r w:rsidR="00E05BD0">
        <w:rPr>
          <w:rFonts w:ascii="Calibri" w:hAnsi="Calibri" w:cs="Calibri"/>
          <w:b/>
          <w:color w:val="13576B"/>
          <w:sz w:val="20"/>
        </w:rPr>
        <w:t>únorové prognóze nepatrně zlepšili.</w:t>
      </w:r>
      <w:r w:rsidR="00821693">
        <w:rPr>
          <w:rFonts w:ascii="Calibri" w:hAnsi="Calibri" w:cs="Calibri"/>
          <w:b/>
          <w:color w:val="13576B"/>
          <w:sz w:val="20"/>
        </w:rPr>
        <w:t xml:space="preserve"> </w:t>
      </w:r>
      <w:r w:rsidR="006A1E09" w:rsidRPr="00906FDC">
        <w:rPr>
          <w:rFonts w:ascii="Calibri" w:hAnsi="Calibri" w:cs="Calibri"/>
          <w:b/>
          <w:color w:val="13576B"/>
          <w:sz w:val="20"/>
        </w:rPr>
        <w:t xml:space="preserve">Pro příští rok </w:t>
      </w:r>
      <w:r w:rsidR="00162CD4">
        <w:rPr>
          <w:rFonts w:ascii="Calibri" w:hAnsi="Calibri" w:cs="Calibri"/>
          <w:b/>
          <w:color w:val="13576B"/>
          <w:sz w:val="20"/>
        </w:rPr>
        <w:t xml:space="preserve">prognóza očekává zrychlení HDP o 2,7 %, obdobně jako v únoru. </w:t>
      </w:r>
      <w:r w:rsidR="00846667">
        <w:rPr>
          <w:rFonts w:ascii="Calibri" w:hAnsi="Calibri" w:cs="Calibri"/>
          <w:b/>
          <w:color w:val="13576B"/>
          <w:sz w:val="20"/>
        </w:rPr>
        <w:t xml:space="preserve">Mírně příznivější odhad růstu pro letošní rok je spojen s nepatrně lepším výhledem na vývoj v zahraničí. </w:t>
      </w:r>
      <w:r w:rsidR="006B2CA3">
        <w:rPr>
          <w:rFonts w:ascii="Calibri" w:hAnsi="Calibri" w:cs="Calibri"/>
          <w:b/>
          <w:color w:val="13576B"/>
          <w:sz w:val="20"/>
        </w:rPr>
        <w:t>Průměrná i</w:t>
      </w:r>
      <w:r w:rsidR="00032B41" w:rsidRPr="00906FDC">
        <w:rPr>
          <w:rFonts w:ascii="Calibri" w:hAnsi="Calibri" w:cs="Calibri"/>
          <w:b/>
          <w:color w:val="13576B"/>
          <w:sz w:val="20"/>
        </w:rPr>
        <w:t>nflac</w:t>
      </w:r>
      <w:r w:rsidR="00C8570C" w:rsidRPr="00906FDC">
        <w:rPr>
          <w:rFonts w:ascii="Calibri" w:hAnsi="Calibri" w:cs="Calibri"/>
          <w:b/>
          <w:color w:val="13576B"/>
          <w:sz w:val="20"/>
        </w:rPr>
        <w:t xml:space="preserve">e letos </w:t>
      </w:r>
      <w:r w:rsidR="00821693">
        <w:rPr>
          <w:rFonts w:ascii="Calibri" w:hAnsi="Calibri" w:cs="Calibri"/>
          <w:b/>
          <w:color w:val="13576B"/>
          <w:sz w:val="20"/>
        </w:rPr>
        <w:t>poklesne na 2,</w:t>
      </w:r>
      <w:r w:rsidR="00846667">
        <w:rPr>
          <w:rFonts w:ascii="Calibri" w:hAnsi="Calibri" w:cs="Calibri"/>
          <w:b/>
          <w:color w:val="13576B"/>
          <w:sz w:val="20"/>
        </w:rPr>
        <w:t>3</w:t>
      </w:r>
      <w:r w:rsidR="00821693">
        <w:rPr>
          <w:rFonts w:ascii="Calibri" w:hAnsi="Calibri" w:cs="Calibri"/>
          <w:b/>
          <w:color w:val="13576B"/>
          <w:sz w:val="20"/>
        </w:rPr>
        <w:t xml:space="preserve"> </w:t>
      </w:r>
      <w:r w:rsidR="006A1E09" w:rsidRPr="00906FDC">
        <w:rPr>
          <w:rFonts w:ascii="Calibri" w:hAnsi="Calibri" w:cs="Calibri"/>
          <w:b/>
          <w:color w:val="13576B"/>
          <w:sz w:val="20"/>
        </w:rPr>
        <w:t>%</w:t>
      </w:r>
      <w:r w:rsidR="00846667">
        <w:rPr>
          <w:rFonts w:ascii="Calibri" w:hAnsi="Calibri" w:cs="Calibri"/>
          <w:b/>
          <w:color w:val="13576B"/>
          <w:sz w:val="20"/>
        </w:rPr>
        <w:t xml:space="preserve"> a na obdobné úrovni by </w:t>
      </w:r>
      <w:r w:rsidR="00C53807">
        <w:rPr>
          <w:rFonts w:ascii="Calibri" w:hAnsi="Calibri" w:cs="Calibri"/>
          <w:b/>
          <w:color w:val="13576B"/>
          <w:sz w:val="20"/>
        </w:rPr>
        <w:t xml:space="preserve">se </w:t>
      </w:r>
      <w:r w:rsidR="00846667">
        <w:rPr>
          <w:rFonts w:ascii="Calibri" w:hAnsi="Calibri" w:cs="Calibri"/>
          <w:b/>
          <w:color w:val="13576B"/>
          <w:sz w:val="20"/>
        </w:rPr>
        <w:t>měl</w:t>
      </w:r>
      <w:r w:rsidR="00C53807">
        <w:rPr>
          <w:rFonts w:ascii="Calibri" w:hAnsi="Calibri" w:cs="Calibri"/>
          <w:b/>
          <w:color w:val="13576B"/>
          <w:sz w:val="20"/>
        </w:rPr>
        <w:t xml:space="preserve">a pohybovat </w:t>
      </w:r>
      <w:r w:rsidR="00846667">
        <w:rPr>
          <w:rFonts w:ascii="Calibri" w:hAnsi="Calibri" w:cs="Calibri"/>
          <w:b/>
          <w:color w:val="13576B"/>
          <w:sz w:val="20"/>
        </w:rPr>
        <w:t xml:space="preserve">i v příštím roce. </w:t>
      </w:r>
      <w:r w:rsidR="00821693">
        <w:rPr>
          <w:rFonts w:ascii="Calibri" w:hAnsi="Calibri" w:cs="Calibri"/>
          <w:b/>
          <w:color w:val="13576B"/>
          <w:sz w:val="20"/>
        </w:rPr>
        <w:t>N</w:t>
      </w:r>
      <w:r w:rsidR="007B5FE5" w:rsidRPr="00906FDC">
        <w:rPr>
          <w:rFonts w:ascii="Calibri" w:hAnsi="Calibri" w:cs="Calibri"/>
          <w:b/>
          <w:color w:val="13576B"/>
          <w:sz w:val="20"/>
        </w:rPr>
        <w:t xml:space="preserve">ominální </w:t>
      </w:r>
      <w:r w:rsidR="006A1E09" w:rsidRPr="00906FDC">
        <w:rPr>
          <w:rFonts w:ascii="Calibri" w:hAnsi="Calibri" w:cs="Calibri"/>
          <w:b/>
          <w:color w:val="13576B"/>
          <w:sz w:val="20"/>
        </w:rPr>
        <w:t xml:space="preserve">mzdy v letošním roce porostou kolem </w:t>
      </w:r>
      <w:r w:rsidR="007560A8">
        <w:rPr>
          <w:rFonts w:ascii="Calibri" w:hAnsi="Calibri" w:cs="Calibri"/>
          <w:b/>
          <w:color w:val="13576B"/>
          <w:sz w:val="20"/>
        </w:rPr>
        <w:t>6</w:t>
      </w:r>
      <w:r w:rsidR="00821693">
        <w:rPr>
          <w:rFonts w:ascii="Calibri" w:hAnsi="Calibri" w:cs="Calibri"/>
          <w:b/>
          <w:color w:val="13576B"/>
          <w:sz w:val="20"/>
        </w:rPr>
        <w:t xml:space="preserve"> </w:t>
      </w:r>
      <w:r w:rsidR="006A1E09" w:rsidRPr="00906FDC">
        <w:rPr>
          <w:rFonts w:ascii="Calibri" w:hAnsi="Calibri" w:cs="Calibri"/>
          <w:b/>
          <w:color w:val="13576B"/>
          <w:sz w:val="20"/>
        </w:rPr>
        <w:t xml:space="preserve">%, v reálném vyjádření </w:t>
      </w:r>
      <w:r w:rsidR="00821693">
        <w:rPr>
          <w:rFonts w:ascii="Calibri" w:hAnsi="Calibri" w:cs="Calibri"/>
          <w:b/>
          <w:color w:val="13576B"/>
          <w:sz w:val="20"/>
        </w:rPr>
        <w:t xml:space="preserve">pak o necelá 4 %, což </w:t>
      </w:r>
      <w:r w:rsidR="00BB5FA5">
        <w:rPr>
          <w:rFonts w:ascii="Calibri" w:hAnsi="Calibri" w:cs="Calibri"/>
          <w:b/>
          <w:color w:val="13576B"/>
          <w:sz w:val="20"/>
        </w:rPr>
        <w:t>představuje</w:t>
      </w:r>
      <w:r w:rsidR="00821693">
        <w:rPr>
          <w:rFonts w:ascii="Calibri" w:hAnsi="Calibri" w:cs="Calibri"/>
          <w:b/>
          <w:color w:val="13576B"/>
          <w:sz w:val="20"/>
        </w:rPr>
        <w:t xml:space="preserve"> první růst reálných mezd </w:t>
      </w:r>
      <w:r w:rsidR="00591B8C">
        <w:rPr>
          <w:rFonts w:ascii="Calibri" w:hAnsi="Calibri" w:cs="Calibri"/>
          <w:b/>
          <w:color w:val="13576B"/>
          <w:sz w:val="20"/>
        </w:rPr>
        <w:t>po dvou</w:t>
      </w:r>
      <w:r w:rsidR="006B2CA3">
        <w:rPr>
          <w:rFonts w:ascii="Calibri" w:hAnsi="Calibri" w:cs="Calibri"/>
          <w:b/>
          <w:color w:val="13576B"/>
          <w:sz w:val="20"/>
        </w:rPr>
        <w:t>leté přestávce</w:t>
      </w:r>
      <w:r w:rsidR="00591B8C">
        <w:rPr>
          <w:rFonts w:ascii="Calibri" w:hAnsi="Calibri" w:cs="Calibri"/>
          <w:b/>
          <w:color w:val="13576B"/>
          <w:sz w:val="20"/>
        </w:rPr>
        <w:t xml:space="preserve">. </w:t>
      </w:r>
      <w:r w:rsidR="003B29C5" w:rsidRPr="00906FDC">
        <w:rPr>
          <w:rFonts w:ascii="Calibri" w:hAnsi="Calibri" w:cs="Calibri"/>
          <w:b/>
          <w:color w:val="13576B"/>
          <w:sz w:val="20"/>
        </w:rPr>
        <w:t>Na t</w:t>
      </w:r>
      <w:r w:rsidR="005E236A" w:rsidRPr="00906FDC">
        <w:rPr>
          <w:rFonts w:ascii="Calibri" w:hAnsi="Calibri" w:cs="Calibri"/>
          <w:b/>
          <w:color w:val="13576B"/>
          <w:sz w:val="20"/>
        </w:rPr>
        <w:t xml:space="preserve">rh práce </w:t>
      </w:r>
      <w:r w:rsidR="003B29C5" w:rsidRPr="00906FDC">
        <w:rPr>
          <w:rFonts w:ascii="Calibri" w:hAnsi="Calibri" w:cs="Calibri"/>
          <w:b/>
          <w:color w:val="13576B"/>
          <w:sz w:val="20"/>
        </w:rPr>
        <w:t>ekonomick</w:t>
      </w:r>
      <w:r w:rsidR="00E868F3">
        <w:rPr>
          <w:rFonts w:ascii="Calibri" w:hAnsi="Calibri" w:cs="Calibri"/>
          <w:b/>
          <w:color w:val="13576B"/>
          <w:sz w:val="20"/>
        </w:rPr>
        <w:t>ý pokles loňského roku</w:t>
      </w:r>
      <w:r w:rsidR="003B29C5" w:rsidRPr="00906FDC">
        <w:rPr>
          <w:rFonts w:ascii="Calibri" w:hAnsi="Calibri" w:cs="Calibri"/>
          <w:b/>
          <w:color w:val="13576B"/>
          <w:sz w:val="20"/>
        </w:rPr>
        <w:t xml:space="preserve"> dopad</w:t>
      </w:r>
      <w:r w:rsidR="00E868F3">
        <w:rPr>
          <w:rFonts w:ascii="Calibri" w:hAnsi="Calibri" w:cs="Calibri"/>
          <w:b/>
          <w:color w:val="13576B"/>
          <w:sz w:val="20"/>
        </w:rPr>
        <w:t>l</w:t>
      </w:r>
      <w:r w:rsidR="003B29C5" w:rsidRPr="00906FDC">
        <w:rPr>
          <w:rFonts w:ascii="Calibri" w:hAnsi="Calibri" w:cs="Calibri"/>
          <w:b/>
          <w:color w:val="13576B"/>
          <w:sz w:val="20"/>
        </w:rPr>
        <w:t xml:space="preserve"> </w:t>
      </w:r>
      <w:r w:rsidR="004333DE" w:rsidRPr="00906FDC">
        <w:rPr>
          <w:rFonts w:ascii="Calibri" w:hAnsi="Calibri" w:cs="Calibri"/>
          <w:b/>
          <w:color w:val="13576B"/>
          <w:sz w:val="20"/>
        </w:rPr>
        <w:t xml:space="preserve">omezeně a míra nezaměstnanosti setrvává na nízkých </w:t>
      </w:r>
      <w:r w:rsidR="00246F10" w:rsidRPr="00906FDC">
        <w:rPr>
          <w:rFonts w:ascii="Calibri" w:hAnsi="Calibri" w:cs="Calibri"/>
          <w:b/>
          <w:color w:val="13576B"/>
          <w:sz w:val="20"/>
        </w:rPr>
        <w:t>úrovních</w:t>
      </w:r>
      <w:r w:rsidR="00E868F3">
        <w:rPr>
          <w:rFonts w:ascii="Calibri" w:hAnsi="Calibri" w:cs="Calibri"/>
          <w:b/>
          <w:color w:val="13576B"/>
          <w:sz w:val="20"/>
        </w:rPr>
        <w:t>, ačkoli určité známky ochlazování na trhu práce viditelné již jsou.</w:t>
      </w:r>
      <w:r w:rsidR="004333DE" w:rsidRPr="00906FDC">
        <w:rPr>
          <w:rFonts w:ascii="Calibri" w:hAnsi="Calibri" w:cs="Calibri"/>
          <w:b/>
          <w:color w:val="13576B"/>
          <w:sz w:val="20"/>
        </w:rPr>
        <w:t xml:space="preserve"> </w:t>
      </w:r>
      <w:r w:rsidR="008D487B" w:rsidRPr="00906FDC">
        <w:rPr>
          <w:rFonts w:ascii="Calibri" w:hAnsi="Calibri" w:cs="Calibri"/>
          <w:b/>
          <w:color w:val="13576B"/>
          <w:sz w:val="20"/>
        </w:rPr>
        <w:t>Úrokov</w:t>
      </w:r>
      <w:r w:rsidR="00104E9B" w:rsidRPr="00906FDC">
        <w:rPr>
          <w:rFonts w:ascii="Calibri" w:hAnsi="Calibri" w:cs="Calibri"/>
          <w:b/>
          <w:color w:val="13576B"/>
          <w:sz w:val="20"/>
        </w:rPr>
        <w:t>é</w:t>
      </w:r>
      <w:r w:rsidR="008D487B" w:rsidRPr="00906FDC">
        <w:rPr>
          <w:rFonts w:ascii="Calibri" w:hAnsi="Calibri" w:cs="Calibri"/>
          <w:b/>
          <w:color w:val="13576B"/>
          <w:sz w:val="20"/>
        </w:rPr>
        <w:t xml:space="preserve"> sazby ČNB </w:t>
      </w:r>
      <w:r w:rsidR="00821693">
        <w:rPr>
          <w:rFonts w:ascii="Calibri" w:hAnsi="Calibri" w:cs="Calibri"/>
          <w:b/>
          <w:color w:val="13576B"/>
          <w:sz w:val="20"/>
        </w:rPr>
        <w:t>budou nadále klesat a v letošním roce by se měla základní sazba ČNB dostat k</w:t>
      </w:r>
      <w:r w:rsidR="006B2CA3">
        <w:rPr>
          <w:rFonts w:ascii="Calibri" w:hAnsi="Calibri" w:cs="Calibri"/>
          <w:b/>
          <w:color w:val="13576B"/>
          <w:sz w:val="20"/>
        </w:rPr>
        <w:t> </w:t>
      </w:r>
      <w:r w:rsidR="00821693">
        <w:rPr>
          <w:rFonts w:ascii="Calibri" w:hAnsi="Calibri" w:cs="Calibri"/>
          <w:b/>
          <w:color w:val="13576B"/>
          <w:sz w:val="20"/>
        </w:rPr>
        <w:t xml:space="preserve">4% úrovni, v příštím roce pak </w:t>
      </w:r>
      <w:r w:rsidR="007560A8">
        <w:rPr>
          <w:rFonts w:ascii="Calibri" w:hAnsi="Calibri" w:cs="Calibri"/>
          <w:b/>
          <w:color w:val="13576B"/>
          <w:sz w:val="20"/>
        </w:rPr>
        <w:t>k </w:t>
      </w:r>
      <w:r w:rsidR="00821693">
        <w:rPr>
          <w:rFonts w:ascii="Calibri" w:hAnsi="Calibri" w:cs="Calibri"/>
          <w:b/>
          <w:color w:val="13576B"/>
          <w:sz w:val="20"/>
        </w:rPr>
        <w:t>3</w:t>
      </w:r>
      <w:r w:rsidR="007560A8">
        <w:rPr>
          <w:rFonts w:ascii="Calibri" w:hAnsi="Calibri" w:cs="Calibri"/>
          <w:b/>
          <w:color w:val="13576B"/>
          <w:sz w:val="20"/>
        </w:rPr>
        <w:t>,5</w:t>
      </w:r>
      <w:r w:rsidR="00821693">
        <w:rPr>
          <w:rFonts w:ascii="Calibri" w:hAnsi="Calibri" w:cs="Calibri"/>
          <w:b/>
          <w:color w:val="13576B"/>
          <w:sz w:val="20"/>
        </w:rPr>
        <w:t xml:space="preserve"> %.</w:t>
      </w:r>
      <w:r w:rsidR="00B11E30" w:rsidRPr="00906FDC">
        <w:rPr>
          <w:rFonts w:ascii="Calibri" w:hAnsi="Calibri" w:cs="Calibri"/>
          <w:b/>
          <w:color w:val="13576B"/>
          <w:sz w:val="20"/>
        </w:rPr>
        <w:t xml:space="preserve"> Kurz koruny</w:t>
      </w:r>
      <w:r w:rsidR="007560A8">
        <w:rPr>
          <w:rFonts w:ascii="Calibri" w:hAnsi="Calibri" w:cs="Calibri"/>
          <w:b/>
          <w:color w:val="13576B"/>
          <w:sz w:val="20"/>
        </w:rPr>
        <w:t xml:space="preserve"> byl v nové prognóze přehodnocen směrem ke slabším hodnotám a v průměru by se měl letos pohybovat u hranice 25 Kč za euro, </w:t>
      </w:r>
      <w:r w:rsidR="00261296">
        <w:rPr>
          <w:rFonts w:ascii="Calibri" w:hAnsi="Calibri" w:cs="Calibri"/>
          <w:b/>
          <w:color w:val="13576B"/>
          <w:sz w:val="20"/>
        </w:rPr>
        <w:t xml:space="preserve">v příštím roce </w:t>
      </w:r>
      <w:r w:rsidR="007560A8">
        <w:rPr>
          <w:rFonts w:ascii="Calibri" w:hAnsi="Calibri" w:cs="Calibri"/>
          <w:b/>
          <w:color w:val="13576B"/>
          <w:sz w:val="20"/>
        </w:rPr>
        <w:t>by měla koruna posílit k </w:t>
      </w:r>
      <w:r w:rsidR="000013D3">
        <w:rPr>
          <w:rFonts w:ascii="Calibri" w:hAnsi="Calibri" w:cs="Calibri"/>
          <w:b/>
          <w:color w:val="13576B"/>
          <w:sz w:val="20"/>
        </w:rPr>
        <w:t>hranici</w:t>
      </w:r>
      <w:r w:rsidR="007560A8">
        <w:rPr>
          <w:rFonts w:ascii="Calibri" w:hAnsi="Calibri" w:cs="Calibri"/>
          <w:b/>
          <w:color w:val="13576B"/>
          <w:sz w:val="20"/>
        </w:rPr>
        <w:t xml:space="preserve"> 24,6 Kč za euro.</w:t>
      </w:r>
    </w:p>
    <w:p w14:paraId="031813F8" w14:textId="4B5C1171" w:rsidR="001C333D" w:rsidRPr="00FC11E3" w:rsidRDefault="006756EC" w:rsidP="001C333D">
      <w:pPr>
        <w:rPr>
          <w:rFonts w:ascii="Calibri" w:hAnsi="Calibri" w:cs="Calibri"/>
          <w:b/>
          <w:color w:val="13576B"/>
          <w:sz w:val="22"/>
          <w:szCs w:val="22"/>
        </w:rPr>
      </w:pPr>
      <w:r w:rsidRPr="00FC11E3">
        <w:rPr>
          <w:rFonts w:ascii="Calibri" w:hAnsi="Calibri" w:cs="Calibri"/>
          <w:b/>
          <w:color w:val="13576B"/>
          <w:sz w:val="22"/>
          <w:szCs w:val="22"/>
        </w:rPr>
        <w:t>Nejistota globálního vývoje přetrvává</w:t>
      </w:r>
    </w:p>
    <w:p w14:paraId="76BA416F" w14:textId="09897A32" w:rsidR="00F73328" w:rsidRPr="00FC11E3" w:rsidRDefault="00FC11E3" w:rsidP="00786866">
      <w:pPr>
        <w:rPr>
          <w:rFonts w:ascii="Calibri" w:hAnsi="Calibri" w:cs="Calibri"/>
          <w:sz w:val="20"/>
        </w:rPr>
      </w:pPr>
      <w:r w:rsidRPr="00FC11E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7E5370" wp14:editId="6470A8E6">
                <wp:simplePos x="0" y="0"/>
                <wp:positionH relativeFrom="margin">
                  <wp:posOffset>-51435</wp:posOffset>
                </wp:positionH>
                <wp:positionV relativeFrom="paragraph">
                  <wp:posOffset>1304290</wp:posOffset>
                </wp:positionV>
                <wp:extent cx="6461760" cy="864870"/>
                <wp:effectExtent l="0" t="0" r="15240" b="1143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02031" w14:textId="61D59744" w:rsidR="00BF5C5A" w:rsidRPr="00F934FC" w:rsidRDefault="00BF5C5A" w:rsidP="00BF5C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 w:rsidRPr="00F934F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Jakub Seidler, hlavní ekonom České bankovní asociace:</w:t>
                            </w:r>
                          </w:p>
                          <w:p w14:paraId="06CFC5A8" w14:textId="3133FB41" w:rsidR="00BF5C5A" w:rsidRPr="0032297D" w:rsidRDefault="00BF5C5A" w:rsidP="00BF5C5A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</w:pPr>
                            <w:r w:rsidRPr="00F934FC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„</w:t>
                            </w:r>
                            <w:r w:rsidR="007560A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Vývoj v zahraničí se v posledních měsících posunul mírně v optimistickém směru, což</w:t>
                            </w:r>
                            <w:r w:rsidR="004F270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opatrně </w:t>
                            </w:r>
                            <w:r w:rsidR="007560A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zlepšuje výhled pro zahraniční poptávku a umožňuje zlepšit růst tuzemské ekonomiky pro letošní rok na 1,4 %. </w:t>
                            </w:r>
                            <w:r w:rsidR="00FC11E3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Nadále však lze růst označit za křehký, a to jednak v souvislosti s vývojem v Číně, ale také Německ</w:t>
                            </w:r>
                            <w:r w:rsidR="00EB5451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u</w:t>
                            </w:r>
                            <w:r w:rsidR="00FC11E3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, které rovněž jako tuzemská ekonomika čelí řadě výzev </w:t>
                            </w:r>
                            <w:r w:rsidR="00E90D21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s ohledem</w:t>
                            </w:r>
                            <w:r w:rsidR="00FC11E3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E90D21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na </w:t>
                            </w:r>
                            <w:r w:rsidR="00EB5451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energetickou</w:t>
                            </w:r>
                            <w:r w:rsidR="00FC11E3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náročnos</w:t>
                            </w:r>
                            <w:r w:rsidR="00E90D21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t</w:t>
                            </w:r>
                            <w:r w:rsidR="00FC11E3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průmyslu a strukturální </w:t>
                            </w:r>
                            <w:r w:rsidR="00EB5451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změn</w:t>
                            </w:r>
                            <w:r w:rsidR="00E90D21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y</w:t>
                            </w:r>
                            <w:r w:rsidR="00FC11E3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v</w:t>
                            </w:r>
                            <w:r w:rsidR="00EB5451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 </w:t>
                            </w:r>
                            <w:r w:rsidR="00FC11E3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automobilovém</w:t>
                            </w:r>
                            <w:r w:rsidR="00EB5451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FC11E3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sektoru.</w:t>
                            </w:r>
                            <w:r w:rsidR="007560A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E53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4.05pt;margin-top:102.7pt;width:508.8pt;height:6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">
                <v:textbox>
                  <w:txbxContent>
                    <w:p w14:paraId="33B02031" w14:textId="61D59744" w:rsidR="00BF5C5A" w:rsidRPr="00F934FC" w:rsidRDefault="00BF5C5A" w:rsidP="00BF5C5A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 w:rsidRPr="00F934FC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Jakub Seidler, hlavní ekonom České bankovní asociace:</w:t>
                      </w:r>
                    </w:p>
                    <w:p w14:paraId="06CFC5A8" w14:textId="3133FB41" w:rsidR="00BF5C5A" w:rsidRPr="0032297D" w:rsidRDefault="00BF5C5A" w:rsidP="00BF5C5A">
                      <w:pPr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</w:pPr>
                      <w:r w:rsidRPr="00F934FC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„</w:t>
                      </w:r>
                      <w:r w:rsidR="007560A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Vývoj v zahraničí se v posledních měsících posunul mírně v optimistickém směru, což</w:t>
                      </w:r>
                      <w:r w:rsidR="004F2700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opatrně </w:t>
                      </w:r>
                      <w:r w:rsidR="007560A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zlepšuje výhled pro zahraniční poptávku a umožňuje zlepšit růst tuzemské ekonomiky pro letošní rok na 1,4 %. </w:t>
                      </w:r>
                      <w:r w:rsidR="00FC11E3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Nadále však lze růst označit za křehký, a to jednak v souvislosti s vývojem v Číně, ale také Německ</w:t>
                      </w:r>
                      <w:r w:rsidR="00EB5451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u</w:t>
                      </w:r>
                      <w:r w:rsidR="00FC11E3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, které rovněž jako tuzemská ekonomika čelí řadě výzev </w:t>
                      </w:r>
                      <w:r w:rsidR="00E90D21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s ohledem</w:t>
                      </w:r>
                      <w:r w:rsidR="00FC11E3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</w:t>
                      </w:r>
                      <w:r w:rsidR="00E90D21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na </w:t>
                      </w:r>
                      <w:r w:rsidR="00EB5451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energetickou</w:t>
                      </w:r>
                      <w:r w:rsidR="00FC11E3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náročnos</w:t>
                      </w:r>
                      <w:r w:rsidR="00E90D21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t</w:t>
                      </w:r>
                      <w:r w:rsidR="00FC11E3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průmyslu a strukturální </w:t>
                      </w:r>
                      <w:r w:rsidR="00EB5451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změn</w:t>
                      </w:r>
                      <w:r w:rsidR="00E90D21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y</w:t>
                      </w:r>
                      <w:r w:rsidR="00FC11E3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v</w:t>
                      </w:r>
                      <w:r w:rsidR="00EB5451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 </w:t>
                      </w:r>
                      <w:r w:rsidR="00FC11E3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automobilovém</w:t>
                      </w:r>
                      <w:r w:rsidR="00EB5451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</w:t>
                      </w:r>
                      <w:r w:rsidR="00FC11E3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sektoru.</w:t>
                      </w:r>
                      <w:r w:rsidR="007560A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5451">
        <w:rPr>
          <w:rFonts w:ascii="Calibri" w:hAnsi="Calibri" w:cs="Calibri"/>
          <w:sz w:val="20"/>
        </w:rPr>
        <w:t>V</w:t>
      </w:r>
      <w:r w:rsidR="00BA0841" w:rsidRPr="00FC11E3">
        <w:rPr>
          <w:rFonts w:ascii="Calibri" w:hAnsi="Calibri" w:cs="Calibri"/>
          <w:sz w:val="20"/>
        </w:rPr>
        <w:t>ývoj</w:t>
      </w:r>
      <w:r w:rsidR="006756EC" w:rsidRPr="00FC11E3">
        <w:rPr>
          <w:rFonts w:ascii="Calibri" w:hAnsi="Calibri" w:cs="Calibri"/>
          <w:sz w:val="20"/>
        </w:rPr>
        <w:t xml:space="preserve"> globální ekonomiky </w:t>
      </w:r>
      <w:r w:rsidR="00BA0841" w:rsidRPr="00FC11E3">
        <w:rPr>
          <w:rFonts w:ascii="Calibri" w:hAnsi="Calibri" w:cs="Calibri"/>
          <w:sz w:val="20"/>
        </w:rPr>
        <w:t>začátkem letošního roku byl mírně nad očekávání, stále však řada indikátorů vysílá smíšené signály a letošní zotavení globální poptávky a zahraničního obchodu bude do velké míry záviset na vývoji v Číně</w:t>
      </w:r>
      <w:r w:rsidR="00E91C6C" w:rsidRPr="00FC11E3">
        <w:rPr>
          <w:rFonts w:ascii="Calibri" w:hAnsi="Calibri" w:cs="Calibri"/>
          <w:sz w:val="20"/>
        </w:rPr>
        <w:t>. Nadále si</w:t>
      </w:r>
      <w:r w:rsidR="00BC3E1C" w:rsidRPr="00FC11E3">
        <w:rPr>
          <w:rFonts w:ascii="Calibri" w:hAnsi="Calibri" w:cs="Calibri"/>
          <w:sz w:val="20"/>
        </w:rPr>
        <w:t xml:space="preserve"> </w:t>
      </w:r>
      <w:r w:rsidR="00E91C6C" w:rsidRPr="00FC11E3">
        <w:rPr>
          <w:rFonts w:ascii="Calibri" w:hAnsi="Calibri" w:cs="Calibri"/>
          <w:sz w:val="20"/>
        </w:rPr>
        <w:t xml:space="preserve">dobře vede ekonomika </w:t>
      </w:r>
      <w:r w:rsidR="00F531A0" w:rsidRPr="00FC11E3">
        <w:rPr>
          <w:rFonts w:ascii="Calibri" w:hAnsi="Calibri" w:cs="Calibri"/>
          <w:sz w:val="20"/>
        </w:rPr>
        <w:t>S</w:t>
      </w:r>
      <w:r w:rsidR="00CB1D5F" w:rsidRPr="00FC11E3">
        <w:rPr>
          <w:rFonts w:ascii="Calibri" w:hAnsi="Calibri" w:cs="Calibri"/>
          <w:sz w:val="20"/>
        </w:rPr>
        <w:t>pojenýc</w:t>
      </w:r>
      <w:r w:rsidR="00C70439" w:rsidRPr="00FC11E3">
        <w:rPr>
          <w:rFonts w:ascii="Calibri" w:hAnsi="Calibri" w:cs="Calibri"/>
          <w:sz w:val="20"/>
        </w:rPr>
        <w:t>h</w:t>
      </w:r>
      <w:r w:rsidR="00CB1D5F" w:rsidRPr="00FC11E3">
        <w:rPr>
          <w:rFonts w:ascii="Calibri" w:hAnsi="Calibri" w:cs="Calibri"/>
          <w:sz w:val="20"/>
        </w:rPr>
        <w:t xml:space="preserve"> států</w:t>
      </w:r>
      <w:r w:rsidR="00E91C6C" w:rsidRPr="00FC11E3">
        <w:rPr>
          <w:rFonts w:ascii="Calibri" w:hAnsi="Calibri" w:cs="Calibri"/>
          <w:sz w:val="20"/>
        </w:rPr>
        <w:t xml:space="preserve">, </w:t>
      </w:r>
      <w:r w:rsidR="00BA0841" w:rsidRPr="00FC11E3">
        <w:rPr>
          <w:rFonts w:ascii="Calibri" w:hAnsi="Calibri" w:cs="Calibri"/>
          <w:sz w:val="20"/>
        </w:rPr>
        <w:t xml:space="preserve">kde příznivější makroekonomická čísla a pomalejší pokles inflace vedly tržní účastníky k výraznému přehodnocení rychlosti poklesu sazeb americké centrální banky. Zatímco začátkem roku byl trh přesvědčen o rychlém snižování sazeb, nyní se očekávání změnila na jedno či dvojí snížení sazeb o tradiční „čtvrtku“ do konce letošního roku. Vývoj v eurozóně sice není oslnivý, alespoň se však situace v některých ohledech přestala zhoršovat a za první čtvrtletí ekonomika mírně vzrostla. ECB by měla zahájit snižování sazeb </w:t>
      </w:r>
      <w:r w:rsidR="00EB5451">
        <w:rPr>
          <w:rFonts w:ascii="Calibri" w:hAnsi="Calibri" w:cs="Calibri"/>
          <w:sz w:val="20"/>
        </w:rPr>
        <w:t xml:space="preserve">v </w:t>
      </w:r>
      <w:r w:rsidR="00BA0841" w:rsidRPr="00FC11E3">
        <w:rPr>
          <w:rFonts w:ascii="Calibri" w:hAnsi="Calibri" w:cs="Calibri"/>
          <w:sz w:val="20"/>
        </w:rPr>
        <w:t xml:space="preserve">červnu, jak </w:t>
      </w:r>
      <w:r w:rsidRPr="00FC11E3">
        <w:rPr>
          <w:rFonts w:ascii="Calibri" w:hAnsi="Calibri" w:cs="Calibri"/>
          <w:sz w:val="20"/>
        </w:rPr>
        <w:t>rychle bude sazby do konce roku</w:t>
      </w:r>
      <w:r w:rsidR="00796120">
        <w:rPr>
          <w:rFonts w:ascii="Calibri" w:hAnsi="Calibri" w:cs="Calibri"/>
          <w:sz w:val="20"/>
        </w:rPr>
        <w:t xml:space="preserve"> snižovat,</w:t>
      </w:r>
      <w:r w:rsidRPr="00FC11E3">
        <w:rPr>
          <w:rFonts w:ascii="Calibri" w:hAnsi="Calibri" w:cs="Calibri"/>
          <w:sz w:val="20"/>
        </w:rPr>
        <w:t xml:space="preserve"> je však z titulu pomalejšího poklesu jádrové inflace pro trh také otázkou. Vývoj sazeb hlavních centrálních bank bude ovlivňovat i manévrovací prostor pro ČNB. </w:t>
      </w:r>
    </w:p>
    <w:p w14:paraId="10FEB783" w14:textId="10567916" w:rsidR="002C752B" w:rsidRPr="00FC11E3" w:rsidRDefault="00F201D6" w:rsidP="00AB39A4">
      <w:pPr>
        <w:rPr>
          <w:rFonts w:ascii="Calibri" w:hAnsi="Calibri" w:cs="Calibri"/>
          <w:b/>
          <w:color w:val="13576B"/>
          <w:sz w:val="22"/>
          <w:szCs w:val="22"/>
        </w:rPr>
      </w:pPr>
      <w:r w:rsidRPr="00FC11E3">
        <w:rPr>
          <w:rFonts w:ascii="Calibri" w:hAnsi="Calibri" w:cs="Calibri"/>
          <w:b/>
          <w:color w:val="13576B"/>
          <w:sz w:val="22"/>
          <w:szCs w:val="22"/>
        </w:rPr>
        <w:t>Opatrné oživování tuzemské ekonomiky započaté koncem minulého roku pokračuje</w:t>
      </w:r>
    </w:p>
    <w:p w14:paraId="5533592E" w14:textId="215B6D3E" w:rsidR="007201F3" w:rsidRDefault="00635DD9" w:rsidP="00AB39A4">
      <w:pPr>
        <w:rPr>
          <w:rFonts w:ascii="Calibri" w:hAnsi="Calibri" w:cs="Calibri"/>
          <w:sz w:val="20"/>
        </w:rPr>
      </w:pPr>
      <w:r w:rsidRPr="00FC11E3"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58E977" wp14:editId="4C9B4772">
                <wp:simplePos x="0" y="0"/>
                <wp:positionH relativeFrom="margin">
                  <wp:posOffset>-12700</wp:posOffset>
                </wp:positionH>
                <wp:positionV relativeFrom="paragraph">
                  <wp:posOffset>1304925</wp:posOffset>
                </wp:positionV>
                <wp:extent cx="6461760" cy="759460"/>
                <wp:effectExtent l="0" t="0" r="15240" b="2159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44950" w14:textId="77777777" w:rsidR="00F201D6" w:rsidRDefault="00F201D6" w:rsidP="00F201D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Helena Horská</w:t>
                            </w:r>
                            <w:r w:rsidRPr="00DA61A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 xml:space="preserve">, </w:t>
                            </w:r>
                            <w:r w:rsidRPr="00DD24D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hlavní ekonomka Raiffeisenbank:</w:t>
                            </w:r>
                          </w:p>
                          <w:p w14:paraId="3D18E4A1" w14:textId="590C7866" w:rsidR="00F01F41" w:rsidRPr="00F37DC9" w:rsidRDefault="002C2AE2" w:rsidP="002C2AE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C2DE4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„</w:t>
                            </w:r>
                            <w:r w:rsidR="007243C9" w:rsidRPr="007243C9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Česká ekonomika, nyní podpořená oživením spotřeby domácností, exportem i investicemi, konečně překonává pandemický propad. V roce 2025 očekáváme mírné zrychlení růstu díky pozitivnímu příspěvku všech klíčových složek, bez brzdění čerpáním zásob z dob pandemie</w:t>
                            </w:r>
                            <w:r w:rsidR="00FC2DE4" w:rsidRPr="00FC2DE4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.“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E977" id="Textové pole 1" o:spid="_x0000_s1027" type="#_x0000_t202" style="position:absolute;left:0;text-align:left;margin-left:-1pt;margin-top:102.75pt;width:508.8pt;height:59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">
                <v:textbox>
                  <w:txbxContent>
                    <w:p w14:paraId="29544950" w14:textId="77777777" w:rsidR="00F201D6" w:rsidRDefault="00F201D6" w:rsidP="00F201D6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Helena Horská</w:t>
                      </w:r>
                      <w:r w:rsidRPr="00DA61AD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 xml:space="preserve">, </w:t>
                      </w:r>
                      <w:r w:rsidRPr="00DD24D1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hlavní ekonomka Raiffeisenbank:</w:t>
                      </w:r>
                    </w:p>
                    <w:p w14:paraId="3D18E4A1" w14:textId="590C7866" w:rsidR="00F01F41" w:rsidRPr="00F37DC9" w:rsidRDefault="002C2AE2" w:rsidP="002C2AE2">
                      <w:pPr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C2DE4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„</w:t>
                      </w:r>
                      <w:r w:rsidR="007243C9" w:rsidRPr="007243C9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Česká ekonomika, nyní podpořená oživením spotřeby domácností, exportem i investicemi, konečně překonává pandemický propad. V roce 2025 očekáváme mírné zrychlení růstu díky pozitivnímu příspěvku všech klíčových složek, bez brzdění čerpáním zásob z dob pandemie</w:t>
                      </w:r>
                      <w:r w:rsidR="00FC2DE4" w:rsidRPr="00FC2DE4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.“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118A" w:rsidRPr="00FC11E3">
        <w:rPr>
          <w:rFonts w:ascii="Calibri" w:hAnsi="Calibri" w:cs="Calibri"/>
          <w:b/>
          <w:bCs/>
          <w:sz w:val="20"/>
        </w:rPr>
        <w:t xml:space="preserve">Nová </w:t>
      </w:r>
      <w:r w:rsidR="00B3068D" w:rsidRPr="00FC11E3">
        <w:rPr>
          <w:rFonts w:ascii="Calibri" w:hAnsi="Calibri" w:cs="Calibri"/>
          <w:b/>
          <w:bCs/>
          <w:sz w:val="20"/>
        </w:rPr>
        <w:t>prognóz</w:t>
      </w:r>
      <w:r w:rsidR="00FA68D2" w:rsidRPr="00FC11E3">
        <w:rPr>
          <w:rFonts w:ascii="Calibri" w:hAnsi="Calibri" w:cs="Calibri"/>
          <w:b/>
          <w:bCs/>
          <w:sz w:val="20"/>
        </w:rPr>
        <w:t>a</w:t>
      </w:r>
      <w:r w:rsidR="00B3068D" w:rsidRPr="00FC11E3">
        <w:rPr>
          <w:rFonts w:ascii="Calibri" w:hAnsi="Calibri" w:cs="Calibri"/>
          <w:b/>
          <w:bCs/>
          <w:sz w:val="20"/>
        </w:rPr>
        <w:t xml:space="preserve"> ČBA</w:t>
      </w:r>
      <w:r w:rsidR="0077118A" w:rsidRPr="00FC11E3">
        <w:rPr>
          <w:rFonts w:ascii="Calibri" w:hAnsi="Calibri" w:cs="Calibri"/>
          <w:b/>
          <w:bCs/>
          <w:sz w:val="20"/>
        </w:rPr>
        <w:t xml:space="preserve"> pro letošní rok </w:t>
      </w:r>
      <w:r w:rsidR="00AC12D8" w:rsidRPr="00FC11E3">
        <w:rPr>
          <w:rFonts w:ascii="Calibri" w:hAnsi="Calibri" w:cs="Calibri"/>
          <w:b/>
          <w:bCs/>
          <w:sz w:val="20"/>
        </w:rPr>
        <w:t xml:space="preserve">přehodnotila vývoj tuzemské ekonomiky </w:t>
      </w:r>
      <w:r w:rsidR="00F201D6" w:rsidRPr="00FC11E3">
        <w:rPr>
          <w:rFonts w:ascii="Calibri" w:hAnsi="Calibri" w:cs="Calibri"/>
          <w:b/>
          <w:bCs/>
          <w:sz w:val="20"/>
        </w:rPr>
        <w:t xml:space="preserve">mírně </w:t>
      </w:r>
      <w:r w:rsidR="00AC12D8" w:rsidRPr="00FC11E3">
        <w:rPr>
          <w:rFonts w:ascii="Calibri" w:hAnsi="Calibri" w:cs="Calibri"/>
          <w:b/>
          <w:bCs/>
          <w:sz w:val="20"/>
        </w:rPr>
        <w:t xml:space="preserve">směrem </w:t>
      </w:r>
      <w:r w:rsidR="00F201D6" w:rsidRPr="00FC11E3">
        <w:rPr>
          <w:rFonts w:ascii="Calibri" w:hAnsi="Calibri" w:cs="Calibri"/>
          <w:b/>
          <w:bCs/>
          <w:sz w:val="20"/>
        </w:rPr>
        <w:t xml:space="preserve">nahoru, a to z 1,2 na 1,4 %, což se shoduje s odhadem ministerstva financí i České národní banky.  </w:t>
      </w:r>
      <w:r w:rsidR="00CE5236" w:rsidRPr="00FC11E3">
        <w:rPr>
          <w:rFonts w:ascii="Calibri" w:hAnsi="Calibri" w:cs="Calibri"/>
          <w:sz w:val="20"/>
        </w:rPr>
        <w:t>Dle p</w:t>
      </w:r>
      <w:r w:rsidR="00AC12D8" w:rsidRPr="00FC11E3">
        <w:rPr>
          <w:rFonts w:ascii="Calibri" w:hAnsi="Calibri" w:cs="Calibri"/>
          <w:sz w:val="20"/>
        </w:rPr>
        <w:t>ředběžn</w:t>
      </w:r>
      <w:r w:rsidR="00CE5236" w:rsidRPr="00FC11E3">
        <w:rPr>
          <w:rFonts w:ascii="Calibri" w:hAnsi="Calibri" w:cs="Calibri"/>
          <w:sz w:val="20"/>
        </w:rPr>
        <w:t>ého</w:t>
      </w:r>
      <w:r w:rsidR="00AC12D8" w:rsidRPr="00FC11E3">
        <w:rPr>
          <w:rFonts w:ascii="Calibri" w:hAnsi="Calibri" w:cs="Calibri"/>
          <w:sz w:val="20"/>
        </w:rPr>
        <w:t xml:space="preserve"> odhad</w:t>
      </w:r>
      <w:r w:rsidR="00CE5236" w:rsidRPr="00FC11E3">
        <w:rPr>
          <w:rFonts w:ascii="Calibri" w:hAnsi="Calibri" w:cs="Calibri"/>
          <w:sz w:val="20"/>
        </w:rPr>
        <w:t>u</w:t>
      </w:r>
      <w:r w:rsidR="00AC12D8" w:rsidRPr="00FC11E3">
        <w:rPr>
          <w:rFonts w:ascii="Calibri" w:hAnsi="Calibri" w:cs="Calibri"/>
          <w:sz w:val="20"/>
        </w:rPr>
        <w:t xml:space="preserve"> HDP za </w:t>
      </w:r>
      <w:r w:rsidR="00F201D6" w:rsidRPr="00FC11E3">
        <w:rPr>
          <w:rFonts w:ascii="Calibri" w:hAnsi="Calibri" w:cs="Calibri"/>
          <w:sz w:val="20"/>
        </w:rPr>
        <w:t>1</w:t>
      </w:r>
      <w:r w:rsidR="00AC12D8" w:rsidRPr="00FC11E3">
        <w:rPr>
          <w:rFonts w:ascii="Calibri" w:hAnsi="Calibri" w:cs="Calibri"/>
          <w:sz w:val="20"/>
        </w:rPr>
        <w:t>. čtvrtletí</w:t>
      </w:r>
      <w:r w:rsidR="00F201D6" w:rsidRPr="00FC11E3">
        <w:rPr>
          <w:rFonts w:ascii="Calibri" w:hAnsi="Calibri" w:cs="Calibri"/>
          <w:sz w:val="20"/>
        </w:rPr>
        <w:t xml:space="preserve"> letošního roku</w:t>
      </w:r>
      <w:r w:rsidR="007E5F13" w:rsidRPr="00FC11E3">
        <w:rPr>
          <w:rFonts w:ascii="Calibri" w:hAnsi="Calibri" w:cs="Calibri"/>
          <w:sz w:val="20"/>
        </w:rPr>
        <w:t xml:space="preserve"> </w:t>
      </w:r>
      <w:r w:rsidR="00CE5236" w:rsidRPr="00FC11E3">
        <w:rPr>
          <w:rFonts w:ascii="Calibri" w:hAnsi="Calibri" w:cs="Calibri"/>
          <w:sz w:val="20"/>
        </w:rPr>
        <w:t>tuzemsk</w:t>
      </w:r>
      <w:r w:rsidR="00915B01" w:rsidRPr="00FC11E3">
        <w:rPr>
          <w:rFonts w:ascii="Calibri" w:hAnsi="Calibri" w:cs="Calibri"/>
          <w:sz w:val="20"/>
        </w:rPr>
        <w:t>á</w:t>
      </w:r>
      <w:r w:rsidR="00CE5236" w:rsidRPr="00FC11E3">
        <w:rPr>
          <w:rFonts w:ascii="Calibri" w:hAnsi="Calibri" w:cs="Calibri"/>
          <w:sz w:val="20"/>
        </w:rPr>
        <w:t xml:space="preserve"> ekonomika </w:t>
      </w:r>
      <w:r w:rsidR="00F201D6" w:rsidRPr="00FC11E3">
        <w:rPr>
          <w:rFonts w:ascii="Calibri" w:hAnsi="Calibri" w:cs="Calibri"/>
          <w:sz w:val="20"/>
        </w:rPr>
        <w:t>mezičtvrtletně rostla o 0,5 % a pokračuje tak v opatrné</w:t>
      </w:r>
      <w:r w:rsidR="00796120">
        <w:rPr>
          <w:rFonts w:ascii="Calibri" w:hAnsi="Calibri" w:cs="Calibri"/>
          <w:sz w:val="20"/>
        </w:rPr>
        <w:t>m</w:t>
      </w:r>
      <w:r w:rsidR="00F201D6" w:rsidRPr="00FC11E3">
        <w:rPr>
          <w:rFonts w:ascii="Calibri" w:hAnsi="Calibri" w:cs="Calibri"/>
          <w:sz w:val="20"/>
        </w:rPr>
        <w:t xml:space="preserve"> oživování, které začalo</w:t>
      </w:r>
      <w:r w:rsidR="00796120">
        <w:rPr>
          <w:rFonts w:ascii="Calibri" w:hAnsi="Calibri" w:cs="Calibri"/>
          <w:sz w:val="20"/>
        </w:rPr>
        <w:t xml:space="preserve"> v</w:t>
      </w:r>
      <w:r w:rsidR="00F201D6" w:rsidRPr="00FC11E3">
        <w:rPr>
          <w:rFonts w:ascii="Calibri" w:hAnsi="Calibri" w:cs="Calibri"/>
          <w:sz w:val="20"/>
        </w:rPr>
        <w:t xml:space="preserve"> poslední</w:t>
      </w:r>
      <w:r w:rsidR="00796120">
        <w:rPr>
          <w:rFonts w:ascii="Calibri" w:hAnsi="Calibri" w:cs="Calibri"/>
          <w:sz w:val="20"/>
        </w:rPr>
        <w:t>m</w:t>
      </w:r>
      <w:r w:rsidR="00F201D6" w:rsidRPr="00FC11E3">
        <w:rPr>
          <w:rFonts w:ascii="Calibri" w:hAnsi="Calibri" w:cs="Calibri"/>
          <w:sz w:val="20"/>
        </w:rPr>
        <w:t xml:space="preserve"> čtvrtletí minulého roku. </w:t>
      </w:r>
      <w:r w:rsidR="007201F3" w:rsidRPr="00FC11E3">
        <w:rPr>
          <w:rFonts w:ascii="Calibri" w:hAnsi="Calibri" w:cs="Calibri"/>
          <w:sz w:val="20"/>
        </w:rPr>
        <w:t xml:space="preserve">Předpandemické úrovně konce roku 2019 by tak měla tuzemská ekonomika dosáhnout ve druhém čtvrtletí letošního roku, tj. po čtyřech a půl letech. </w:t>
      </w:r>
      <w:r w:rsidR="00F201D6" w:rsidRPr="00FC11E3">
        <w:rPr>
          <w:rFonts w:ascii="Calibri" w:hAnsi="Calibri" w:cs="Calibri"/>
          <w:sz w:val="20"/>
        </w:rPr>
        <w:t xml:space="preserve">Prognóza očekává, že mezičtvrtletní tempo růstu </w:t>
      </w:r>
      <w:r w:rsidR="007201F3" w:rsidRPr="00FC11E3">
        <w:rPr>
          <w:rFonts w:ascii="Calibri" w:hAnsi="Calibri" w:cs="Calibri"/>
          <w:sz w:val="20"/>
        </w:rPr>
        <w:t xml:space="preserve">mírně zrychlí </w:t>
      </w:r>
      <w:r w:rsidR="00F201D6" w:rsidRPr="00FC11E3">
        <w:rPr>
          <w:rFonts w:ascii="Calibri" w:hAnsi="Calibri" w:cs="Calibri"/>
          <w:sz w:val="20"/>
        </w:rPr>
        <w:t xml:space="preserve">v druhé polovině </w:t>
      </w:r>
      <w:r w:rsidR="009B7C12" w:rsidRPr="00FC11E3">
        <w:rPr>
          <w:rFonts w:ascii="Calibri" w:hAnsi="Calibri" w:cs="Calibri"/>
          <w:sz w:val="20"/>
        </w:rPr>
        <w:t xml:space="preserve">roku </w:t>
      </w:r>
      <w:r w:rsidR="00F201D6" w:rsidRPr="00FC11E3">
        <w:rPr>
          <w:rFonts w:ascii="Calibri" w:hAnsi="Calibri" w:cs="Calibri"/>
          <w:sz w:val="20"/>
        </w:rPr>
        <w:t xml:space="preserve">a z meziročního pohledu se přehoupne přes 2 %. Nadále však platí, že oživování bude relativně pomalé, a to zejména z důvodu </w:t>
      </w:r>
      <w:r w:rsidR="00E90D21">
        <w:rPr>
          <w:rFonts w:ascii="Calibri" w:hAnsi="Calibri" w:cs="Calibri"/>
          <w:sz w:val="20"/>
        </w:rPr>
        <w:t>mírného</w:t>
      </w:r>
      <w:r w:rsidR="009B7C12" w:rsidRPr="00FC11E3">
        <w:rPr>
          <w:rFonts w:ascii="Calibri" w:hAnsi="Calibri" w:cs="Calibri"/>
          <w:sz w:val="20"/>
        </w:rPr>
        <w:t xml:space="preserve"> oživování spotřeby domácností a </w:t>
      </w:r>
      <w:r w:rsidR="00F201D6" w:rsidRPr="00FC11E3">
        <w:rPr>
          <w:rFonts w:ascii="Calibri" w:hAnsi="Calibri" w:cs="Calibri"/>
          <w:sz w:val="20"/>
        </w:rPr>
        <w:t>slabé p</w:t>
      </w:r>
      <w:r w:rsidR="007201F3" w:rsidRPr="00FC11E3">
        <w:rPr>
          <w:rFonts w:ascii="Calibri" w:hAnsi="Calibri" w:cs="Calibri"/>
          <w:sz w:val="20"/>
        </w:rPr>
        <w:t>o</w:t>
      </w:r>
      <w:r w:rsidR="00F201D6" w:rsidRPr="00FC11E3">
        <w:rPr>
          <w:rFonts w:ascii="Calibri" w:hAnsi="Calibri" w:cs="Calibri"/>
          <w:sz w:val="20"/>
        </w:rPr>
        <w:t>ptávky ze zahraničí</w:t>
      </w:r>
      <w:r w:rsidR="009B7C12" w:rsidRPr="00FC11E3">
        <w:rPr>
          <w:rFonts w:ascii="Calibri" w:hAnsi="Calibri" w:cs="Calibri"/>
          <w:sz w:val="20"/>
        </w:rPr>
        <w:t xml:space="preserve">. </w:t>
      </w:r>
      <w:r w:rsidR="00F201D6" w:rsidRPr="00FC11E3">
        <w:rPr>
          <w:rFonts w:ascii="Calibri" w:hAnsi="Calibri" w:cs="Calibri"/>
          <w:sz w:val="20"/>
        </w:rPr>
        <w:t xml:space="preserve">Ta by se měla začít zlepšovat </w:t>
      </w:r>
      <w:r w:rsidR="00C53807">
        <w:rPr>
          <w:rFonts w:ascii="Calibri" w:hAnsi="Calibri" w:cs="Calibri"/>
          <w:sz w:val="20"/>
        </w:rPr>
        <w:t xml:space="preserve">zejména </w:t>
      </w:r>
      <w:r w:rsidR="00F201D6" w:rsidRPr="00FC11E3">
        <w:rPr>
          <w:rFonts w:ascii="Calibri" w:hAnsi="Calibri" w:cs="Calibri"/>
          <w:sz w:val="20"/>
        </w:rPr>
        <w:t xml:space="preserve">až v druhé polovině roku. V roce příštím by </w:t>
      </w:r>
      <w:r w:rsidR="007201F3" w:rsidRPr="00FC11E3">
        <w:rPr>
          <w:rFonts w:ascii="Calibri" w:hAnsi="Calibri" w:cs="Calibri"/>
          <w:sz w:val="20"/>
        </w:rPr>
        <w:t xml:space="preserve">měl růst </w:t>
      </w:r>
      <w:r w:rsidR="000A2144" w:rsidRPr="00FC11E3">
        <w:rPr>
          <w:rFonts w:ascii="Calibri" w:hAnsi="Calibri" w:cs="Calibri"/>
          <w:sz w:val="20"/>
        </w:rPr>
        <w:t xml:space="preserve">HDP </w:t>
      </w:r>
      <w:r w:rsidR="007201F3" w:rsidRPr="00FC11E3">
        <w:rPr>
          <w:rFonts w:ascii="Calibri" w:hAnsi="Calibri" w:cs="Calibri"/>
          <w:sz w:val="20"/>
        </w:rPr>
        <w:t>dosáhnout 2,7 %, což je hodnota blízká předešlé prognóze z února.</w:t>
      </w:r>
      <w:r w:rsidR="007201F3">
        <w:rPr>
          <w:rFonts w:ascii="Calibri" w:hAnsi="Calibri" w:cs="Calibri"/>
          <w:sz w:val="20"/>
        </w:rPr>
        <w:t xml:space="preserve"> </w:t>
      </w:r>
    </w:p>
    <w:p w14:paraId="036F9B5F" w14:textId="135232DA" w:rsidR="00092245" w:rsidRDefault="00AB342B" w:rsidP="00410C72">
      <w:pPr>
        <w:rPr>
          <w:rFonts w:ascii="Calibri" w:hAnsi="Calibri" w:cs="Calibri"/>
          <w:sz w:val="20"/>
        </w:rPr>
      </w:pPr>
      <w:r w:rsidRPr="00906FDC">
        <w:rPr>
          <w:rFonts w:ascii="Calibri" w:hAnsi="Calibri" w:cs="Calibri"/>
          <w:b/>
          <w:bCs/>
          <w:sz w:val="20"/>
        </w:rPr>
        <w:t xml:space="preserve">Prognóza </w:t>
      </w:r>
      <w:r w:rsidR="00FF1D71" w:rsidRPr="00906FDC">
        <w:rPr>
          <w:rFonts w:ascii="Calibri" w:hAnsi="Calibri" w:cs="Calibri"/>
          <w:b/>
          <w:bCs/>
          <w:sz w:val="20"/>
        </w:rPr>
        <w:t>předpokládá</w:t>
      </w:r>
      <w:r w:rsidR="00135CD7">
        <w:rPr>
          <w:rFonts w:ascii="Calibri" w:hAnsi="Calibri" w:cs="Calibri"/>
          <w:b/>
          <w:bCs/>
          <w:sz w:val="20"/>
        </w:rPr>
        <w:t xml:space="preserve">, že růst ekonomiky bude tažen zejména domácí poptávkou. Spotřeba domácností po poklesu v předešlých dvou letech by měla začít opět růst, a to o 2,5 %. </w:t>
      </w:r>
      <w:r w:rsidR="00135CD7">
        <w:rPr>
          <w:rFonts w:ascii="Calibri" w:hAnsi="Calibri" w:cs="Calibri"/>
          <w:sz w:val="20"/>
        </w:rPr>
        <w:t>To je</w:t>
      </w:r>
      <w:r w:rsidR="007201F3">
        <w:rPr>
          <w:rFonts w:ascii="Calibri" w:hAnsi="Calibri" w:cs="Calibri"/>
          <w:sz w:val="20"/>
        </w:rPr>
        <w:t xml:space="preserve"> obdobná dynamika</w:t>
      </w:r>
      <w:r w:rsidR="006B2CA3">
        <w:rPr>
          <w:rFonts w:ascii="Calibri" w:hAnsi="Calibri" w:cs="Calibri"/>
          <w:sz w:val="20"/>
        </w:rPr>
        <w:t>,</w:t>
      </w:r>
      <w:r w:rsidR="00135CD7">
        <w:rPr>
          <w:rFonts w:ascii="Calibri" w:hAnsi="Calibri" w:cs="Calibri"/>
          <w:sz w:val="20"/>
        </w:rPr>
        <w:t xml:space="preserve"> </w:t>
      </w:r>
      <w:r w:rsidR="007201F3">
        <w:rPr>
          <w:rFonts w:ascii="Calibri" w:hAnsi="Calibri" w:cs="Calibri"/>
          <w:sz w:val="20"/>
        </w:rPr>
        <w:t xml:space="preserve">jako </w:t>
      </w:r>
      <w:r w:rsidR="00135CD7">
        <w:rPr>
          <w:rFonts w:ascii="Calibri" w:hAnsi="Calibri" w:cs="Calibri"/>
          <w:sz w:val="20"/>
        </w:rPr>
        <w:t xml:space="preserve">očekávala předešlá prognóza, </w:t>
      </w:r>
      <w:r w:rsidR="007201F3">
        <w:rPr>
          <w:rFonts w:ascii="Calibri" w:hAnsi="Calibri" w:cs="Calibri"/>
          <w:sz w:val="20"/>
        </w:rPr>
        <w:t xml:space="preserve">ačkoli důvěra domácností se </w:t>
      </w:r>
      <w:r w:rsidR="009B7C12">
        <w:rPr>
          <w:rFonts w:ascii="Calibri" w:hAnsi="Calibri" w:cs="Calibri"/>
          <w:sz w:val="20"/>
        </w:rPr>
        <w:t xml:space="preserve">zkraje roku </w:t>
      </w:r>
      <w:r w:rsidR="007201F3">
        <w:rPr>
          <w:rFonts w:ascii="Calibri" w:hAnsi="Calibri" w:cs="Calibri"/>
          <w:sz w:val="20"/>
        </w:rPr>
        <w:t>začala vyvíjet příznivěji a přináší tak mírný optimismus rychlejšího zotavení spotřeby domácností vlivem opětovného růstu reálných mezd. R</w:t>
      </w:r>
      <w:r w:rsidR="00A929EE">
        <w:rPr>
          <w:rFonts w:ascii="Calibri" w:hAnsi="Calibri" w:cs="Calibri"/>
          <w:sz w:val="20"/>
        </w:rPr>
        <w:t xml:space="preserve">ůst reálných mezd v letošním roce </w:t>
      </w:r>
      <w:r w:rsidR="007201F3">
        <w:rPr>
          <w:rFonts w:ascii="Calibri" w:hAnsi="Calibri" w:cs="Calibri"/>
          <w:sz w:val="20"/>
        </w:rPr>
        <w:t>se čeká o</w:t>
      </w:r>
      <w:r w:rsidR="00A929EE">
        <w:rPr>
          <w:rFonts w:ascii="Calibri" w:hAnsi="Calibri" w:cs="Calibri"/>
          <w:sz w:val="20"/>
        </w:rPr>
        <w:t xml:space="preserve"> necelá 4 %</w:t>
      </w:r>
      <w:r w:rsidR="007201F3">
        <w:rPr>
          <w:rFonts w:ascii="Calibri" w:hAnsi="Calibri" w:cs="Calibri"/>
          <w:sz w:val="20"/>
        </w:rPr>
        <w:t xml:space="preserve">, nicméně část </w:t>
      </w:r>
      <w:r w:rsidR="007201F3">
        <w:rPr>
          <w:rFonts w:ascii="Calibri" w:hAnsi="Calibri" w:cs="Calibri"/>
          <w:sz w:val="20"/>
        </w:rPr>
        <w:lastRenderedPageBreak/>
        <w:t xml:space="preserve">tohoto nárůstu ztlumí </w:t>
      </w:r>
      <w:r w:rsidR="00A929EE">
        <w:rPr>
          <w:rFonts w:ascii="Calibri" w:hAnsi="Calibri" w:cs="Calibri"/>
          <w:sz w:val="20"/>
        </w:rPr>
        <w:t>dopady konsolidačního bal</w:t>
      </w:r>
      <w:r w:rsidR="003A6F74">
        <w:rPr>
          <w:rFonts w:ascii="Calibri" w:hAnsi="Calibri" w:cs="Calibri"/>
          <w:sz w:val="20"/>
        </w:rPr>
        <w:t>í</w:t>
      </w:r>
      <w:r w:rsidR="00A929EE">
        <w:rPr>
          <w:rFonts w:ascii="Calibri" w:hAnsi="Calibri" w:cs="Calibri"/>
          <w:sz w:val="20"/>
        </w:rPr>
        <w:t>čku</w:t>
      </w:r>
      <w:r w:rsidR="007201F3">
        <w:rPr>
          <w:rFonts w:ascii="Calibri" w:hAnsi="Calibri" w:cs="Calibri"/>
          <w:sz w:val="20"/>
        </w:rPr>
        <w:t xml:space="preserve">. </w:t>
      </w:r>
      <w:r w:rsidR="00087711">
        <w:rPr>
          <w:rFonts w:ascii="Calibri" w:hAnsi="Calibri" w:cs="Calibri"/>
          <w:sz w:val="20"/>
        </w:rPr>
        <w:t xml:space="preserve">V příštím roce očekáváme růst </w:t>
      </w:r>
      <w:r w:rsidR="00A929EE">
        <w:rPr>
          <w:rFonts w:ascii="Calibri" w:hAnsi="Calibri" w:cs="Calibri"/>
          <w:sz w:val="20"/>
        </w:rPr>
        <w:t xml:space="preserve">spotřeby </w:t>
      </w:r>
      <w:r w:rsidR="00087711">
        <w:rPr>
          <w:rFonts w:ascii="Calibri" w:hAnsi="Calibri" w:cs="Calibri"/>
          <w:sz w:val="20"/>
        </w:rPr>
        <w:t>o 3 %</w:t>
      </w:r>
      <w:r w:rsidR="00A929EE">
        <w:rPr>
          <w:rFonts w:ascii="Calibri" w:hAnsi="Calibri" w:cs="Calibri"/>
          <w:sz w:val="20"/>
        </w:rPr>
        <w:t>,</w:t>
      </w:r>
      <w:r w:rsidR="00A929EE" w:rsidRPr="00A929EE">
        <w:rPr>
          <w:rFonts w:ascii="Calibri" w:hAnsi="Calibri" w:cs="Calibri"/>
          <w:sz w:val="20"/>
        </w:rPr>
        <w:t xml:space="preserve"> </w:t>
      </w:r>
      <w:r w:rsidR="00A929EE" w:rsidRPr="00906FDC">
        <w:rPr>
          <w:rFonts w:ascii="Calibri" w:hAnsi="Calibri" w:cs="Calibri"/>
          <w:sz w:val="20"/>
        </w:rPr>
        <w:t xml:space="preserve">což bylo běžné </w:t>
      </w:r>
      <w:r w:rsidR="00C53807">
        <w:rPr>
          <w:rFonts w:ascii="Calibri" w:hAnsi="Calibri" w:cs="Calibri"/>
          <w:sz w:val="20"/>
        </w:rPr>
        <w:t xml:space="preserve">tempo </w:t>
      </w:r>
      <w:r w:rsidR="00A929EE" w:rsidRPr="00906FDC">
        <w:rPr>
          <w:rFonts w:ascii="Calibri" w:hAnsi="Calibri" w:cs="Calibri"/>
          <w:sz w:val="20"/>
        </w:rPr>
        <w:t>v dobách před pandemií</w:t>
      </w:r>
      <w:r w:rsidR="00A929EE">
        <w:rPr>
          <w:rFonts w:ascii="Calibri" w:hAnsi="Calibri" w:cs="Calibri"/>
          <w:sz w:val="20"/>
        </w:rPr>
        <w:t>.</w:t>
      </w:r>
      <w:r w:rsidR="00087711">
        <w:rPr>
          <w:rFonts w:ascii="Calibri" w:hAnsi="Calibri" w:cs="Calibri"/>
          <w:sz w:val="20"/>
        </w:rPr>
        <w:t xml:space="preserve"> </w:t>
      </w:r>
      <w:r w:rsidR="00135CD7">
        <w:rPr>
          <w:rFonts w:ascii="Calibri" w:hAnsi="Calibri" w:cs="Calibri"/>
          <w:sz w:val="20"/>
        </w:rPr>
        <w:t xml:space="preserve">Vládní spotřeba by měla </w:t>
      </w:r>
      <w:r w:rsidR="00087711">
        <w:rPr>
          <w:rFonts w:ascii="Calibri" w:hAnsi="Calibri" w:cs="Calibri"/>
          <w:sz w:val="20"/>
        </w:rPr>
        <w:t xml:space="preserve">letos </w:t>
      </w:r>
      <w:r w:rsidR="00135CD7">
        <w:rPr>
          <w:rFonts w:ascii="Calibri" w:hAnsi="Calibri" w:cs="Calibri"/>
          <w:sz w:val="20"/>
        </w:rPr>
        <w:t>růst kolem 1,5 %</w:t>
      </w:r>
      <w:r w:rsidR="00A929EE">
        <w:rPr>
          <w:rFonts w:ascii="Calibri" w:hAnsi="Calibri" w:cs="Calibri"/>
          <w:sz w:val="20"/>
        </w:rPr>
        <w:t>,</w:t>
      </w:r>
      <w:r w:rsidR="00135CD7">
        <w:rPr>
          <w:rFonts w:ascii="Calibri" w:hAnsi="Calibri" w:cs="Calibri"/>
          <w:sz w:val="20"/>
        </w:rPr>
        <w:t xml:space="preserve"> tj. oproti předešlému roku </w:t>
      </w:r>
      <w:r w:rsidR="00087711">
        <w:rPr>
          <w:rFonts w:ascii="Calibri" w:hAnsi="Calibri" w:cs="Calibri"/>
          <w:sz w:val="20"/>
        </w:rPr>
        <w:t>polovičním tempem</w:t>
      </w:r>
      <w:r w:rsidR="00A929EE">
        <w:rPr>
          <w:rFonts w:ascii="Calibri" w:hAnsi="Calibri" w:cs="Calibri"/>
          <w:sz w:val="20"/>
        </w:rPr>
        <w:t xml:space="preserve">. </w:t>
      </w:r>
      <w:r w:rsidR="00194F73" w:rsidRPr="00906FDC">
        <w:rPr>
          <w:rFonts w:ascii="Calibri" w:hAnsi="Calibri" w:cs="Calibri"/>
          <w:sz w:val="20"/>
        </w:rPr>
        <w:t xml:space="preserve">Investice v letošním </w:t>
      </w:r>
      <w:r w:rsidR="0065523B">
        <w:rPr>
          <w:rFonts w:ascii="Calibri" w:hAnsi="Calibri" w:cs="Calibri"/>
          <w:sz w:val="20"/>
        </w:rPr>
        <w:t xml:space="preserve">roce </w:t>
      </w:r>
      <w:r w:rsidR="00A929EE">
        <w:rPr>
          <w:rFonts w:ascii="Calibri" w:hAnsi="Calibri" w:cs="Calibri"/>
          <w:sz w:val="20"/>
        </w:rPr>
        <w:t>vzrostou o 2,6 % důsledkem nižší</w:t>
      </w:r>
      <w:r w:rsidR="003A6F74">
        <w:rPr>
          <w:rFonts w:ascii="Calibri" w:hAnsi="Calibri" w:cs="Calibri"/>
          <w:sz w:val="20"/>
        </w:rPr>
        <w:t>ch</w:t>
      </w:r>
      <w:r w:rsidR="00A929EE">
        <w:rPr>
          <w:rFonts w:ascii="Calibri" w:hAnsi="Calibri" w:cs="Calibri"/>
          <w:sz w:val="20"/>
        </w:rPr>
        <w:t xml:space="preserve"> úrokových sazeb a pokračující nutnosti investovat do energetických úspor</w:t>
      </w:r>
      <w:r w:rsidR="00194F73" w:rsidRPr="00906FDC">
        <w:rPr>
          <w:rFonts w:ascii="Calibri" w:hAnsi="Calibri" w:cs="Calibri"/>
          <w:sz w:val="20"/>
        </w:rPr>
        <w:t xml:space="preserve">. </w:t>
      </w:r>
      <w:r w:rsidR="009B7C12">
        <w:rPr>
          <w:rFonts w:ascii="Calibri" w:hAnsi="Calibri" w:cs="Calibri"/>
          <w:sz w:val="20"/>
        </w:rPr>
        <w:t xml:space="preserve">Rozptyl odhadů jednotlivých prognóz je však pro letošní rok výrazný. To souvisí </w:t>
      </w:r>
      <w:r w:rsidR="00C53807">
        <w:rPr>
          <w:rFonts w:ascii="Calibri" w:hAnsi="Calibri" w:cs="Calibri"/>
          <w:sz w:val="20"/>
        </w:rPr>
        <w:t xml:space="preserve">například i </w:t>
      </w:r>
      <w:r w:rsidR="009B7C12">
        <w:rPr>
          <w:rFonts w:ascii="Calibri" w:hAnsi="Calibri" w:cs="Calibri"/>
          <w:sz w:val="20"/>
        </w:rPr>
        <w:t>s nejistotou ohledně rozjezdu investic realitního sektoru, kter</w:t>
      </w:r>
      <w:r w:rsidR="00C53807">
        <w:rPr>
          <w:rFonts w:ascii="Calibri" w:hAnsi="Calibri" w:cs="Calibri"/>
          <w:sz w:val="20"/>
        </w:rPr>
        <w:t>é</w:t>
      </w:r>
      <w:r w:rsidR="009B7C12">
        <w:rPr>
          <w:rFonts w:ascii="Calibri" w:hAnsi="Calibri" w:cs="Calibri"/>
          <w:sz w:val="20"/>
        </w:rPr>
        <w:t xml:space="preserve"> byl</w:t>
      </w:r>
      <w:r w:rsidR="00C53807">
        <w:rPr>
          <w:rFonts w:ascii="Calibri" w:hAnsi="Calibri" w:cs="Calibri"/>
          <w:sz w:val="20"/>
        </w:rPr>
        <w:t>y</w:t>
      </w:r>
      <w:r w:rsidR="009B7C12">
        <w:rPr>
          <w:rFonts w:ascii="Calibri" w:hAnsi="Calibri" w:cs="Calibri"/>
          <w:sz w:val="20"/>
        </w:rPr>
        <w:t xml:space="preserve"> v posledních letech v</w:t>
      </w:r>
      <w:r w:rsidR="00C53807">
        <w:rPr>
          <w:rFonts w:ascii="Calibri" w:hAnsi="Calibri" w:cs="Calibri"/>
          <w:sz w:val="20"/>
        </w:rPr>
        <w:t> </w:t>
      </w:r>
      <w:r w:rsidR="009B7C12">
        <w:rPr>
          <w:rFonts w:ascii="Calibri" w:hAnsi="Calibri" w:cs="Calibri"/>
          <w:sz w:val="20"/>
        </w:rPr>
        <w:t>útlumu</w:t>
      </w:r>
      <w:r w:rsidR="00C53807">
        <w:rPr>
          <w:rFonts w:ascii="Calibri" w:hAnsi="Calibri" w:cs="Calibri"/>
          <w:sz w:val="20"/>
        </w:rPr>
        <w:t xml:space="preserve"> z </w:t>
      </w:r>
      <w:r w:rsidR="00E90D21">
        <w:rPr>
          <w:rFonts w:ascii="Calibri" w:hAnsi="Calibri" w:cs="Calibri"/>
          <w:sz w:val="20"/>
        </w:rPr>
        <w:t>důvodu</w:t>
      </w:r>
      <w:r w:rsidR="00C53807">
        <w:rPr>
          <w:rFonts w:ascii="Calibri" w:hAnsi="Calibri" w:cs="Calibri"/>
          <w:sz w:val="20"/>
        </w:rPr>
        <w:t xml:space="preserve"> vysokých úrokových sazeb</w:t>
      </w:r>
      <w:r w:rsidR="009B7C12">
        <w:rPr>
          <w:rFonts w:ascii="Calibri" w:hAnsi="Calibri" w:cs="Calibri"/>
          <w:sz w:val="20"/>
        </w:rPr>
        <w:t xml:space="preserve">. </w:t>
      </w:r>
      <w:r w:rsidR="003B48EF" w:rsidRPr="00906FDC">
        <w:rPr>
          <w:rFonts w:ascii="Calibri" w:hAnsi="Calibri" w:cs="Calibri"/>
          <w:sz w:val="20"/>
        </w:rPr>
        <w:t>Významnou</w:t>
      </w:r>
      <w:r w:rsidR="00194F73" w:rsidRPr="00906FDC">
        <w:rPr>
          <w:rFonts w:ascii="Calibri" w:hAnsi="Calibri" w:cs="Calibri"/>
          <w:sz w:val="20"/>
        </w:rPr>
        <w:t xml:space="preserve"> nejistotu bude </w:t>
      </w:r>
      <w:r w:rsidR="003B48EF" w:rsidRPr="00906FDC">
        <w:rPr>
          <w:rFonts w:ascii="Calibri" w:hAnsi="Calibri" w:cs="Calibri"/>
          <w:sz w:val="20"/>
        </w:rPr>
        <w:t xml:space="preserve">představovat v posledním období rozkolísaný </w:t>
      </w:r>
      <w:r w:rsidR="00194F73" w:rsidRPr="00906FDC">
        <w:rPr>
          <w:rFonts w:ascii="Calibri" w:hAnsi="Calibri" w:cs="Calibri"/>
          <w:sz w:val="20"/>
        </w:rPr>
        <w:t>vývoj zásob</w:t>
      </w:r>
      <w:r w:rsidR="002C1004">
        <w:rPr>
          <w:rFonts w:ascii="Calibri" w:hAnsi="Calibri" w:cs="Calibri"/>
          <w:sz w:val="20"/>
        </w:rPr>
        <w:t xml:space="preserve">, který by měl letos růst tlumit z titulu </w:t>
      </w:r>
      <w:r w:rsidR="00C53807">
        <w:rPr>
          <w:rFonts w:ascii="Calibri" w:hAnsi="Calibri" w:cs="Calibri"/>
          <w:sz w:val="20"/>
        </w:rPr>
        <w:t xml:space="preserve">rozpouštění </w:t>
      </w:r>
      <w:r w:rsidR="002C1004">
        <w:rPr>
          <w:rFonts w:ascii="Calibri" w:hAnsi="Calibri" w:cs="Calibri"/>
          <w:sz w:val="20"/>
        </w:rPr>
        <w:t>dříve</w:t>
      </w:r>
      <w:r w:rsidR="009B7C12">
        <w:rPr>
          <w:rFonts w:ascii="Calibri" w:hAnsi="Calibri" w:cs="Calibri"/>
          <w:sz w:val="20"/>
        </w:rPr>
        <w:t xml:space="preserve"> </w:t>
      </w:r>
      <w:r w:rsidR="00C53807">
        <w:rPr>
          <w:rFonts w:ascii="Calibri" w:hAnsi="Calibri" w:cs="Calibri"/>
          <w:sz w:val="20"/>
        </w:rPr>
        <w:t>vytvořených</w:t>
      </w:r>
      <w:r w:rsidR="009B7C12">
        <w:rPr>
          <w:rFonts w:ascii="Calibri" w:hAnsi="Calibri" w:cs="Calibri"/>
          <w:sz w:val="20"/>
        </w:rPr>
        <w:t xml:space="preserve"> </w:t>
      </w:r>
      <w:r w:rsidR="002C1004">
        <w:rPr>
          <w:rFonts w:ascii="Calibri" w:hAnsi="Calibri" w:cs="Calibri"/>
          <w:sz w:val="20"/>
        </w:rPr>
        <w:t xml:space="preserve">zásob. </w:t>
      </w:r>
      <w:r w:rsidR="005D42B1" w:rsidRPr="00906FDC">
        <w:rPr>
          <w:rFonts w:ascii="Calibri" w:hAnsi="Calibri" w:cs="Calibri"/>
          <w:sz w:val="20"/>
        </w:rPr>
        <w:t xml:space="preserve">Vzhledem </w:t>
      </w:r>
      <w:r w:rsidR="009B0181" w:rsidRPr="00906FDC">
        <w:rPr>
          <w:rFonts w:ascii="Calibri" w:hAnsi="Calibri" w:cs="Calibri"/>
          <w:sz w:val="20"/>
        </w:rPr>
        <w:t>k</w:t>
      </w:r>
      <w:r w:rsidR="008F621B">
        <w:rPr>
          <w:rFonts w:ascii="Calibri" w:hAnsi="Calibri" w:cs="Calibri"/>
          <w:sz w:val="20"/>
        </w:rPr>
        <w:t> nepatrně příznivějšímu obratu ve vývoji zahraniční poptávky se oproti únorové prognóze zvýšil odhad růstu vývozu. I přes pozitivní vývoj v prvních měsících letošního roku stále platí, že silný příspěvek automobilového sektoru k růstu vývozu v loňském roce nebude možné letos zopakovat</w:t>
      </w:r>
      <w:r w:rsidR="009B7C12">
        <w:rPr>
          <w:rFonts w:ascii="Calibri" w:hAnsi="Calibri" w:cs="Calibri"/>
          <w:sz w:val="20"/>
        </w:rPr>
        <w:t>, což potvrzují i poslední březnová čísla, která citelně zaostala za očekáváním.</w:t>
      </w:r>
    </w:p>
    <w:p w14:paraId="65A54C45" w14:textId="158BFC9E" w:rsidR="002B1A4A" w:rsidRPr="002C1004" w:rsidRDefault="00C900FE" w:rsidP="00635DD9">
      <w:pPr>
        <w:spacing w:before="80"/>
        <w:rPr>
          <w:rFonts w:ascii="Calibri" w:hAnsi="Calibri" w:cs="Calibri"/>
          <w:b/>
          <w:color w:val="13576B"/>
          <w:sz w:val="22"/>
          <w:szCs w:val="22"/>
        </w:rPr>
      </w:pPr>
      <w:r w:rsidRPr="002C1004">
        <w:rPr>
          <w:rFonts w:ascii="Calibri" w:hAnsi="Calibri" w:cs="Calibri"/>
          <w:b/>
          <w:color w:val="13576B"/>
          <w:sz w:val="22"/>
          <w:szCs w:val="22"/>
        </w:rPr>
        <w:t xml:space="preserve">Trh práce </w:t>
      </w:r>
      <w:r w:rsidR="00504A5F">
        <w:rPr>
          <w:rFonts w:ascii="Calibri" w:hAnsi="Calibri" w:cs="Calibri"/>
          <w:b/>
          <w:color w:val="13576B"/>
          <w:sz w:val="22"/>
          <w:szCs w:val="22"/>
        </w:rPr>
        <w:t xml:space="preserve">začíná mírně ochlazovat, </w:t>
      </w:r>
      <w:r w:rsidRPr="002C1004">
        <w:rPr>
          <w:rFonts w:ascii="Calibri" w:hAnsi="Calibri" w:cs="Calibri"/>
          <w:b/>
          <w:color w:val="13576B"/>
          <w:sz w:val="22"/>
          <w:szCs w:val="22"/>
        </w:rPr>
        <w:t xml:space="preserve">podíl nezaměstnaných osob se </w:t>
      </w:r>
      <w:r w:rsidR="00504A5F">
        <w:rPr>
          <w:rFonts w:ascii="Calibri" w:hAnsi="Calibri" w:cs="Calibri"/>
          <w:b/>
          <w:color w:val="13576B"/>
          <w:sz w:val="22"/>
          <w:szCs w:val="22"/>
        </w:rPr>
        <w:t xml:space="preserve">však </w:t>
      </w:r>
      <w:r w:rsidRPr="002C1004">
        <w:rPr>
          <w:rFonts w:ascii="Calibri" w:hAnsi="Calibri" w:cs="Calibri"/>
          <w:b/>
          <w:color w:val="13576B"/>
          <w:sz w:val="22"/>
          <w:szCs w:val="22"/>
        </w:rPr>
        <w:t>letos</w:t>
      </w:r>
      <w:r w:rsidR="0070077F" w:rsidRPr="002C1004">
        <w:rPr>
          <w:rFonts w:ascii="Calibri" w:hAnsi="Calibri" w:cs="Calibri"/>
          <w:b/>
          <w:color w:val="13576B"/>
          <w:sz w:val="22"/>
          <w:szCs w:val="22"/>
        </w:rPr>
        <w:t xml:space="preserve"> zvýší</w:t>
      </w:r>
      <w:r w:rsidRPr="002C1004">
        <w:rPr>
          <w:rFonts w:ascii="Calibri" w:hAnsi="Calibri" w:cs="Calibri"/>
          <w:b/>
          <w:color w:val="13576B"/>
          <w:sz w:val="22"/>
          <w:szCs w:val="22"/>
        </w:rPr>
        <w:t xml:space="preserve"> jen </w:t>
      </w:r>
      <w:r w:rsidR="00504A5F">
        <w:rPr>
          <w:rFonts w:ascii="Calibri" w:hAnsi="Calibri" w:cs="Calibri"/>
          <w:b/>
          <w:color w:val="13576B"/>
          <w:sz w:val="22"/>
          <w:szCs w:val="22"/>
        </w:rPr>
        <w:t>mírně</w:t>
      </w:r>
    </w:p>
    <w:p w14:paraId="7E15E8ED" w14:textId="3803CEB4" w:rsidR="00CA69A8" w:rsidRDefault="009A7905" w:rsidP="00B4285D">
      <w:pPr>
        <w:rPr>
          <w:rFonts w:ascii="Calibri" w:hAnsi="Calibri" w:cs="Calibri"/>
          <w:sz w:val="20"/>
        </w:rPr>
      </w:pPr>
      <w:r w:rsidRPr="002C1004">
        <w:rPr>
          <w:rFonts w:ascii="Calibri" w:hAnsi="Calibri" w:cs="Calibri"/>
          <w:sz w:val="20"/>
        </w:rPr>
        <w:t xml:space="preserve">Tuzemský trh </w:t>
      </w:r>
      <w:r w:rsidR="00B20BCD" w:rsidRPr="002C1004">
        <w:rPr>
          <w:rFonts w:ascii="Calibri" w:hAnsi="Calibri" w:cs="Calibri"/>
          <w:sz w:val="20"/>
        </w:rPr>
        <w:t xml:space="preserve">práce </w:t>
      </w:r>
      <w:r w:rsidRPr="002C1004">
        <w:rPr>
          <w:rFonts w:ascii="Calibri" w:hAnsi="Calibri" w:cs="Calibri"/>
          <w:sz w:val="20"/>
        </w:rPr>
        <w:t xml:space="preserve">zůstává </w:t>
      </w:r>
      <w:r w:rsidR="00B20BCD" w:rsidRPr="002C1004">
        <w:rPr>
          <w:rFonts w:ascii="Calibri" w:hAnsi="Calibri" w:cs="Calibri"/>
          <w:sz w:val="20"/>
        </w:rPr>
        <w:t xml:space="preserve">nadále </w:t>
      </w:r>
      <w:r w:rsidR="00504A5F">
        <w:rPr>
          <w:rFonts w:ascii="Calibri" w:hAnsi="Calibri" w:cs="Calibri"/>
          <w:sz w:val="20"/>
        </w:rPr>
        <w:t xml:space="preserve">v kontextu ekonomického vývoje </w:t>
      </w:r>
      <w:r w:rsidR="007366FE" w:rsidRPr="002C1004">
        <w:rPr>
          <w:rFonts w:ascii="Calibri" w:hAnsi="Calibri" w:cs="Calibri"/>
          <w:sz w:val="20"/>
        </w:rPr>
        <w:t xml:space="preserve">v dobré kondici a </w:t>
      </w:r>
      <w:r w:rsidR="00B20BCD" w:rsidRPr="002C1004">
        <w:rPr>
          <w:rFonts w:ascii="Calibri" w:hAnsi="Calibri" w:cs="Calibri"/>
          <w:sz w:val="20"/>
        </w:rPr>
        <w:t xml:space="preserve">míra nezaměstnanosti </w:t>
      </w:r>
      <w:r w:rsidRPr="002C1004">
        <w:rPr>
          <w:rFonts w:ascii="Calibri" w:hAnsi="Calibri" w:cs="Calibri"/>
          <w:sz w:val="20"/>
        </w:rPr>
        <w:t xml:space="preserve">je </w:t>
      </w:r>
      <w:r w:rsidR="00B20BCD" w:rsidRPr="002C1004">
        <w:rPr>
          <w:rFonts w:ascii="Calibri" w:hAnsi="Calibri" w:cs="Calibri"/>
          <w:sz w:val="20"/>
        </w:rPr>
        <w:t xml:space="preserve">nejnižší v zemích EU. </w:t>
      </w:r>
      <w:r w:rsidRPr="002C1004">
        <w:rPr>
          <w:rFonts w:ascii="Calibri" w:hAnsi="Calibri" w:cs="Calibri"/>
          <w:sz w:val="20"/>
        </w:rPr>
        <w:t>Celkový podíl nezaměstnaných osob v roce 202</w:t>
      </w:r>
      <w:r w:rsidR="003B48EF" w:rsidRPr="002C1004">
        <w:rPr>
          <w:rFonts w:ascii="Calibri" w:hAnsi="Calibri" w:cs="Calibri"/>
          <w:sz w:val="20"/>
        </w:rPr>
        <w:t>3 dosáh</w:t>
      </w:r>
      <w:r w:rsidR="00CE5236" w:rsidRPr="002C1004">
        <w:rPr>
          <w:rFonts w:ascii="Calibri" w:hAnsi="Calibri" w:cs="Calibri"/>
          <w:sz w:val="20"/>
        </w:rPr>
        <w:t>l</w:t>
      </w:r>
      <w:r w:rsidR="003B48EF" w:rsidRPr="002C1004">
        <w:rPr>
          <w:rFonts w:ascii="Calibri" w:hAnsi="Calibri" w:cs="Calibri"/>
          <w:sz w:val="20"/>
        </w:rPr>
        <w:t xml:space="preserve"> 3,6 %</w:t>
      </w:r>
      <w:r w:rsidR="00CE5236" w:rsidRPr="002C1004">
        <w:rPr>
          <w:rFonts w:ascii="Calibri" w:hAnsi="Calibri" w:cs="Calibri"/>
          <w:sz w:val="20"/>
        </w:rPr>
        <w:t xml:space="preserve"> a v letošním roce se očekává jen nepatrný růst </w:t>
      </w:r>
      <w:r w:rsidR="00C74E3F" w:rsidRPr="002C1004">
        <w:rPr>
          <w:rFonts w:ascii="Calibri" w:hAnsi="Calibri" w:cs="Calibri"/>
          <w:sz w:val="20"/>
        </w:rPr>
        <w:t>na 3,8 %</w:t>
      </w:r>
      <w:r w:rsidR="005E6125">
        <w:rPr>
          <w:rFonts w:ascii="Calibri" w:hAnsi="Calibri" w:cs="Calibri"/>
          <w:sz w:val="20"/>
        </w:rPr>
        <w:t>.</w:t>
      </w:r>
      <w:r w:rsidR="00C74E3F" w:rsidRPr="002C1004">
        <w:rPr>
          <w:rFonts w:ascii="Calibri" w:hAnsi="Calibri" w:cs="Calibri"/>
          <w:sz w:val="20"/>
        </w:rPr>
        <w:t xml:space="preserve"> To je však stále nižší hodnota, než </w:t>
      </w:r>
      <w:r w:rsidR="00676F20" w:rsidRPr="002C1004">
        <w:rPr>
          <w:rFonts w:ascii="Calibri" w:hAnsi="Calibri" w:cs="Calibri"/>
          <w:sz w:val="20"/>
        </w:rPr>
        <w:t xml:space="preserve">jsme pozorovali </w:t>
      </w:r>
      <w:r w:rsidR="00C74E3F" w:rsidRPr="002C1004">
        <w:rPr>
          <w:rFonts w:ascii="Calibri" w:hAnsi="Calibri" w:cs="Calibri"/>
          <w:sz w:val="20"/>
        </w:rPr>
        <w:t xml:space="preserve">v roce 2017, kdy již tuzemský trh práce začal čelit známkám přehřívání. </w:t>
      </w:r>
      <w:r w:rsidR="005E6125" w:rsidRPr="005E6125">
        <w:rPr>
          <w:rFonts w:ascii="Calibri" w:hAnsi="Calibri" w:cs="Calibri"/>
          <w:sz w:val="20"/>
        </w:rPr>
        <w:t>Tuzemský trh práce je sice nadále ve stavu, kdy řada zaměstnavatelů má problém najít vhodné zaměstnance, určité známky ochlazování v</w:t>
      </w:r>
      <w:r w:rsidR="00C53807">
        <w:rPr>
          <w:rFonts w:ascii="Calibri" w:hAnsi="Calibri" w:cs="Calibri"/>
          <w:sz w:val="20"/>
        </w:rPr>
        <w:t> </w:t>
      </w:r>
      <w:r w:rsidR="005E6125" w:rsidRPr="005E6125">
        <w:rPr>
          <w:rFonts w:ascii="Calibri" w:hAnsi="Calibri" w:cs="Calibri"/>
          <w:sz w:val="20"/>
        </w:rPr>
        <w:t>posledních</w:t>
      </w:r>
      <w:r w:rsidR="00C53807">
        <w:rPr>
          <w:rFonts w:ascii="Calibri" w:hAnsi="Calibri" w:cs="Calibri"/>
          <w:sz w:val="20"/>
        </w:rPr>
        <w:t xml:space="preserve"> 2.</w:t>
      </w:r>
      <w:r w:rsidR="005E6125" w:rsidRPr="005E6125">
        <w:rPr>
          <w:rFonts w:ascii="Calibri" w:hAnsi="Calibri" w:cs="Calibri"/>
          <w:sz w:val="20"/>
        </w:rPr>
        <w:t xml:space="preserve"> čtvrtletích však patrné j</w:t>
      </w:r>
      <w:r w:rsidR="00796120">
        <w:rPr>
          <w:rFonts w:ascii="Calibri" w:hAnsi="Calibri" w:cs="Calibri"/>
          <w:sz w:val="20"/>
        </w:rPr>
        <w:t>sou</w:t>
      </w:r>
      <w:r w:rsidR="005E6125">
        <w:rPr>
          <w:rFonts w:ascii="Calibri" w:hAnsi="Calibri" w:cs="Calibri"/>
          <w:sz w:val="20"/>
        </w:rPr>
        <w:t xml:space="preserve"> a potvrzují to i poslední čísla z trhu práce, která zaostala za očekáváním, </w:t>
      </w:r>
      <w:r w:rsidR="005E6125" w:rsidRPr="005E6125">
        <w:rPr>
          <w:rFonts w:ascii="Calibri" w:hAnsi="Calibri" w:cs="Calibri"/>
          <w:sz w:val="20"/>
        </w:rPr>
        <w:t>a</w:t>
      </w:r>
      <w:r w:rsidR="005E6125">
        <w:rPr>
          <w:rFonts w:ascii="Calibri" w:hAnsi="Calibri" w:cs="Calibri"/>
          <w:sz w:val="20"/>
        </w:rPr>
        <w:t xml:space="preserve"> to navzdory nadprůměrn</w:t>
      </w:r>
      <w:r w:rsidR="00796120">
        <w:rPr>
          <w:rFonts w:ascii="Calibri" w:hAnsi="Calibri" w:cs="Calibri"/>
          <w:sz w:val="20"/>
        </w:rPr>
        <w:t>ě</w:t>
      </w:r>
      <w:r w:rsidR="005E6125">
        <w:rPr>
          <w:rFonts w:ascii="Calibri" w:hAnsi="Calibri" w:cs="Calibri"/>
          <w:sz w:val="20"/>
        </w:rPr>
        <w:t xml:space="preserve"> teplé zimě.</w:t>
      </w:r>
      <w:r w:rsidR="002C1004">
        <w:rPr>
          <w:rFonts w:ascii="Calibri" w:hAnsi="Calibri" w:cs="Calibri"/>
          <w:sz w:val="20"/>
        </w:rPr>
        <w:t xml:space="preserve"> </w:t>
      </w:r>
    </w:p>
    <w:p w14:paraId="72895A9E" w14:textId="51C5995C" w:rsidR="00CA69A8" w:rsidRDefault="00CA69A8" w:rsidP="00B4285D">
      <w:pPr>
        <w:rPr>
          <w:rFonts w:ascii="Calibri" w:hAnsi="Calibri" w:cs="Calibri"/>
          <w:sz w:val="20"/>
        </w:rPr>
      </w:pPr>
    </w:p>
    <w:p w14:paraId="1091B578" w14:textId="5C769F2D" w:rsidR="00D30A6F" w:rsidRDefault="00774F0B" w:rsidP="00B4285D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N</w:t>
      </w:r>
      <w:r w:rsidR="0065523B">
        <w:rPr>
          <w:rFonts w:ascii="Calibri" w:hAnsi="Calibri" w:cs="Calibri"/>
          <w:b/>
          <w:bCs/>
          <w:sz w:val="20"/>
        </w:rPr>
        <w:t xml:space="preserve">ominální </w:t>
      </w:r>
      <w:r w:rsidR="00D27F2C">
        <w:rPr>
          <w:rFonts w:ascii="Calibri" w:hAnsi="Calibri" w:cs="Calibri"/>
          <w:b/>
          <w:bCs/>
          <w:sz w:val="20"/>
        </w:rPr>
        <w:t>průměrn</w:t>
      </w:r>
      <w:r>
        <w:rPr>
          <w:rFonts w:ascii="Calibri" w:hAnsi="Calibri" w:cs="Calibri"/>
          <w:b/>
          <w:bCs/>
          <w:sz w:val="20"/>
        </w:rPr>
        <w:t>á</w:t>
      </w:r>
      <w:r w:rsidR="00D27F2C">
        <w:rPr>
          <w:rFonts w:ascii="Calibri" w:hAnsi="Calibri" w:cs="Calibri"/>
          <w:b/>
          <w:bCs/>
          <w:sz w:val="20"/>
        </w:rPr>
        <w:t xml:space="preserve"> mzd</w:t>
      </w:r>
      <w:r>
        <w:rPr>
          <w:rFonts w:ascii="Calibri" w:hAnsi="Calibri" w:cs="Calibri"/>
          <w:b/>
          <w:bCs/>
          <w:sz w:val="20"/>
        </w:rPr>
        <w:t>a</w:t>
      </w:r>
      <w:r w:rsidR="00D27F2C">
        <w:rPr>
          <w:rFonts w:ascii="Calibri" w:hAnsi="Calibri" w:cs="Calibri"/>
          <w:b/>
          <w:bCs/>
          <w:sz w:val="20"/>
        </w:rPr>
        <w:t xml:space="preserve"> </w:t>
      </w:r>
      <w:r w:rsidR="00912FA3">
        <w:rPr>
          <w:rFonts w:ascii="Calibri" w:hAnsi="Calibri" w:cs="Calibri"/>
          <w:b/>
          <w:bCs/>
          <w:sz w:val="20"/>
        </w:rPr>
        <w:t xml:space="preserve">letos </w:t>
      </w:r>
      <w:r>
        <w:rPr>
          <w:rFonts w:ascii="Calibri" w:hAnsi="Calibri" w:cs="Calibri"/>
          <w:b/>
          <w:bCs/>
          <w:sz w:val="20"/>
        </w:rPr>
        <w:t xml:space="preserve">vzroste o </w:t>
      </w:r>
      <w:r w:rsidR="00CE5236">
        <w:rPr>
          <w:rFonts w:ascii="Calibri" w:hAnsi="Calibri" w:cs="Calibri"/>
          <w:b/>
          <w:bCs/>
          <w:sz w:val="20"/>
        </w:rPr>
        <w:t>6</w:t>
      </w:r>
      <w:r>
        <w:rPr>
          <w:rFonts w:ascii="Calibri" w:hAnsi="Calibri" w:cs="Calibri"/>
          <w:b/>
          <w:bCs/>
          <w:sz w:val="20"/>
        </w:rPr>
        <w:t xml:space="preserve"> </w:t>
      </w:r>
      <w:r w:rsidR="00870714">
        <w:rPr>
          <w:rFonts w:ascii="Calibri" w:hAnsi="Calibri" w:cs="Calibri"/>
          <w:b/>
          <w:bCs/>
          <w:sz w:val="20"/>
        </w:rPr>
        <w:t>%</w:t>
      </w:r>
      <w:r w:rsidR="00D95BCC">
        <w:rPr>
          <w:rFonts w:ascii="Calibri" w:hAnsi="Calibri" w:cs="Calibri"/>
          <w:b/>
          <w:bCs/>
          <w:sz w:val="20"/>
        </w:rPr>
        <w:t>,</w:t>
      </w:r>
      <w:r w:rsidR="00870714">
        <w:rPr>
          <w:rFonts w:ascii="Calibri" w:hAnsi="Calibri" w:cs="Calibri"/>
          <w:b/>
          <w:bCs/>
          <w:sz w:val="20"/>
        </w:rPr>
        <w:t xml:space="preserve"> </w:t>
      </w:r>
      <w:r w:rsidR="00D95BCC">
        <w:rPr>
          <w:rFonts w:ascii="Calibri" w:hAnsi="Calibri" w:cs="Calibri"/>
          <w:b/>
          <w:bCs/>
          <w:sz w:val="20"/>
        </w:rPr>
        <w:t>v</w:t>
      </w:r>
      <w:r w:rsidR="00870714">
        <w:rPr>
          <w:rFonts w:ascii="Calibri" w:hAnsi="Calibri" w:cs="Calibri"/>
          <w:b/>
          <w:bCs/>
          <w:sz w:val="20"/>
        </w:rPr>
        <w:t> příštím roce by pak měla dynamika dosáhnout 5 %.</w:t>
      </w:r>
      <w:r w:rsidR="00D95BCC">
        <w:rPr>
          <w:rFonts w:ascii="Calibri" w:hAnsi="Calibri" w:cs="Calibri"/>
          <w:b/>
          <w:bCs/>
          <w:sz w:val="20"/>
        </w:rPr>
        <w:t xml:space="preserve"> </w:t>
      </w:r>
      <w:r w:rsidR="00D95BCC">
        <w:rPr>
          <w:rFonts w:ascii="Calibri" w:hAnsi="Calibri" w:cs="Calibri"/>
          <w:sz w:val="20"/>
        </w:rPr>
        <w:t xml:space="preserve">Po dvou letech tak začnou reálné mzdy opět růst, i tak však vzhledem k propadu v posledních dvou letech setrvají </w:t>
      </w:r>
      <w:r w:rsidR="00A26EDB">
        <w:rPr>
          <w:rFonts w:ascii="Calibri" w:hAnsi="Calibri" w:cs="Calibri"/>
          <w:sz w:val="20"/>
        </w:rPr>
        <w:t xml:space="preserve">zhruba na úrovni roku 2018. V příštím roce by měl růst reálných mezd pokračovat, ale stále v relativně mírném tempu kolem 3 %. Dle současného výhledu </w:t>
      </w:r>
      <w:r>
        <w:rPr>
          <w:rFonts w:ascii="Calibri" w:hAnsi="Calibri" w:cs="Calibri"/>
          <w:sz w:val="20"/>
        </w:rPr>
        <w:t>by</w:t>
      </w:r>
      <w:r w:rsidR="00A26EDB">
        <w:rPr>
          <w:rFonts w:ascii="Calibri" w:hAnsi="Calibri" w:cs="Calibri"/>
          <w:sz w:val="20"/>
        </w:rPr>
        <w:t xml:space="preserve"> reálné mzdy </w:t>
      </w:r>
      <w:r>
        <w:rPr>
          <w:rFonts w:ascii="Calibri" w:hAnsi="Calibri" w:cs="Calibri"/>
          <w:sz w:val="20"/>
        </w:rPr>
        <w:t xml:space="preserve">mohly své </w:t>
      </w:r>
      <w:r w:rsidR="00A26EDB">
        <w:rPr>
          <w:rFonts w:ascii="Calibri" w:hAnsi="Calibri" w:cs="Calibri"/>
          <w:sz w:val="20"/>
        </w:rPr>
        <w:t>dosavadní nejvyšší úrov</w:t>
      </w:r>
      <w:r w:rsidR="00796120">
        <w:rPr>
          <w:rFonts w:ascii="Calibri" w:hAnsi="Calibri" w:cs="Calibri"/>
          <w:sz w:val="20"/>
        </w:rPr>
        <w:t>ně</w:t>
      </w:r>
      <w:r w:rsidR="00A26EDB">
        <w:rPr>
          <w:rFonts w:ascii="Calibri" w:hAnsi="Calibri" w:cs="Calibri"/>
          <w:sz w:val="20"/>
        </w:rPr>
        <w:t xml:space="preserve"> z roku 2021 </w:t>
      </w:r>
      <w:r>
        <w:rPr>
          <w:rFonts w:ascii="Calibri" w:hAnsi="Calibri" w:cs="Calibri"/>
          <w:sz w:val="20"/>
        </w:rPr>
        <w:t>dosáhnout v příštím roce</w:t>
      </w:r>
      <w:r w:rsidR="00A26EDB">
        <w:rPr>
          <w:rFonts w:ascii="Calibri" w:hAnsi="Calibri" w:cs="Calibri"/>
          <w:sz w:val="20"/>
        </w:rPr>
        <w:t>.</w:t>
      </w:r>
      <w:r w:rsidR="008268CD">
        <w:rPr>
          <w:rFonts w:ascii="Calibri" w:hAnsi="Calibri" w:cs="Calibri"/>
          <w:sz w:val="20"/>
        </w:rPr>
        <w:t xml:space="preserve"> </w:t>
      </w:r>
      <w:r w:rsidR="007243C9">
        <w:rPr>
          <w:rFonts w:ascii="Calibri" w:hAnsi="Calibri" w:cs="Calibri"/>
          <w:sz w:val="20"/>
        </w:rPr>
        <w:t xml:space="preserve">Pro výhled na růst mezd bude klíčový údaj za 1. čtvrtletí zveřejněný začátkem června. </w:t>
      </w:r>
      <w:r w:rsidR="00C53807">
        <w:rPr>
          <w:rFonts w:ascii="Calibri" w:hAnsi="Calibri" w:cs="Calibri"/>
          <w:sz w:val="20"/>
        </w:rPr>
        <w:t>T</w:t>
      </w:r>
      <w:r w:rsidR="007243C9">
        <w:rPr>
          <w:rFonts w:ascii="Calibri" w:hAnsi="Calibri" w:cs="Calibri"/>
          <w:sz w:val="20"/>
        </w:rPr>
        <w:t>en bude pro trh důležitý i z toho důvodu,</w:t>
      </w:r>
      <w:r w:rsidR="00C53807">
        <w:rPr>
          <w:rFonts w:ascii="Calibri" w:hAnsi="Calibri" w:cs="Calibri"/>
          <w:sz w:val="20"/>
        </w:rPr>
        <w:t xml:space="preserve"> </w:t>
      </w:r>
      <w:r w:rsidR="007243C9">
        <w:rPr>
          <w:rFonts w:ascii="Calibri" w:hAnsi="Calibri" w:cs="Calibri"/>
          <w:sz w:val="20"/>
        </w:rPr>
        <w:t>zda potvrdí optimističtější odhad centrální banky, která v nové jarní prognóze čeká letošní růst průměrn</w:t>
      </w:r>
      <w:r w:rsidR="00796120">
        <w:rPr>
          <w:rFonts w:ascii="Calibri" w:hAnsi="Calibri" w:cs="Calibri"/>
          <w:sz w:val="20"/>
        </w:rPr>
        <w:t>é</w:t>
      </w:r>
      <w:r w:rsidR="007243C9">
        <w:rPr>
          <w:rFonts w:ascii="Calibri" w:hAnsi="Calibri" w:cs="Calibri"/>
          <w:sz w:val="20"/>
        </w:rPr>
        <w:t xml:space="preserve"> mzdy o 7,2 %. </w:t>
      </w:r>
    </w:p>
    <w:p w14:paraId="4EE3EE81" w14:textId="77777777" w:rsidR="007B5FE5" w:rsidRDefault="007B5FE5" w:rsidP="00B4285D">
      <w:pPr>
        <w:rPr>
          <w:rFonts w:ascii="Calibri" w:hAnsi="Calibri" w:cs="Calibri"/>
          <w:sz w:val="20"/>
        </w:rPr>
      </w:pPr>
    </w:p>
    <w:p w14:paraId="71CF0BE4" w14:textId="07E2FA54" w:rsidR="00B941DB" w:rsidRPr="0074441D" w:rsidRDefault="0065523B" w:rsidP="004F09E3">
      <w:pPr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Průměrná i</w:t>
      </w:r>
      <w:r w:rsidR="00B941DB" w:rsidRPr="0074441D">
        <w:rPr>
          <w:rFonts w:ascii="Calibri" w:hAnsi="Calibri" w:cs="Calibri"/>
          <w:b/>
          <w:color w:val="13576B"/>
          <w:sz w:val="22"/>
          <w:szCs w:val="22"/>
        </w:rPr>
        <w:t xml:space="preserve">nflace </w:t>
      </w:r>
      <w:r w:rsidR="00CE5236">
        <w:rPr>
          <w:rFonts w:ascii="Calibri" w:hAnsi="Calibri" w:cs="Calibri"/>
          <w:b/>
          <w:color w:val="13576B"/>
          <w:sz w:val="22"/>
          <w:szCs w:val="22"/>
        </w:rPr>
        <w:t xml:space="preserve">letos </w:t>
      </w:r>
      <w:r w:rsidR="00A43682">
        <w:rPr>
          <w:rFonts w:ascii="Calibri" w:hAnsi="Calibri" w:cs="Calibri"/>
          <w:b/>
          <w:color w:val="13576B"/>
          <w:sz w:val="22"/>
          <w:szCs w:val="22"/>
        </w:rPr>
        <w:t>i příští rok bude poblíž 2% cíle ČNB</w:t>
      </w:r>
    </w:p>
    <w:p w14:paraId="424F03C8" w14:textId="4DC561A1" w:rsidR="0080589F" w:rsidRDefault="008B3FEF" w:rsidP="00B941DB">
      <w:pPr>
        <w:rPr>
          <w:rFonts w:ascii="Calibri" w:hAnsi="Calibri" w:cs="Calibri"/>
          <w:sz w:val="20"/>
        </w:rPr>
      </w:pPr>
      <w:r w:rsidRPr="00A97B14"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518F51" wp14:editId="3BB17DB2">
                <wp:simplePos x="0" y="0"/>
                <wp:positionH relativeFrom="margin">
                  <wp:posOffset>-14605</wp:posOffset>
                </wp:positionH>
                <wp:positionV relativeFrom="paragraph">
                  <wp:posOffset>1133400</wp:posOffset>
                </wp:positionV>
                <wp:extent cx="6461760" cy="736600"/>
                <wp:effectExtent l="0" t="0" r="15240" b="2540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F7DFD" w14:textId="77777777" w:rsidR="0080589F" w:rsidRDefault="0080589F" w:rsidP="008058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 w:rsidRPr="00855C1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Jan Bureš, hlavní ekonom Patria Finance a ekonom ČSOB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  <w:p w14:paraId="58A268B1" w14:textId="77777777" w:rsidR="000F0B99" w:rsidRPr="00F37DC9" w:rsidRDefault="000F0B99" w:rsidP="000F0B99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bookmarkStart w:id="0" w:name="_Hlk165979168"/>
                            <w:bookmarkStart w:id="1" w:name="_Hlk165979169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„</w:t>
                            </w:r>
                            <w:r w:rsidRPr="00EA6F5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Inflace v Česku na začátku roku 2024 výrazně poklesla díky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citelnému</w:t>
                            </w:r>
                            <w:r w:rsidRPr="00EA6F5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meziročnímu zlevnění potravin. Jejich pozitivní efekt však bude v nejbližších měsících odeznívat a díky setrvačné inflaci služeb předpokládáme ke konci roku inflaci na vyšších úrovních v blízkosti 2,8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EA6F5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%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.</w:t>
                            </w:r>
                            <w:r w:rsidRPr="00EA6F5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“</w:t>
                            </w:r>
                            <w:bookmarkEnd w:id="0"/>
                            <w:bookmarkEnd w:id="1"/>
                          </w:p>
                          <w:p w14:paraId="2C965C9B" w14:textId="0E045E4D" w:rsidR="004728A5" w:rsidRPr="00F37DC9" w:rsidRDefault="004728A5" w:rsidP="000F0B99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18F51" id="Textové pole 6" o:spid="_x0000_s1028" type="#_x0000_t202" style="position:absolute;left:0;text-align:left;margin-left:-1.15pt;margin-top:89.25pt;width:508.8pt;height:5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">
                <v:textbox>
                  <w:txbxContent>
                    <w:p w14:paraId="3FCF7DFD" w14:textId="77777777" w:rsidR="0080589F" w:rsidRDefault="0080589F" w:rsidP="0080589F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 w:rsidRPr="00855C1D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Jan Bureš, hlavní ekonom Patria Finance a ekonom ČSOB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:</w:t>
                      </w:r>
                    </w:p>
                    <w:p w14:paraId="58A268B1" w14:textId="77777777" w:rsidR="000F0B99" w:rsidRPr="00F37DC9" w:rsidRDefault="000F0B99" w:rsidP="000F0B99">
                      <w:pPr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bookmarkStart w:id="2" w:name="_Hlk165979168"/>
                      <w:bookmarkStart w:id="3" w:name="_Hlk165979169"/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„</w:t>
                      </w:r>
                      <w:r w:rsidRPr="00EA6F50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Inflace v Česku na začátku roku 2024 výrazně poklesla díky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citelnému</w:t>
                      </w:r>
                      <w:r w:rsidRPr="00EA6F50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meziročnímu zlevnění potravin. Jejich pozitivní efekt však bude v nejbližších měsících odeznívat a díky setrvačné inflaci služeb předpokládáme ke konci roku inflaci na vyšších úrovních v blízkosti 2,8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</w:t>
                      </w:r>
                      <w:r w:rsidRPr="00EA6F50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%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.</w:t>
                      </w:r>
                      <w:r w:rsidRPr="00EA6F50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“</w:t>
                      </w:r>
                      <w:bookmarkEnd w:id="2"/>
                      <w:bookmarkEnd w:id="3"/>
                    </w:p>
                    <w:p w14:paraId="2C965C9B" w14:textId="0E045E4D" w:rsidR="004728A5" w:rsidRPr="00F37DC9" w:rsidRDefault="004728A5" w:rsidP="000F0B99">
                      <w:pPr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4F0B">
        <w:rPr>
          <w:rFonts w:ascii="Calibri" w:hAnsi="Calibri" w:cs="Calibri"/>
          <w:sz w:val="20"/>
        </w:rPr>
        <w:t>Rychlejší pokles inflace začátkem letošního roku vedl k přehodnocení celoroční průměrné inflace z 2,6 na 2,3 %</w:t>
      </w:r>
      <w:r w:rsidR="007243C9">
        <w:rPr>
          <w:rFonts w:ascii="Calibri" w:hAnsi="Calibri" w:cs="Calibri"/>
          <w:sz w:val="20"/>
        </w:rPr>
        <w:t>, samotný odhad růstu pro zbytek rok</w:t>
      </w:r>
      <w:r w:rsidR="00C53807">
        <w:rPr>
          <w:rFonts w:ascii="Calibri" w:hAnsi="Calibri" w:cs="Calibri"/>
          <w:sz w:val="20"/>
        </w:rPr>
        <w:t>u</w:t>
      </w:r>
      <w:r w:rsidR="007243C9">
        <w:rPr>
          <w:rFonts w:ascii="Calibri" w:hAnsi="Calibri" w:cs="Calibri"/>
          <w:sz w:val="20"/>
        </w:rPr>
        <w:t xml:space="preserve"> se však příliš nezměnil a nová prognóza stále čeká koncem letošního roku inflaci mírně pod 3% hranicí. </w:t>
      </w:r>
      <w:r w:rsidR="00774F0B">
        <w:rPr>
          <w:rFonts w:ascii="Calibri" w:hAnsi="Calibri" w:cs="Calibri"/>
          <w:sz w:val="20"/>
        </w:rPr>
        <w:t xml:space="preserve"> Rychlejší dezinflace </w:t>
      </w:r>
      <w:r w:rsidR="007243C9">
        <w:rPr>
          <w:rFonts w:ascii="Calibri" w:hAnsi="Calibri" w:cs="Calibri"/>
          <w:sz w:val="20"/>
        </w:rPr>
        <w:t>zkraje roku</w:t>
      </w:r>
      <w:r w:rsidR="00A43682">
        <w:rPr>
          <w:rFonts w:ascii="Calibri" w:hAnsi="Calibri" w:cs="Calibri"/>
          <w:sz w:val="20"/>
        </w:rPr>
        <w:t xml:space="preserve"> byla </w:t>
      </w:r>
      <w:r w:rsidR="00C53807">
        <w:rPr>
          <w:rFonts w:ascii="Calibri" w:hAnsi="Calibri" w:cs="Calibri"/>
          <w:sz w:val="20"/>
        </w:rPr>
        <w:t>do velké míry</w:t>
      </w:r>
      <w:r w:rsidR="00A43682">
        <w:rPr>
          <w:rFonts w:ascii="Calibri" w:hAnsi="Calibri" w:cs="Calibri"/>
          <w:sz w:val="20"/>
        </w:rPr>
        <w:t xml:space="preserve"> způsobena rychlejším poklesem cen potravin, </w:t>
      </w:r>
      <w:r w:rsidR="007243C9">
        <w:rPr>
          <w:rFonts w:ascii="Calibri" w:hAnsi="Calibri" w:cs="Calibri"/>
          <w:sz w:val="20"/>
        </w:rPr>
        <w:t xml:space="preserve">které však </w:t>
      </w:r>
      <w:r w:rsidR="00A43682">
        <w:rPr>
          <w:rFonts w:ascii="Calibri" w:hAnsi="Calibri" w:cs="Calibri"/>
          <w:sz w:val="20"/>
        </w:rPr>
        <w:t xml:space="preserve">své protiinflační působení v následujících </w:t>
      </w:r>
      <w:r w:rsidR="0080589F">
        <w:rPr>
          <w:rFonts w:ascii="Calibri" w:hAnsi="Calibri" w:cs="Calibri"/>
          <w:sz w:val="20"/>
        </w:rPr>
        <w:t>měsících</w:t>
      </w:r>
      <w:r w:rsidR="00A43682">
        <w:rPr>
          <w:rFonts w:ascii="Calibri" w:hAnsi="Calibri" w:cs="Calibri"/>
          <w:sz w:val="20"/>
        </w:rPr>
        <w:t xml:space="preserve"> zmírn</w:t>
      </w:r>
      <w:r w:rsidR="007243C9">
        <w:rPr>
          <w:rFonts w:ascii="Calibri" w:hAnsi="Calibri" w:cs="Calibri"/>
          <w:sz w:val="20"/>
        </w:rPr>
        <w:t>í</w:t>
      </w:r>
      <w:r w:rsidR="00A43682">
        <w:rPr>
          <w:rFonts w:ascii="Calibri" w:hAnsi="Calibri" w:cs="Calibri"/>
          <w:sz w:val="20"/>
        </w:rPr>
        <w:t>.</w:t>
      </w:r>
      <w:r w:rsidR="00774F0B">
        <w:rPr>
          <w:rFonts w:ascii="Calibri" w:hAnsi="Calibri" w:cs="Calibri"/>
          <w:sz w:val="20"/>
        </w:rPr>
        <w:t xml:space="preserve"> Rizikem setrvává také pomal</w:t>
      </w:r>
      <w:r w:rsidR="007243C9">
        <w:rPr>
          <w:rFonts w:ascii="Calibri" w:hAnsi="Calibri" w:cs="Calibri"/>
          <w:sz w:val="20"/>
        </w:rPr>
        <w:t>ý</w:t>
      </w:r>
      <w:r w:rsidR="00774F0B">
        <w:rPr>
          <w:rFonts w:ascii="Calibri" w:hAnsi="Calibri" w:cs="Calibri"/>
          <w:sz w:val="20"/>
        </w:rPr>
        <w:t xml:space="preserve"> pokles infl</w:t>
      </w:r>
      <w:r w:rsidR="007243C9">
        <w:rPr>
          <w:rFonts w:ascii="Calibri" w:hAnsi="Calibri" w:cs="Calibri"/>
          <w:sz w:val="20"/>
        </w:rPr>
        <w:t>a</w:t>
      </w:r>
      <w:r w:rsidR="00774F0B">
        <w:rPr>
          <w:rFonts w:ascii="Calibri" w:hAnsi="Calibri" w:cs="Calibri"/>
          <w:sz w:val="20"/>
        </w:rPr>
        <w:t>ce ve službách, kde ceny stále rostou meziročně ko</w:t>
      </w:r>
      <w:r w:rsidR="007243C9">
        <w:rPr>
          <w:rFonts w:ascii="Calibri" w:hAnsi="Calibri" w:cs="Calibri"/>
          <w:sz w:val="20"/>
        </w:rPr>
        <w:t>l</w:t>
      </w:r>
      <w:r w:rsidR="00774F0B">
        <w:rPr>
          <w:rFonts w:ascii="Calibri" w:hAnsi="Calibri" w:cs="Calibri"/>
          <w:sz w:val="20"/>
        </w:rPr>
        <w:t>e</w:t>
      </w:r>
      <w:r w:rsidR="007243C9">
        <w:rPr>
          <w:rFonts w:ascii="Calibri" w:hAnsi="Calibri" w:cs="Calibri"/>
          <w:sz w:val="20"/>
        </w:rPr>
        <w:t>m</w:t>
      </w:r>
      <w:r w:rsidR="00774F0B">
        <w:rPr>
          <w:rFonts w:ascii="Calibri" w:hAnsi="Calibri" w:cs="Calibri"/>
          <w:sz w:val="20"/>
        </w:rPr>
        <w:t xml:space="preserve"> 5 %</w:t>
      </w:r>
      <w:r w:rsidR="007243C9">
        <w:rPr>
          <w:rFonts w:ascii="Calibri" w:hAnsi="Calibri" w:cs="Calibri"/>
          <w:sz w:val="20"/>
        </w:rPr>
        <w:t xml:space="preserve"> a meziměsíční růst setrvává nad dlouhodobým průměrem předpandemických let</w:t>
      </w:r>
      <w:r w:rsidR="00774F0B">
        <w:rPr>
          <w:rFonts w:ascii="Calibri" w:hAnsi="Calibri" w:cs="Calibri"/>
          <w:sz w:val="20"/>
        </w:rPr>
        <w:t xml:space="preserve">. Mimoto </w:t>
      </w:r>
      <w:r w:rsidR="007243C9">
        <w:rPr>
          <w:rFonts w:ascii="Calibri" w:hAnsi="Calibri" w:cs="Calibri"/>
          <w:sz w:val="20"/>
        </w:rPr>
        <w:t xml:space="preserve">stále </w:t>
      </w:r>
      <w:r w:rsidR="00774F0B">
        <w:rPr>
          <w:rFonts w:ascii="Calibri" w:hAnsi="Calibri" w:cs="Calibri"/>
          <w:sz w:val="20"/>
        </w:rPr>
        <w:t>existují obtížně odhadnutelná rizika spojená s válečným konfliktem na Ukrajině či na Blízkém východ</w:t>
      </w:r>
      <w:r w:rsidR="00F528A9">
        <w:rPr>
          <w:rFonts w:ascii="Calibri" w:hAnsi="Calibri" w:cs="Calibri"/>
          <w:sz w:val="20"/>
        </w:rPr>
        <w:t>ě</w:t>
      </w:r>
      <w:r w:rsidR="00774F0B">
        <w:rPr>
          <w:rFonts w:ascii="Calibri" w:hAnsi="Calibri" w:cs="Calibri"/>
          <w:sz w:val="20"/>
        </w:rPr>
        <w:t>. I přesto o</w:t>
      </w:r>
      <w:r w:rsidR="0080589F">
        <w:rPr>
          <w:rFonts w:ascii="Calibri" w:hAnsi="Calibri" w:cs="Calibri"/>
          <w:sz w:val="20"/>
        </w:rPr>
        <w:t>dhad inflace pro příští rok se pohybuje rovněž na úrovn</w:t>
      </w:r>
      <w:r w:rsidR="00F528A9">
        <w:rPr>
          <w:rFonts w:ascii="Calibri" w:hAnsi="Calibri" w:cs="Calibri"/>
          <w:sz w:val="20"/>
        </w:rPr>
        <w:t>i</w:t>
      </w:r>
      <w:r w:rsidR="0080589F">
        <w:rPr>
          <w:rFonts w:ascii="Calibri" w:hAnsi="Calibri" w:cs="Calibri"/>
          <w:sz w:val="20"/>
        </w:rPr>
        <w:t xml:space="preserve"> 2,3 %</w:t>
      </w:r>
      <w:r w:rsidR="00F528A9">
        <w:rPr>
          <w:rFonts w:ascii="Calibri" w:hAnsi="Calibri" w:cs="Calibri"/>
          <w:sz w:val="20"/>
        </w:rPr>
        <w:t>,</w:t>
      </w:r>
      <w:r w:rsidR="00FC11E3">
        <w:rPr>
          <w:rFonts w:ascii="Calibri" w:hAnsi="Calibri" w:cs="Calibri"/>
          <w:sz w:val="20"/>
        </w:rPr>
        <w:t xml:space="preserve"> </w:t>
      </w:r>
      <w:r w:rsidR="00C53807">
        <w:rPr>
          <w:rFonts w:ascii="Calibri" w:hAnsi="Calibri" w:cs="Calibri"/>
          <w:sz w:val="20"/>
        </w:rPr>
        <w:t xml:space="preserve">což </w:t>
      </w:r>
      <w:r w:rsidR="00FC11E3">
        <w:rPr>
          <w:rFonts w:ascii="Calibri" w:hAnsi="Calibri" w:cs="Calibri"/>
          <w:sz w:val="20"/>
        </w:rPr>
        <w:t>naznačuje</w:t>
      </w:r>
      <w:r w:rsidR="00C53807">
        <w:rPr>
          <w:rFonts w:ascii="Calibri" w:hAnsi="Calibri" w:cs="Calibri"/>
          <w:sz w:val="20"/>
        </w:rPr>
        <w:t xml:space="preserve"> přetrvávání některých </w:t>
      </w:r>
      <w:r w:rsidR="00FC11E3">
        <w:rPr>
          <w:rFonts w:ascii="Calibri" w:hAnsi="Calibri" w:cs="Calibri"/>
          <w:sz w:val="20"/>
        </w:rPr>
        <w:t>inflační</w:t>
      </w:r>
      <w:r w:rsidR="00C53807">
        <w:rPr>
          <w:rFonts w:ascii="Calibri" w:hAnsi="Calibri" w:cs="Calibri"/>
          <w:sz w:val="20"/>
        </w:rPr>
        <w:t>ch rizik</w:t>
      </w:r>
      <w:r w:rsidR="00FC11E3">
        <w:rPr>
          <w:rFonts w:ascii="Calibri" w:hAnsi="Calibri" w:cs="Calibri"/>
          <w:sz w:val="20"/>
        </w:rPr>
        <w:t>.</w:t>
      </w:r>
    </w:p>
    <w:p w14:paraId="79F7C9A9" w14:textId="26AA9320" w:rsidR="00B941DB" w:rsidRDefault="00F345FE" w:rsidP="00FD4088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ČNB</w:t>
      </w:r>
      <w:r w:rsidR="00CE5236">
        <w:rPr>
          <w:rFonts w:ascii="Calibri" w:hAnsi="Calibri" w:cs="Calibri"/>
          <w:b/>
          <w:color w:val="13576B"/>
          <w:sz w:val="22"/>
          <w:szCs w:val="22"/>
        </w:rPr>
        <w:t xml:space="preserve"> bude pokračovat ve snižování sazeb, do konce roku její hlavní sazba poklesne na</w:t>
      </w:r>
      <w:r>
        <w:rPr>
          <w:rFonts w:ascii="Calibri" w:hAnsi="Calibri" w:cs="Calibri"/>
          <w:b/>
          <w:color w:val="13576B"/>
          <w:sz w:val="22"/>
          <w:szCs w:val="22"/>
        </w:rPr>
        <w:t xml:space="preserve"> 4 %</w:t>
      </w:r>
    </w:p>
    <w:p w14:paraId="557B5182" w14:textId="6B3FDFDD" w:rsidR="00FE2E40" w:rsidRDefault="0079753B" w:rsidP="00B941DB">
      <w:pPr>
        <w:rPr>
          <w:rFonts w:ascii="Calibri" w:hAnsi="Calibri" w:cs="Calibri"/>
          <w:sz w:val="20"/>
        </w:rPr>
      </w:pPr>
      <w:r w:rsidRPr="0079753B">
        <w:rPr>
          <w:rFonts w:ascii="Calibri" w:hAnsi="Calibri" w:cs="Calibri"/>
          <w:sz w:val="20"/>
        </w:rPr>
        <w:t xml:space="preserve">Česká národní banka </w:t>
      </w:r>
      <w:r w:rsidR="00CE5236">
        <w:rPr>
          <w:rFonts w:ascii="Calibri" w:hAnsi="Calibri" w:cs="Calibri"/>
          <w:sz w:val="20"/>
        </w:rPr>
        <w:t>v</w:t>
      </w:r>
      <w:r w:rsidR="00774F0B">
        <w:rPr>
          <w:rFonts w:ascii="Calibri" w:hAnsi="Calibri" w:cs="Calibri"/>
          <w:sz w:val="20"/>
        </w:rPr>
        <w:t> květnu opět</w:t>
      </w:r>
      <w:r w:rsidR="00CE5236">
        <w:rPr>
          <w:rFonts w:ascii="Calibri" w:hAnsi="Calibri" w:cs="Calibri"/>
          <w:sz w:val="20"/>
        </w:rPr>
        <w:t xml:space="preserve"> snížila sazby o půl procentního bodu na </w:t>
      </w:r>
      <w:r w:rsidR="00774F0B">
        <w:rPr>
          <w:rFonts w:ascii="Calibri" w:hAnsi="Calibri" w:cs="Calibri"/>
          <w:sz w:val="20"/>
        </w:rPr>
        <w:t>5</w:t>
      </w:r>
      <w:r w:rsidR="00CE5236">
        <w:rPr>
          <w:rFonts w:ascii="Calibri" w:hAnsi="Calibri" w:cs="Calibri"/>
          <w:sz w:val="20"/>
        </w:rPr>
        <w:t xml:space="preserve">,25 %, </w:t>
      </w:r>
      <w:r w:rsidR="00774F0B">
        <w:rPr>
          <w:rFonts w:ascii="Calibri" w:hAnsi="Calibri" w:cs="Calibri"/>
          <w:sz w:val="20"/>
        </w:rPr>
        <w:t>avizovala však pokračující opatrnost při uvolňování měnové politiky. Z toho plyne, že s</w:t>
      </w:r>
      <w:r w:rsidR="00CE5236">
        <w:rPr>
          <w:rFonts w:ascii="Calibri" w:hAnsi="Calibri" w:cs="Calibri"/>
          <w:sz w:val="20"/>
        </w:rPr>
        <w:t xml:space="preserve">nižování sazeb bude letos pokračovat, ačkoli </w:t>
      </w:r>
      <w:r w:rsidR="00774F0B">
        <w:rPr>
          <w:rFonts w:ascii="Calibri" w:hAnsi="Calibri" w:cs="Calibri"/>
          <w:sz w:val="20"/>
        </w:rPr>
        <w:t xml:space="preserve">v druhé polovině roku tempo poklesu úrokových sazeb zpomalí. </w:t>
      </w:r>
      <w:r w:rsidR="00CE5236">
        <w:rPr>
          <w:rFonts w:ascii="Calibri" w:hAnsi="Calibri" w:cs="Calibri"/>
          <w:sz w:val="20"/>
        </w:rPr>
        <w:t xml:space="preserve">Na konci roku tak konsensus poměrně jednotně vidí hlavní sazbu ČNB u 4% hranice, na konci roku 2025 pak </w:t>
      </w:r>
      <w:r w:rsidR="009330DE">
        <w:rPr>
          <w:rFonts w:ascii="Calibri" w:hAnsi="Calibri" w:cs="Calibri"/>
          <w:sz w:val="20"/>
        </w:rPr>
        <w:t>u</w:t>
      </w:r>
      <w:r w:rsidR="00CE5236">
        <w:rPr>
          <w:rFonts w:ascii="Calibri" w:hAnsi="Calibri" w:cs="Calibri"/>
          <w:sz w:val="20"/>
        </w:rPr>
        <w:t xml:space="preserve"> 3</w:t>
      </w:r>
      <w:r w:rsidR="009330DE">
        <w:rPr>
          <w:rFonts w:ascii="Calibri" w:hAnsi="Calibri" w:cs="Calibri"/>
          <w:sz w:val="20"/>
        </w:rPr>
        <w:t>,5</w:t>
      </w:r>
      <w:r w:rsidR="00CE5236">
        <w:rPr>
          <w:rFonts w:ascii="Calibri" w:hAnsi="Calibri" w:cs="Calibri"/>
          <w:sz w:val="20"/>
        </w:rPr>
        <w:t xml:space="preserve"> %. </w:t>
      </w:r>
      <w:r w:rsidR="009330DE">
        <w:rPr>
          <w:rFonts w:ascii="Calibri" w:hAnsi="Calibri" w:cs="Calibri"/>
          <w:sz w:val="20"/>
        </w:rPr>
        <w:t>V tomto ohledu se výhled na sazby v roce příštím posunul směrem nahoru</w:t>
      </w:r>
      <w:r w:rsidR="004F2700">
        <w:rPr>
          <w:rFonts w:ascii="Calibri" w:hAnsi="Calibri" w:cs="Calibri"/>
          <w:sz w:val="20"/>
        </w:rPr>
        <w:t>, což souvisí s očekáváním trhu ohledně pomalejšího snižování sazeb v zahraničí. Z výše uvedených důvodů se i tuzemské úrokové sazby delších splatností – zejména pro letošní rok – přehodnotily v nové prognóze směrem nahoru. D</w:t>
      </w:r>
      <w:r w:rsidR="00CF2169">
        <w:rPr>
          <w:rFonts w:ascii="Calibri" w:hAnsi="Calibri" w:cs="Calibri"/>
          <w:sz w:val="20"/>
        </w:rPr>
        <w:t>louhé</w:t>
      </w:r>
      <w:r w:rsidR="004F2700">
        <w:rPr>
          <w:rFonts w:ascii="Calibri" w:hAnsi="Calibri" w:cs="Calibri"/>
          <w:sz w:val="20"/>
        </w:rPr>
        <w:t xml:space="preserve"> průměrné </w:t>
      </w:r>
      <w:r w:rsidR="00CF2169">
        <w:rPr>
          <w:rFonts w:ascii="Calibri" w:hAnsi="Calibri" w:cs="Calibri"/>
          <w:sz w:val="20"/>
        </w:rPr>
        <w:t xml:space="preserve">desetileté sazby </w:t>
      </w:r>
      <w:r w:rsidR="004F2700">
        <w:rPr>
          <w:rFonts w:ascii="Calibri" w:hAnsi="Calibri" w:cs="Calibri"/>
          <w:sz w:val="20"/>
        </w:rPr>
        <w:t xml:space="preserve">tak klesají pomaleji a v letošním roce je konsensus vidí stále nad 4% hranicí, v roce příštím pak u 3,75 %. </w:t>
      </w:r>
    </w:p>
    <w:p w14:paraId="1F212B88" w14:textId="271170FB" w:rsidR="007B17AD" w:rsidRDefault="004E4AD6" w:rsidP="00B941DB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</w:t>
      </w:r>
    </w:p>
    <w:p w14:paraId="4CB5A075" w14:textId="283F46FD" w:rsidR="000A72B8" w:rsidRDefault="00A97B14" w:rsidP="00B941DB">
      <w:pPr>
        <w:rPr>
          <w:rFonts w:ascii="Calibri" w:hAnsi="Calibri" w:cs="Calibri"/>
          <w:sz w:val="20"/>
        </w:rPr>
      </w:pPr>
      <w:r w:rsidRPr="00A97B14">
        <w:rPr>
          <w:rFonts w:ascii="Calibri" w:hAnsi="Calibri" w:cs="Calibri"/>
          <w:b/>
          <w:bCs/>
          <w:sz w:val="20"/>
        </w:rPr>
        <w:t>Kurz koruny</w:t>
      </w:r>
      <w:r w:rsidR="002D2DEC">
        <w:rPr>
          <w:rFonts w:ascii="Calibri" w:hAnsi="Calibri" w:cs="Calibri"/>
          <w:b/>
          <w:bCs/>
          <w:sz w:val="20"/>
        </w:rPr>
        <w:t xml:space="preserve"> </w:t>
      </w:r>
      <w:r w:rsidR="00202BDA">
        <w:rPr>
          <w:rFonts w:ascii="Calibri" w:hAnsi="Calibri" w:cs="Calibri"/>
          <w:b/>
          <w:bCs/>
          <w:sz w:val="20"/>
        </w:rPr>
        <w:t xml:space="preserve">byl </w:t>
      </w:r>
      <w:r w:rsidR="00CF2169">
        <w:rPr>
          <w:rFonts w:ascii="Calibri" w:hAnsi="Calibri" w:cs="Calibri"/>
          <w:b/>
          <w:bCs/>
          <w:sz w:val="20"/>
        </w:rPr>
        <w:t>v nové prognóze přehodnocen</w:t>
      </w:r>
      <w:r w:rsidR="00CE5236">
        <w:rPr>
          <w:rFonts w:ascii="Calibri" w:hAnsi="Calibri" w:cs="Calibri"/>
          <w:b/>
          <w:bCs/>
          <w:sz w:val="20"/>
        </w:rPr>
        <w:t xml:space="preserve"> mírně</w:t>
      </w:r>
      <w:r w:rsidR="00CF2169">
        <w:rPr>
          <w:rFonts w:ascii="Calibri" w:hAnsi="Calibri" w:cs="Calibri"/>
          <w:b/>
          <w:bCs/>
          <w:sz w:val="20"/>
        </w:rPr>
        <w:t xml:space="preserve"> směrem ke slabším hodnotám</w:t>
      </w:r>
      <w:r w:rsidR="0034583B">
        <w:rPr>
          <w:rFonts w:ascii="Calibri" w:hAnsi="Calibri" w:cs="Calibri"/>
          <w:b/>
          <w:bCs/>
          <w:sz w:val="20"/>
        </w:rPr>
        <w:t xml:space="preserve">. Průměrná hodnota pro letošní rok by tak měla </w:t>
      </w:r>
      <w:r w:rsidR="00350D3F">
        <w:rPr>
          <w:rFonts w:ascii="Calibri" w:hAnsi="Calibri" w:cs="Calibri"/>
          <w:b/>
          <w:bCs/>
          <w:sz w:val="20"/>
        </w:rPr>
        <w:t xml:space="preserve">setrvat </w:t>
      </w:r>
      <w:r w:rsidR="0034583B">
        <w:rPr>
          <w:rFonts w:ascii="Calibri" w:hAnsi="Calibri" w:cs="Calibri"/>
          <w:b/>
          <w:bCs/>
          <w:sz w:val="20"/>
        </w:rPr>
        <w:t xml:space="preserve">nad hranicí 25 Kč za euro. </w:t>
      </w:r>
      <w:r w:rsidR="00CF2169">
        <w:rPr>
          <w:rFonts w:ascii="Calibri" w:hAnsi="Calibri" w:cs="Calibri"/>
          <w:b/>
          <w:bCs/>
          <w:sz w:val="20"/>
        </w:rPr>
        <w:t>Na konci letošního roku</w:t>
      </w:r>
      <w:r w:rsidR="0034583B">
        <w:rPr>
          <w:rFonts w:ascii="Calibri" w:hAnsi="Calibri" w:cs="Calibri"/>
          <w:b/>
          <w:bCs/>
          <w:sz w:val="20"/>
        </w:rPr>
        <w:t xml:space="preserve"> </w:t>
      </w:r>
      <w:r w:rsidR="00CF2169">
        <w:rPr>
          <w:rFonts w:ascii="Calibri" w:hAnsi="Calibri" w:cs="Calibri"/>
          <w:b/>
          <w:bCs/>
          <w:sz w:val="20"/>
        </w:rPr>
        <w:t xml:space="preserve">prognostický panel </w:t>
      </w:r>
      <w:r w:rsidR="0034583B">
        <w:rPr>
          <w:rFonts w:ascii="Calibri" w:hAnsi="Calibri" w:cs="Calibri"/>
          <w:b/>
          <w:bCs/>
          <w:sz w:val="20"/>
        </w:rPr>
        <w:t xml:space="preserve">nadále odhaduje posílení koruny </w:t>
      </w:r>
      <w:r w:rsidR="00350D3F">
        <w:rPr>
          <w:rFonts w:ascii="Calibri" w:hAnsi="Calibri" w:cs="Calibri"/>
          <w:b/>
          <w:bCs/>
          <w:sz w:val="20"/>
        </w:rPr>
        <w:t xml:space="preserve">a </w:t>
      </w:r>
      <w:r w:rsidR="0034583B">
        <w:rPr>
          <w:rFonts w:ascii="Calibri" w:hAnsi="Calibri" w:cs="Calibri"/>
          <w:b/>
          <w:bCs/>
          <w:sz w:val="20"/>
        </w:rPr>
        <w:t xml:space="preserve">kurz </w:t>
      </w:r>
      <w:r w:rsidR="00CF2169">
        <w:rPr>
          <w:rFonts w:ascii="Calibri" w:hAnsi="Calibri" w:cs="Calibri"/>
          <w:b/>
          <w:bCs/>
          <w:sz w:val="20"/>
        </w:rPr>
        <w:t>kol</w:t>
      </w:r>
      <w:r w:rsidR="00D967BD">
        <w:rPr>
          <w:rFonts w:ascii="Calibri" w:hAnsi="Calibri" w:cs="Calibri"/>
          <w:b/>
          <w:bCs/>
          <w:sz w:val="20"/>
        </w:rPr>
        <w:t>e</w:t>
      </w:r>
      <w:r w:rsidR="00CF2169">
        <w:rPr>
          <w:rFonts w:ascii="Calibri" w:hAnsi="Calibri" w:cs="Calibri"/>
          <w:b/>
          <w:bCs/>
          <w:sz w:val="20"/>
        </w:rPr>
        <w:t>m úrovně 24,</w:t>
      </w:r>
      <w:r w:rsidR="0034583B">
        <w:rPr>
          <w:rFonts w:ascii="Calibri" w:hAnsi="Calibri" w:cs="Calibri"/>
          <w:b/>
          <w:bCs/>
          <w:sz w:val="20"/>
        </w:rPr>
        <w:t>8</w:t>
      </w:r>
      <w:r w:rsidR="00CF2169">
        <w:rPr>
          <w:rFonts w:ascii="Calibri" w:hAnsi="Calibri" w:cs="Calibri"/>
          <w:b/>
          <w:bCs/>
          <w:sz w:val="20"/>
        </w:rPr>
        <w:t xml:space="preserve"> Kč za euro</w:t>
      </w:r>
      <w:r w:rsidR="00334A50">
        <w:rPr>
          <w:rFonts w:ascii="Calibri" w:hAnsi="Calibri" w:cs="Calibri"/>
          <w:b/>
          <w:bCs/>
          <w:sz w:val="20"/>
        </w:rPr>
        <w:t>.</w:t>
      </w:r>
      <w:r w:rsidR="0034583B">
        <w:rPr>
          <w:rFonts w:ascii="Calibri" w:hAnsi="Calibri" w:cs="Calibri"/>
          <w:b/>
          <w:bCs/>
          <w:sz w:val="20"/>
        </w:rPr>
        <w:t xml:space="preserve"> </w:t>
      </w:r>
      <w:r w:rsidR="0034583B" w:rsidRPr="00350D3F">
        <w:rPr>
          <w:rFonts w:ascii="Calibri" w:hAnsi="Calibri" w:cs="Calibri"/>
          <w:sz w:val="20"/>
        </w:rPr>
        <w:t>Rozptyl odhadů jednotlivých prognóz je v tomto ohledu</w:t>
      </w:r>
      <w:r w:rsidR="00350D3F" w:rsidRPr="00350D3F">
        <w:rPr>
          <w:rFonts w:ascii="Calibri" w:hAnsi="Calibri" w:cs="Calibri"/>
          <w:sz w:val="20"/>
        </w:rPr>
        <w:t xml:space="preserve"> výjimečně</w:t>
      </w:r>
      <w:r w:rsidR="0034583B" w:rsidRPr="00350D3F">
        <w:rPr>
          <w:rFonts w:ascii="Calibri" w:hAnsi="Calibri" w:cs="Calibri"/>
          <w:sz w:val="20"/>
        </w:rPr>
        <w:t xml:space="preserve"> úzký a </w:t>
      </w:r>
      <w:r w:rsidR="00350D3F">
        <w:rPr>
          <w:rFonts w:ascii="Calibri" w:hAnsi="Calibri" w:cs="Calibri"/>
          <w:sz w:val="20"/>
        </w:rPr>
        <w:t>ž</w:t>
      </w:r>
      <w:r w:rsidR="0034583B" w:rsidRPr="00350D3F">
        <w:rPr>
          <w:rFonts w:ascii="Calibri" w:hAnsi="Calibri" w:cs="Calibri"/>
          <w:sz w:val="20"/>
        </w:rPr>
        <w:t>ádná z prognóz nevidí kurz koruny koncem letošního roku nad její současnou úrovní.</w:t>
      </w:r>
      <w:r w:rsidR="0034583B">
        <w:rPr>
          <w:rFonts w:ascii="Calibri" w:hAnsi="Calibri" w:cs="Calibri"/>
          <w:b/>
          <w:bCs/>
          <w:sz w:val="20"/>
        </w:rPr>
        <w:t xml:space="preserve"> </w:t>
      </w:r>
      <w:r w:rsidR="00CE5236" w:rsidRPr="00334A50">
        <w:rPr>
          <w:rFonts w:ascii="Calibri" w:hAnsi="Calibri" w:cs="Calibri"/>
          <w:sz w:val="20"/>
        </w:rPr>
        <w:t xml:space="preserve">V příštím roce </w:t>
      </w:r>
      <w:r w:rsidR="00334A50">
        <w:rPr>
          <w:rFonts w:ascii="Calibri" w:hAnsi="Calibri" w:cs="Calibri"/>
          <w:sz w:val="20"/>
        </w:rPr>
        <w:t xml:space="preserve">dle prognózy </w:t>
      </w:r>
      <w:r w:rsidR="00350D3F">
        <w:rPr>
          <w:rFonts w:ascii="Calibri" w:hAnsi="Calibri" w:cs="Calibri"/>
          <w:sz w:val="20"/>
        </w:rPr>
        <w:t xml:space="preserve">průměrný </w:t>
      </w:r>
      <w:r w:rsidR="00334A50">
        <w:rPr>
          <w:rFonts w:ascii="Calibri" w:hAnsi="Calibri" w:cs="Calibri"/>
          <w:sz w:val="20"/>
        </w:rPr>
        <w:t xml:space="preserve">kurz </w:t>
      </w:r>
      <w:r w:rsidR="00CE5236" w:rsidRPr="00334A50">
        <w:rPr>
          <w:rFonts w:ascii="Calibri" w:hAnsi="Calibri" w:cs="Calibri"/>
          <w:sz w:val="20"/>
        </w:rPr>
        <w:t xml:space="preserve">posílí </w:t>
      </w:r>
      <w:r w:rsidR="00350D3F">
        <w:rPr>
          <w:rFonts w:ascii="Calibri" w:hAnsi="Calibri" w:cs="Calibri"/>
          <w:sz w:val="20"/>
        </w:rPr>
        <w:t xml:space="preserve">o necelá </w:t>
      </w:r>
      <w:r w:rsidR="00350D3F">
        <w:rPr>
          <w:rFonts w:ascii="Calibri" w:hAnsi="Calibri" w:cs="Calibri"/>
          <w:sz w:val="20"/>
        </w:rPr>
        <w:lastRenderedPageBreak/>
        <w:t xml:space="preserve">2 % </w:t>
      </w:r>
      <w:r w:rsidR="00CE5236" w:rsidRPr="00334A50">
        <w:rPr>
          <w:rFonts w:ascii="Calibri" w:hAnsi="Calibri" w:cs="Calibri"/>
          <w:sz w:val="20"/>
        </w:rPr>
        <w:t>k hranici 24,</w:t>
      </w:r>
      <w:r w:rsidR="00350D3F">
        <w:rPr>
          <w:rFonts w:ascii="Calibri" w:hAnsi="Calibri" w:cs="Calibri"/>
          <w:sz w:val="20"/>
        </w:rPr>
        <w:t>65</w:t>
      </w:r>
      <w:r w:rsidR="00CE5236" w:rsidRPr="00334A50">
        <w:rPr>
          <w:rFonts w:ascii="Calibri" w:hAnsi="Calibri" w:cs="Calibri"/>
          <w:sz w:val="20"/>
        </w:rPr>
        <w:t xml:space="preserve"> Kč za eur</w:t>
      </w:r>
      <w:r w:rsidR="0089060C">
        <w:rPr>
          <w:rFonts w:ascii="Calibri" w:hAnsi="Calibri" w:cs="Calibri"/>
          <w:sz w:val="20"/>
        </w:rPr>
        <w:t>o</w:t>
      </w:r>
      <w:r w:rsidR="00350D3F">
        <w:rPr>
          <w:rFonts w:ascii="Calibri" w:hAnsi="Calibri" w:cs="Calibri"/>
          <w:sz w:val="20"/>
        </w:rPr>
        <w:t xml:space="preserve">, do konce roku pak na 24,4 Kč za euro. Ani v případě výhledů na příští rok žádná z prognóz nepředpokládá oslabení koruny nad hranici 25 Kč za euro. </w:t>
      </w:r>
    </w:p>
    <w:p w14:paraId="7510B880" w14:textId="1E2C19EB" w:rsidR="00872976" w:rsidRPr="00FD4088" w:rsidRDefault="00872976" w:rsidP="00B941DB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17B9ABDD" w14:textId="2993DC7B" w:rsidR="006C6CFF" w:rsidRPr="00926110" w:rsidRDefault="00CF2169" w:rsidP="00FD408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 xml:space="preserve">Konsolidační balíček dostává </w:t>
      </w:r>
      <w:r w:rsidR="009A515B">
        <w:rPr>
          <w:rFonts w:ascii="Calibri" w:hAnsi="Calibri" w:cs="Calibri"/>
          <w:b/>
          <w:color w:val="13576B"/>
          <w:sz w:val="22"/>
          <w:szCs w:val="22"/>
        </w:rPr>
        <w:t xml:space="preserve">letos </w:t>
      </w:r>
      <w:r>
        <w:rPr>
          <w:rFonts w:ascii="Calibri" w:hAnsi="Calibri" w:cs="Calibri"/>
          <w:b/>
          <w:color w:val="13576B"/>
          <w:sz w:val="22"/>
          <w:szCs w:val="22"/>
        </w:rPr>
        <w:t xml:space="preserve">deficit rozpočtu vůči HDP pod žádoucí hranici 3 %  </w:t>
      </w:r>
    </w:p>
    <w:p w14:paraId="3701BD55" w14:textId="6EEA2E45" w:rsidR="00DB46CC" w:rsidRDefault="008C4379" w:rsidP="00247943">
      <w:pPr>
        <w:rPr>
          <w:rFonts w:ascii="Calibri" w:hAnsi="Calibri" w:cs="Calibri"/>
          <w:sz w:val="20"/>
        </w:rPr>
      </w:pPr>
      <w:r w:rsidRPr="00926110">
        <w:rPr>
          <w:rFonts w:ascii="Calibri" w:hAnsi="Calibri" w:cs="Calibri"/>
          <w:b/>
          <w:bCs/>
          <w:sz w:val="20"/>
        </w:rPr>
        <w:t>Deficit hospodaření</w:t>
      </w:r>
      <w:r w:rsidR="00124A05" w:rsidRPr="00926110">
        <w:rPr>
          <w:rFonts w:ascii="Calibri" w:hAnsi="Calibri" w:cs="Calibri"/>
          <w:b/>
          <w:bCs/>
          <w:sz w:val="20"/>
        </w:rPr>
        <w:t xml:space="preserve"> státu</w:t>
      </w:r>
      <w:r w:rsidRPr="00926110">
        <w:rPr>
          <w:rFonts w:ascii="Calibri" w:hAnsi="Calibri" w:cs="Calibri"/>
          <w:b/>
          <w:bCs/>
          <w:sz w:val="20"/>
        </w:rPr>
        <w:t xml:space="preserve"> </w:t>
      </w:r>
      <w:r w:rsidR="009A515B">
        <w:rPr>
          <w:rFonts w:ascii="Calibri" w:hAnsi="Calibri" w:cs="Calibri"/>
          <w:b/>
          <w:bCs/>
          <w:sz w:val="20"/>
        </w:rPr>
        <w:t xml:space="preserve">pro </w:t>
      </w:r>
      <w:r w:rsidRPr="00926110">
        <w:rPr>
          <w:rFonts w:ascii="Calibri" w:hAnsi="Calibri" w:cs="Calibri"/>
          <w:b/>
          <w:bCs/>
          <w:sz w:val="20"/>
        </w:rPr>
        <w:t xml:space="preserve">letošní rok odhaduje prognóza ČBA </w:t>
      </w:r>
      <w:r w:rsidR="009A515B">
        <w:rPr>
          <w:rFonts w:ascii="Calibri" w:hAnsi="Calibri" w:cs="Calibri"/>
          <w:b/>
          <w:bCs/>
          <w:sz w:val="20"/>
        </w:rPr>
        <w:t>ve výši 2,7 % HDP a ve srovnání s předchozím rokem se tak deficit sníží o 1</w:t>
      </w:r>
      <w:r w:rsidR="00437356">
        <w:rPr>
          <w:rFonts w:ascii="Calibri" w:hAnsi="Calibri" w:cs="Calibri"/>
          <w:b/>
          <w:bCs/>
          <w:sz w:val="20"/>
        </w:rPr>
        <w:t xml:space="preserve"> </w:t>
      </w:r>
      <w:r w:rsidR="00ED1277">
        <w:rPr>
          <w:rFonts w:ascii="Calibri" w:hAnsi="Calibri" w:cs="Calibri"/>
          <w:b/>
          <w:bCs/>
          <w:sz w:val="20"/>
        </w:rPr>
        <w:t>p.b</w:t>
      </w:r>
      <w:r w:rsidR="009A515B">
        <w:rPr>
          <w:rFonts w:ascii="Calibri" w:hAnsi="Calibri" w:cs="Calibri"/>
          <w:b/>
          <w:bCs/>
          <w:sz w:val="20"/>
        </w:rPr>
        <w:t xml:space="preserve">. </w:t>
      </w:r>
      <w:r w:rsidR="0005493C">
        <w:rPr>
          <w:rFonts w:ascii="Calibri" w:hAnsi="Calibri" w:cs="Calibri"/>
          <w:sz w:val="20"/>
        </w:rPr>
        <w:t>P</w:t>
      </w:r>
      <w:r w:rsidR="00D168FB" w:rsidRPr="00926110">
        <w:rPr>
          <w:rFonts w:ascii="Calibri" w:hAnsi="Calibri" w:cs="Calibri"/>
          <w:sz w:val="20"/>
        </w:rPr>
        <w:t xml:space="preserve">okles </w:t>
      </w:r>
      <w:r w:rsidR="009A515B">
        <w:rPr>
          <w:rFonts w:ascii="Calibri" w:hAnsi="Calibri" w:cs="Calibri"/>
          <w:sz w:val="20"/>
        </w:rPr>
        <w:t xml:space="preserve">deficitu v letošním roce </w:t>
      </w:r>
      <w:r w:rsidR="00D168FB" w:rsidRPr="00926110">
        <w:rPr>
          <w:rFonts w:ascii="Calibri" w:hAnsi="Calibri" w:cs="Calibri"/>
          <w:sz w:val="20"/>
        </w:rPr>
        <w:t xml:space="preserve">je dán kombinací odeznění jednorázových výdajů spojených s kompenzacemi </w:t>
      </w:r>
      <w:r w:rsidR="00C01FF9">
        <w:rPr>
          <w:rFonts w:ascii="Calibri" w:hAnsi="Calibri" w:cs="Calibri"/>
          <w:sz w:val="20"/>
        </w:rPr>
        <w:t xml:space="preserve">vysokých cen </w:t>
      </w:r>
      <w:r w:rsidR="00D168FB" w:rsidRPr="00926110">
        <w:rPr>
          <w:rFonts w:ascii="Calibri" w:hAnsi="Calibri" w:cs="Calibri"/>
          <w:sz w:val="20"/>
        </w:rPr>
        <w:t>energií</w:t>
      </w:r>
      <w:r w:rsidR="004C6901">
        <w:rPr>
          <w:rFonts w:ascii="Calibri" w:hAnsi="Calibri" w:cs="Calibri"/>
          <w:sz w:val="20"/>
        </w:rPr>
        <w:t xml:space="preserve">, </w:t>
      </w:r>
      <w:r w:rsidR="00D967BD">
        <w:rPr>
          <w:rFonts w:ascii="Calibri" w:hAnsi="Calibri" w:cs="Calibri"/>
          <w:sz w:val="20"/>
        </w:rPr>
        <w:t>mírného</w:t>
      </w:r>
      <w:r w:rsidR="00D168FB" w:rsidRPr="00926110">
        <w:rPr>
          <w:rFonts w:ascii="Calibri" w:hAnsi="Calibri" w:cs="Calibri"/>
          <w:sz w:val="20"/>
        </w:rPr>
        <w:t xml:space="preserve"> </w:t>
      </w:r>
      <w:r w:rsidR="00DF00E0" w:rsidRPr="00926110">
        <w:rPr>
          <w:rFonts w:ascii="Calibri" w:hAnsi="Calibri" w:cs="Calibri"/>
          <w:sz w:val="20"/>
        </w:rPr>
        <w:t>oživení</w:t>
      </w:r>
      <w:r w:rsidR="00D168FB" w:rsidRPr="00926110">
        <w:rPr>
          <w:rFonts w:ascii="Calibri" w:hAnsi="Calibri" w:cs="Calibri"/>
          <w:sz w:val="20"/>
        </w:rPr>
        <w:t xml:space="preserve"> tuzemské ekonomiky</w:t>
      </w:r>
      <w:r w:rsidR="004C6901">
        <w:rPr>
          <w:rFonts w:ascii="Calibri" w:hAnsi="Calibri" w:cs="Calibri"/>
          <w:sz w:val="20"/>
        </w:rPr>
        <w:t xml:space="preserve"> a </w:t>
      </w:r>
      <w:r w:rsidR="009A515B">
        <w:rPr>
          <w:rFonts w:ascii="Calibri" w:hAnsi="Calibri" w:cs="Calibri"/>
          <w:sz w:val="20"/>
        </w:rPr>
        <w:t xml:space="preserve">dopadu </w:t>
      </w:r>
      <w:r w:rsidR="004C6901">
        <w:rPr>
          <w:rFonts w:ascii="Calibri" w:hAnsi="Calibri" w:cs="Calibri"/>
          <w:sz w:val="20"/>
        </w:rPr>
        <w:t>konsolidační</w:t>
      </w:r>
      <w:r w:rsidR="00C01FF9">
        <w:rPr>
          <w:rFonts w:ascii="Calibri" w:hAnsi="Calibri" w:cs="Calibri"/>
          <w:sz w:val="20"/>
        </w:rPr>
        <w:t>ho</w:t>
      </w:r>
      <w:r w:rsidR="004C6901">
        <w:rPr>
          <w:rFonts w:ascii="Calibri" w:hAnsi="Calibri" w:cs="Calibri"/>
          <w:sz w:val="20"/>
        </w:rPr>
        <w:t xml:space="preserve"> balíčk</w:t>
      </w:r>
      <w:r w:rsidR="00C01FF9">
        <w:rPr>
          <w:rFonts w:ascii="Calibri" w:hAnsi="Calibri" w:cs="Calibri"/>
          <w:sz w:val="20"/>
        </w:rPr>
        <w:t>u</w:t>
      </w:r>
      <w:r w:rsidR="00D168FB" w:rsidRPr="00926110">
        <w:rPr>
          <w:rFonts w:ascii="Calibri" w:hAnsi="Calibri" w:cs="Calibri"/>
          <w:sz w:val="20"/>
        </w:rPr>
        <w:t xml:space="preserve">. </w:t>
      </w:r>
      <w:r w:rsidR="00350D3F">
        <w:rPr>
          <w:rFonts w:ascii="Calibri" w:hAnsi="Calibri" w:cs="Calibri"/>
          <w:sz w:val="20"/>
        </w:rPr>
        <w:t>Deficit pro rok příští se odhaduje poblíž 2% úrovně, což bude zejména důsledek očekávaného rychlejšího růstu tuzemské ekonomiky. Zadlužení vůči HDP by se mělo i v příštím roce pohybovat kolem 45 %.</w:t>
      </w:r>
    </w:p>
    <w:p w14:paraId="451FC2CC" w14:textId="77777777" w:rsidR="00CF2169" w:rsidRDefault="00CF2169" w:rsidP="00247943">
      <w:pPr>
        <w:rPr>
          <w:rFonts w:ascii="Calibri" w:hAnsi="Calibri" w:cs="Calibri"/>
          <w:sz w:val="20"/>
        </w:rPr>
      </w:pPr>
    </w:p>
    <w:p w14:paraId="6A2F513C" w14:textId="23EFAB9C" w:rsidR="002D12BD" w:rsidRPr="00DD4A8E" w:rsidRDefault="006973A5" w:rsidP="00FD4088">
      <w:pPr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Úvěrový trh se</w:t>
      </w:r>
      <w:r w:rsidR="00044DB3">
        <w:rPr>
          <w:rFonts w:ascii="Calibri" w:hAnsi="Calibri" w:cs="Calibri"/>
          <w:b/>
          <w:color w:val="13576B"/>
          <w:sz w:val="22"/>
          <w:szCs w:val="22"/>
        </w:rPr>
        <w:t xml:space="preserve"> začátkem roku vyvíjí různorodě</w:t>
      </w:r>
    </w:p>
    <w:p w14:paraId="10547259" w14:textId="2B9561F1" w:rsidR="00044DB3" w:rsidRPr="00044DB3" w:rsidRDefault="002C2AE2" w:rsidP="00044DB3">
      <w:pPr>
        <w:rPr>
          <w:rFonts w:ascii="Calibri" w:hAnsi="Calibri" w:cs="Calibri"/>
          <w:sz w:val="20"/>
        </w:rPr>
      </w:pPr>
      <w:r w:rsidRPr="00044DB3">
        <w:rPr>
          <w:rFonts w:ascii="Calibri" w:hAnsi="Calibri" w:cs="Calibri"/>
          <w:b/>
          <w:bCs/>
          <w:sz w:val="20"/>
        </w:rPr>
        <w:t xml:space="preserve">Hypoteční trh </w:t>
      </w:r>
      <w:r w:rsidR="00044DB3" w:rsidRPr="00044DB3">
        <w:rPr>
          <w:rFonts w:ascii="Calibri" w:hAnsi="Calibri" w:cs="Calibri"/>
          <w:b/>
          <w:bCs/>
          <w:sz w:val="20"/>
        </w:rPr>
        <w:t>za</w:t>
      </w:r>
      <w:r w:rsidR="00437356" w:rsidRPr="00044DB3">
        <w:rPr>
          <w:rFonts w:ascii="Calibri" w:hAnsi="Calibri" w:cs="Calibri"/>
          <w:b/>
          <w:bCs/>
          <w:sz w:val="20"/>
        </w:rPr>
        <w:t xml:space="preserve"> celý rok 2023 pokles</w:t>
      </w:r>
      <w:r w:rsidR="00AB36AC" w:rsidRPr="00044DB3">
        <w:rPr>
          <w:rFonts w:ascii="Calibri" w:hAnsi="Calibri" w:cs="Calibri"/>
          <w:b/>
          <w:bCs/>
          <w:sz w:val="20"/>
        </w:rPr>
        <w:t>l meziročně</w:t>
      </w:r>
      <w:r w:rsidR="00437356" w:rsidRPr="00044DB3">
        <w:rPr>
          <w:rFonts w:ascii="Calibri" w:hAnsi="Calibri" w:cs="Calibri"/>
          <w:b/>
          <w:bCs/>
          <w:sz w:val="20"/>
        </w:rPr>
        <w:t xml:space="preserve"> o čtvrtinu</w:t>
      </w:r>
      <w:r w:rsidR="00AB36AC" w:rsidRPr="00044DB3">
        <w:rPr>
          <w:rFonts w:ascii="Calibri" w:hAnsi="Calibri" w:cs="Calibri"/>
          <w:b/>
          <w:bCs/>
          <w:sz w:val="20"/>
        </w:rPr>
        <w:t xml:space="preserve">, což </w:t>
      </w:r>
      <w:r w:rsidR="00437356" w:rsidRPr="00044DB3">
        <w:rPr>
          <w:rFonts w:ascii="Calibri" w:hAnsi="Calibri" w:cs="Calibri"/>
          <w:b/>
          <w:bCs/>
          <w:sz w:val="20"/>
        </w:rPr>
        <w:t xml:space="preserve">bylo dáno vlivem </w:t>
      </w:r>
      <w:r w:rsidR="00044DB3">
        <w:rPr>
          <w:rFonts w:ascii="Calibri" w:hAnsi="Calibri" w:cs="Calibri"/>
          <w:b/>
          <w:bCs/>
          <w:sz w:val="20"/>
        </w:rPr>
        <w:t xml:space="preserve">stále </w:t>
      </w:r>
      <w:r w:rsidR="00437356" w:rsidRPr="00044DB3">
        <w:rPr>
          <w:rFonts w:ascii="Calibri" w:hAnsi="Calibri" w:cs="Calibri"/>
          <w:b/>
          <w:bCs/>
          <w:sz w:val="20"/>
        </w:rPr>
        <w:t>vysoké srovnávací základny z první poloviny r</w:t>
      </w:r>
      <w:r w:rsidR="00970450" w:rsidRPr="00044DB3">
        <w:rPr>
          <w:rFonts w:ascii="Calibri" w:hAnsi="Calibri" w:cs="Calibri"/>
          <w:b/>
          <w:bCs/>
          <w:sz w:val="20"/>
        </w:rPr>
        <w:t>o</w:t>
      </w:r>
      <w:r w:rsidR="00437356" w:rsidRPr="00044DB3">
        <w:rPr>
          <w:rFonts w:ascii="Calibri" w:hAnsi="Calibri" w:cs="Calibri"/>
          <w:b/>
          <w:bCs/>
          <w:sz w:val="20"/>
        </w:rPr>
        <w:t xml:space="preserve">ku 2022. </w:t>
      </w:r>
      <w:r w:rsidR="00970450" w:rsidRPr="00044DB3">
        <w:rPr>
          <w:rFonts w:ascii="Calibri" w:hAnsi="Calibri" w:cs="Calibri"/>
          <w:b/>
          <w:bCs/>
          <w:sz w:val="20"/>
        </w:rPr>
        <w:t>Efekt srovnávací základny v</w:t>
      </w:r>
      <w:r w:rsidR="00044DB3" w:rsidRPr="00044DB3">
        <w:rPr>
          <w:rFonts w:ascii="Calibri" w:hAnsi="Calibri" w:cs="Calibri"/>
          <w:b/>
          <w:bCs/>
          <w:sz w:val="20"/>
        </w:rPr>
        <w:t xml:space="preserve"> prvním čtvrtletí letošního roku </w:t>
      </w:r>
      <w:r w:rsidR="00970450" w:rsidRPr="00044DB3">
        <w:rPr>
          <w:rFonts w:ascii="Calibri" w:hAnsi="Calibri" w:cs="Calibri"/>
          <w:b/>
          <w:bCs/>
          <w:sz w:val="20"/>
        </w:rPr>
        <w:t>působí opačným směrem a meziroční růst objemu nově poskytnutých hypoték</w:t>
      </w:r>
      <w:r w:rsidR="00044DB3" w:rsidRPr="00044DB3">
        <w:rPr>
          <w:rFonts w:ascii="Calibri" w:hAnsi="Calibri" w:cs="Calibri"/>
          <w:b/>
          <w:bCs/>
          <w:sz w:val="20"/>
        </w:rPr>
        <w:t xml:space="preserve"> tak dosáhl 75 %. </w:t>
      </w:r>
      <w:r w:rsidR="00602381" w:rsidRPr="00044DB3">
        <w:rPr>
          <w:rFonts w:ascii="Calibri" w:hAnsi="Calibri" w:cs="Calibri"/>
          <w:sz w:val="20"/>
        </w:rPr>
        <w:t xml:space="preserve">Za 1. čtvrtletí letošního roku byly poskytnuty </w:t>
      </w:r>
      <w:r w:rsidR="00044DB3" w:rsidRPr="00044DB3">
        <w:rPr>
          <w:rFonts w:ascii="Calibri" w:hAnsi="Calibri" w:cs="Calibri"/>
          <w:sz w:val="20"/>
        </w:rPr>
        <w:t xml:space="preserve">dle oficiální statistiky ČNB </w:t>
      </w:r>
      <w:r w:rsidR="00602381" w:rsidRPr="00044DB3">
        <w:rPr>
          <w:rFonts w:ascii="Calibri" w:hAnsi="Calibri" w:cs="Calibri"/>
          <w:sz w:val="20"/>
        </w:rPr>
        <w:t>čistě nové hypotéky v objemu 35 mld. Kč, což je zhruba úroveň téhož období roku 2019</w:t>
      </w:r>
      <w:r w:rsidR="00044DB3" w:rsidRPr="00044DB3">
        <w:rPr>
          <w:rFonts w:ascii="Calibri" w:hAnsi="Calibri" w:cs="Calibri"/>
          <w:sz w:val="20"/>
        </w:rPr>
        <w:t xml:space="preserve">. Průměrná březnová sazba u nových hypoték dle ČNB činila 5,29 %, dle </w:t>
      </w:r>
      <w:r w:rsidR="00044DB3">
        <w:rPr>
          <w:rFonts w:ascii="Calibri" w:hAnsi="Calibri" w:cs="Calibri"/>
          <w:sz w:val="20"/>
        </w:rPr>
        <w:t xml:space="preserve">ČBA </w:t>
      </w:r>
      <w:r w:rsidR="00044DB3" w:rsidRPr="00044DB3">
        <w:rPr>
          <w:rFonts w:ascii="Calibri" w:hAnsi="Calibri" w:cs="Calibri"/>
          <w:sz w:val="20"/>
        </w:rPr>
        <w:t>Hypomonitoru 5,19 %.</w:t>
      </w:r>
    </w:p>
    <w:p w14:paraId="3A26645E" w14:textId="12B379E2" w:rsidR="00602381" w:rsidRPr="00044DB3" w:rsidRDefault="00602381" w:rsidP="00602381">
      <w:pPr>
        <w:rPr>
          <w:rFonts w:ascii="Calibri" w:hAnsi="Calibri" w:cs="Calibri"/>
          <w:sz w:val="20"/>
        </w:rPr>
      </w:pPr>
    </w:p>
    <w:p w14:paraId="544DA190" w14:textId="1C2AEEBB" w:rsidR="00602381" w:rsidRPr="00044DB3" w:rsidRDefault="00044DB3" w:rsidP="00044DB3">
      <w:pPr>
        <w:rPr>
          <w:rFonts w:ascii="Calibri" w:hAnsi="Calibri" w:cs="Calibri"/>
          <w:sz w:val="20"/>
        </w:rPr>
      </w:pPr>
      <w:r w:rsidRPr="00044DB3">
        <w:rPr>
          <w:rFonts w:ascii="Calibri" w:hAnsi="Calibri" w:cs="Calibri"/>
          <w:b/>
          <w:bCs/>
          <w:sz w:val="20"/>
        </w:rPr>
        <w:t>Objem nově poskytnutých spotřebitelských úvěrů v roce 2023 naopak o 11 % vzrostl a poprvé přesáhl hranici 100 mld. Kč.</w:t>
      </w:r>
      <w:r w:rsidRPr="00044DB3">
        <w:rPr>
          <w:rFonts w:ascii="Calibri" w:hAnsi="Calibri" w:cs="Calibri"/>
          <w:sz w:val="20"/>
        </w:rPr>
        <w:t xml:space="preserve"> V</w:t>
      </w:r>
      <w:r w:rsidR="00E90D21">
        <w:rPr>
          <w:rFonts w:ascii="Calibri" w:hAnsi="Calibri" w:cs="Calibri"/>
          <w:sz w:val="20"/>
        </w:rPr>
        <w:t> </w:t>
      </w:r>
      <w:r w:rsidRPr="00044DB3">
        <w:rPr>
          <w:rFonts w:ascii="Calibri" w:hAnsi="Calibri" w:cs="Calibri"/>
          <w:sz w:val="20"/>
        </w:rPr>
        <w:t>první</w:t>
      </w:r>
      <w:r w:rsidR="00E90D21">
        <w:rPr>
          <w:rFonts w:ascii="Calibri" w:hAnsi="Calibri" w:cs="Calibri"/>
          <w:sz w:val="20"/>
        </w:rPr>
        <w:t>m</w:t>
      </w:r>
      <w:r w:rsidRPr="00044DB3">
        <w:rPr>
          <w:rFonts w:ascii="Calibri" w:hAnsi="Calibri" w:cs="Calibri"/>
          <w:sz w:val="20"/>
        </w:rPr>
        <w:t xml:space="preserve"> čtvrtletí se objem nových spotřebitelských úvěrů dostal na nové historicky nejvyšší hodnoty a meziročně</w:t>
      </w:r>
      <w:r>
        <w:rPr>
          <w:rFonts w:ascii="Calibri" w:hAnsi="Calibri" w:cs="Calibri"/>
          <w:sz w:val="20"/>
        </w:rPr>
        <w:t xml:space="preserve"> </w:t>
      </w:r>
      <w:r w:rsidRPr="00044DB3">
        <w:rPr>
          <w:rFonts w:ascii="Calibri" w:hAnsi="Calibri" w:cs="Calibri"/>
          <w:sz w:val="20"/>
        </w:rPr>
        <w:t>se objem zvýšil o třetinu. Průměrná březnová sazba u nových spotřebitelských úvěrů činila 8,93 % a dostala se poprvé od poloviny roku 2022 pod 9% hranici.</w:t>
      </w:r>
    </w:p>
    <w:p w14:paraId="597DC5B3" w14:textId="23E24E53" w:rsidR="00532363" w:rsidRPr="00044DB3" w:rsidRDefault="00532363" w:rsidP="00B4285D">
      <w:pPr>
        <w:rPr>
          <w:rFonts w:ascii="Calibri" w:hAnsi="Calibri" w:cs="Calibri"/>
          <w:b/>
          <w:bCs/>
          <w:sz w:val="20"/>
        </w:rPr>
      </w:pPr>
    </w:p>
    <w:p w14:paraId="0998E184" w14:textId="277BF53F" w:rsidR="009808F6" w:rsidRPr="00044DB3" w:rsidRDefault="009331BD" w:rsidP="00B4285D">
      <w:pPr>
        <w:rPr>
          <w:rFonts w:ascii="Calibri" w:hAnsi="Calibri" w:cs="Calibri"/>
          <w:sz w:val="20"/>
        </w:rPr>
      </w:pPr>
      <w:r w:rsidRPr="00044DB3">
        <w:rPr>
          <w:rFonts w:ascii="Calibri" w:hAnsi="Calibri" w:cs="Calibri"/>
          <w:b/>
          <w:bCs/>
          <w:sz w:val="20"/>
        </w:rPr>
        <w:t>Nov</w:t>
      </w:r>
      <w:r w:rsidR="00AA0055" w:rsidRPr="00044DB3">
        <w:rPr>
          <w:rFonts w:ascii="Calibri" w:hAnsi="Calibri" w:cs="Calibri"/>
          <w:b/>
          <w:bCs/>
          <w:sz w:val="20"/>
        </w:rPr>
        <w:t xml:space="preserve">ě poskytnuté </w:t>
      </w:r>
      <w:r w:rsidRPr="00044DB3">
        <w:rPr>
          <w:rFonts w:ascii="Calibri" w:hAnsi="Calibri" w:cs="Calibri"/>
          <w:b/>
          <w:bCs/>
          <w:sz w:val="20"/>
        </w:rPr>
        <w:t xml:space="preserve">úvěry podnikům </w:t>
      </w:r>
      <w:r w:rsidR="006A3419" w:rsidRPr="00044DB3">
        <w:rPr>
          <w:rFonts w:ascii="Calibri" w:hAnsi="Calibri" w:cs="Calibri"/>
          <w:b/>
          <w:bCs/>
          <w:sz w:val="20"/>
        </w:rPr>
        <w:t>v loňském roce</w:t>
      </w:r>
      <w:r w:rsidR="002C1871" w:rsidRPr="00044DB3">
        <w:rPr>
          <w:rFonts w:ascii="Calibri" w:hAnsi="Calibri" w:cs="Calibri"/>
          <w:b/>
          <w:bCs/>
          <w:sz w:val="20"/>
        </w:rPr>
        <w:t xml:space="preserve"> meziročně poklesl</w:t>
      </w:r>
      <w:r w:rsidR="003D6D17" w:rsidRPr="00044DB3">
        <w:rPr>
          <w:rFonts w:ascii="Calibri" w:hAnsi="Calibri" w:cs="Calibri"/>
          <w:b/>
          <w:bCs/>
          <w:sz w:val="20"/>
        </w:rPr>
        <w:t>y</w:t>
      </w:r>
      <w:r w:rsidR="002C1871" w:rsidRPr="00044DB3">
        <w:rPr>
          <w:rFonts w:ascii="Calibri" w:hAnsi="Calibri" w:cs="Calibri"/>
          <w:b/>
          <w:bCs/>
          <w:sz w:val="20"/>
        </w:rPr>
        <w:t xml:space="preserve"> o třetinu, z toho korunové úvěry o 38 %, eurové úvěry pak o 27 </w:t>
      </w:r>
      <w:r w:rsidR="002C1871" w:rsidRPr="00044DB3">
        <w:rPr>
          <w:rFonts w:ascii="Calibri" w:hAnsi="Calibri" w:cs="Calibri"/>
          <w:sz w:val="20"/>
        </w:rPr>
        <w:t>%</w:t>
      </w:r>
      <w:r w:rsidR="00A50114" w:rsidRPr="00044DB3">
        <w:rPr>
          <w:rFonts w:ascii="Calibri" w:hAnsi="Calibri" w:cs="Calibri"/>
          <w:sz w:val="20"/>
        </w:rPr>
        <w:t>.</w:t>
      </w:r>
      <w:r w:rsidR="002C1871" w:rsidRPr="00044DB3">
        <w:rPr>
          <w:rFonts w:ascii="Calibri" w:hAnsi="Calibri" w:cs="Calibri"/>
          <w:sz w:val="20"/>
        </w:rPr>
        <w:t xml:space="preserve"> </w:t>
      </w:r>
      <w:r w:rsidR="00AA0055" w:rsidRPr="00044DB3">
        <w:rPr>
          <w:rFonts w:ascii="Calibri" w:hAnsi="Calibri" w:cs="Calibri"/>
          <w:sz w:val="20"/>
        </w:rPr>
        <w:t>Za první čtvrtletí letošního roku pokračoval již jen mírný meziroční pokles, a to ve výši 7 %, kdy nepatrně výrazněji klesly eurové úvěry</w:t>
      </w:r>
      <w:r w:rsidR="00044DB3">
        <w:rPr>
          <w:rFonts w:ascii="Calibri" w:hAnsi="Calibri" w:cs="Calibri"/>
          <w:sz w:val="20"/>
        </w:rPr>
        <w:t>.</w:t>
      </w:r>
      <w:r w:rsidR="00AA0055" w:rsidRPr="00044DB3">
        <w:rPr>
          <w:rFonts w:ascii="Calibri" w:hAnsi="Calibri" w:cs="Calibri"/>
          <w:sz w:val="20"/>
        </w:rPr>
        <w:t xml:space="preserve"> </w:t>
      </w:r>
      <w:r w:rsidR="00044DB3">
        <w:rPr>
          <w:rFonts w:ascii="Calibri" w:hAnsi="Calibri" w:cs="Calibri"/>
          <w:sz w:val="20"/>
        </w:rPr>
        <w:t xml:space="preserve">Ty za </w:t>
      </w:r>
      <w:r w:rsidR="00AA0055" w:rsidRPr="00044DB3">
        <w:rPr>
          <w:rFonts w:ascii="Calibri" w:hAnsi="Calibri" w:cs="Calibri"/>
          <w:sz w:val="20"/>
        </w:rPr>
        <w:t xml:space="preserve">první čtvrtletí </w:t>
      </w:r>
      <w:r w:rsidR="00044DB3">
        <w:rPr>
          <w:rFonts w:ascii="Calibri" w:hAnsi="Calibri" w:cs="Calibri"/>
          <w:sz w:val="20"/>
        </w:rPr>
        <w:t xml:space="preserve">roku </w:t>
      </w:r>
      <w:r w:rsidR="00AA0055" w:rsidRPr="00044DB3">
        <w:rPr>
          <w:rFonts w:ascii="Calibri" w:hAnsi="Calibri" w:cs="Calibri"/>
          <w:sz w:val="20"/>
        </w:rPr>
        <w:t xml:space="preserve">nepatrně převážily úvěry poskytnuté v korunách. Rozdíl mezi </w:t>
      </w:r>
      <w:r w:rsidR="00602381" w:rsidRPr="00044DB3">
        <w:rPr>
          <w:rFonts w:ascii="Calibri" w:hAnsi="Calibri" w:cs="Calibri"/>
          <w:sz w:val="20"/>
        </w:rPr>
        <w:t>korunovou a eurovou průměrnou sazbou se v letošním březnu snížil na 1 procentní bod</w:t>
      </w:r>
      <w:r w:rsidR="00F528A9">
        <w:rPr>
          <w:rFonts w:ascii="Calibri" w:hAnsi="Calibri" w:cs="Calibri"/>
          <w:sz w:val="20"/>
        </w:rPr>
        <w:t>,</w:t>
      </w:r>
      <w:r w:rsidR="00602381" w:rsidRPr="00044DB3">
        <w:rPr>
          <w:rFonts w:ascii="Calibri" w:hAnsi="Calibri" w:cs="Calibri"/>
          <w:sz w:val="20"/>
        </w:rPr>
        <w:t xml:space="preserve"> zatímco</w:t>
      </w:r>
      <w:r w:rsidR="00744C93" w:rsidRPr="00044DB3">
        <w:rPr>
          <w:rFonts w:ascii="Calibri" w:hAnsi="Calibri" w:cs="Calibri"/>
          <w:sz w:val="20"/>
        </w:rPr>
        <w:t xml:space="preserve"> v druhé polovině roku 2022 dosahoval 6</w:t>
      </w:r>
      <w:r w:rsidR="00E90D21">
        <w:rPr>
          <w:rFonts w:ascii="Calibri" w:hAnsi="Calibri" w:cs="Calibri"/>
          <w:sz w:val="20"/>
        </w:rPr>
        <w:t> </w:t>
      </w:r>
      <w:r w:rsidR="00744C93" w:rsidRPr="00044DB3">
        <w:rPr>
          <w:rFonts w:ascii="Calibri" w:hAnsi="Calibri" w:cs="Calibri"/>
          <w:sz w:val="20"/>
        </w:rPr>
        <w:t>p</w:t>
      </w:r>
      <w:r w:rsidR="00044DB3">
        <w:rPr>
          <w:rFonts w:ascii="Calibri" w:hAnsi="Calibri" w:cs="Calibri"/>
          <w:sz w:val="20"/>
        </w:rPr>
        <w:t>.</w:t>
      </w:r>
      <w:r w:rsidR="00744C93" w:rsidRPr="00044DB3">
        <w:rPr>
          <w:rFonts w:ascii="Calibri" w:hAnsi="Calibri" w:cs="Calibri"/>
          <w:sz w:val="20"/>
        </w:rPr>
        <w:t>b</w:t>
      </w:r>
      <w:r w:rsidR="00044DB3">
        <w:rPr>
          <w:rFonts w:ascii="Calibri" w:hAnsi="Calibri" w:cs="Calibri"/>
          <w:sz w:val="20"/>
        </w:rPr>
        <w:t>.</w:t>
      </w:r>
      <w:r w:rsidR="00744C93" w:rsidRPr="00044DB3">
        <w:rPr>
          <w:rFonts w:ascii="Calibri" w:hAnsi="Calibri" w:cs="Calibri"/>
          <w:sz w:val="20"/>
        </w:rPr>
        <w:t xml:space="preserve"> a urychlil tak </w:t>
      </w:r>
      <w:r w:rsidR="00044DB3">
        <w:rPr>
          <w:rFonts w:ascii="Calibri" w:hAnsi="Calibri" w:cs="Calibri"/>
          <w:sz w:val="20"/>
        </w:rPr>
        <w:t xml:space="preserve">přechod firem </w:t>
      </w:r>
      <w:r w:rsidR="00744C93" w:rsidRPr="00044DB3">
        <w:rPr>
          <w:rFonts w:ascii="Calibri" w:hAnsi="Calibri" w:cs="Calibri"/>
          <w:sz w:val="20"/>
        </w:rPr>
        <w:t>na eurové úvěry.</w:t>
      </w:r>
      <w:r w:rsidR="00602381" w:rsidRPr="00044DB3">
        <w:rPr>
          <w:rFonts w:ascii="Calibri" w:hAnsi="Calibri" w:cs="Calibri"/>
          <w:sz w:val="20"/>
        </w:rPr>
        <w:t xml:space="preserve"> </w:t>
      </w:r>
      <w:r w:rsidR="002C1871" w:rsidRPr="00044DB3">
        <w:rPr>
          <w:rFonts w:ascii="Calibri" w:hAnsi="Calibri" w:cs="Calibri"/>
          <w:sz w:val="20"/>
        </w:rPr>
        <w:t xml:space="preserve">Podíl nových korporátních úvěrů v eurech v roce 2023 </w:t>
      </w:r>
      <w:r w:rsidR="00A50114" w:rsidRPr="00044DB3">
        <w:rPr>
          <w:rFonts w:ascii="Calibri" w:hAnsi="Calibri" w:cs="Calibri"/>
          <w:sz w:val="20"/>
        </w:rPr>
        <w:t xml:space="preserve">poprvé </w:t>
      </w:r>
      <w:r w:rsidR="004E3E95" w:rsidRPr="00044DB3">
        <w:rPr>
          <w:rFonts w:ascii="Calibri" w:hAnsi="Calibri" w:cs="Calibri"/>
          <w:sz w:val="20"/>
        </w:rPr>
        <w:t xml:space="preserve">mírně </w:t>
      </w:r>
      <w:r w:rsidR="00A50114" w:rsidRPr="00044DB3">
        <w:rPr>
          <w:rFonts w:ascii="Calibri" w:hAnsi="Calibri" w:cs="Calibri"/>
          <w:sz w:val="20"/>
        </w:rPr>
        <w:t>přesáhl hranici 50 % (</w:t>
      </w:r>
      <w:r w:rsidR="002C1871" w:rsidRPr="00044DB3">
        <w:rPr>
          <w:rFonts w:ascii="Calibri" w:hAnsi="Calibri" w:cs="Calibri"/>
          <w:sz w:val="20"/>
        </w:rPr>
        <w:t>51,3 %</w:t>
      </w:r>
      <w:r w:rsidR="00A50114" w:rsidRPr="00044DB3">
        <w:rPr>
          <w:rFonts w:ascii="Calibri" w:hAnsi="Calibri" w:cs="Calibri"/>
          <w:sz w:val="20"/>
        </w:rPr>
        <w:t>)</w:t>
      </w:r>
      <w:r w:rsidR="00632A2F" w:rsidRPr="00044DB3">
        <w:rPr>
          <w:rFonts w:ascii="Calibri" w:hAnsi="Calibri" w:cs="Calibri"/>
          <w:sz w:val="20"/>
        </w:rPr>
        <w:t>,</w:t>
      </w:r>
      <w:r w:rsidR="00602E5F" w:rsidRPr="00044DB3">
        <w:rPr>
          <w:rFonts w:ascii="Calibri" w:hAnsi="Calibri" w:cs="Calibri"/>
          <w:sz w:val="20"/>
        </w:rPr>
        <w:t xml:space="preserve"> </w:t>
      </w:r>
      <w:r w:rsidR="00632A2F" w:rsidRPr="00044DB3">
        <w:rPr>
          <w:rFonts w:ascii="Calibri" w:hAnsi="Calibri" w:cs="Calibri"/>
          <w:sz w:val="20"/>
        </w:rPr>
        <w:t xml:space="preserve">zatímco </w:t>
      </w:r>
      <w:r w:rsidR="002C1871" w:rsidRPr="00044DB3">
        <w:rPr>
          <w:rFonts w:ascii="Calibri" w:hAnsi="Calibri" w:cs="Calibri"/>
          <w:sz w:val="20"/>
        </w:rPr>
        <w:t xml:space="preserve">v roce 2022 </w:t>
      </w:r>
      <w:r w:rsidR="00632A2F" w:rsidRPr="00044DB3">
        <w:rPr>
          <w:rFonts w:ascii="Calibri" w:hAnsi="Calibri" w:cs="Calibri"/>
          <w:sz w:val="20"/>
        </w:rPr>
        <w:t xml:space="preserve">činil </w:t>
      </w:r>
      <w:r w:rsidR="002C1871" w:rsidRPr="00044DB3">
        <w:rPr>
          <w:rFonts w:ascii="Calibri" w:hAnsi="Calibri" w:cs="Calibri"/>
          <w:sz w:val="20"/>
        </w:rPr>
        <w:t>47,4 %</w:t>
      </w:r>
      <w:r w:rsidR="00632A2F" w:rsidRPr="00044DB3">
        <w:rPr>
          <w:rFonts w:ascii="Calibri" w:hAnsi="Calibri" w:cs="Calibri"/>
          <w:sz w:val="20"/>
        </w:rPr>
        <w:t xml:space="preserve"> a p</w:t>
      </w:r>
      <w:r w:rsidR="002C1871" w:rsidRPr="00044DB3">
        <w:rPr>
          <w:rFonts w:ascii="Calibri" w:hAnsi="Calibri" w:cs="Calibri"/>
          <w:sz w:val="20"/>
        </w:rPr>
        <w:t>růměr let 2014</w:t>
      </w:r>
      <w:r w:rsidR="00635DD9" w:rsidRPr="00044DB3">
        <w:rPr>
          <w:rFonts w:ascii="Calibri" w:hAnsi="Calibri" w:cs="Calibri"/>
          <w:sz w:val="20"/>
        </w:rPr>
        <w:t>–</w:t>
      </w:r>
      <w:r w:rsidR="002C1871" w:rsidRPr="00044DB3">
        <w:rPr>
          <w:rFonts w:ascii="Calibri" w:hAnsi="Calibri" w:cs="Calibri"/>
          <w:sz w:val="20"/>
        </w:rPr>
        <w:t>2021</w:t>
      </w:r>
      <w:r w:rsidR="00632A2F" w:rsidRPr="00044DB3">
        <w:rPr>
          <w:rFonts w:ascii="Calibri" w:hAnsi="Calibri" w:cs="Calibri"/>
          <w:sz w:val="20"/>
        </w:rPr>
        <w:t xml:space="preserve"> se pohyboval kolem 30 %</w:t>
      </w:r>
      <w:r w:rsidR="009A6859" w:rsidRPr="00044DB3">
        <w:rPr>
          <w:rFonts w:ascii="Calibri" w:hAnsi="Calibri" w:cs="Calibri"/>
          <w:sz w:val="20"/>
        </w:rPr>
        <w:t>.</w:t>
      </w:r>
      <w:r w:rsidR="00602E5F" w:rsidRPr="00044DB3">
        <w:rPr>
          <w:rFonts w:ascii="Calibri" w:hAnsi="Calibri" w:cs="Calibri"/>
          <w:sz w:val="20"/>
        </w:rPr>
        <w:t xml:space="preserve"> </w:t>
      </w:r>
    </w:p>
    <w:p w14:paraId="0A3D0904" w14:textId="77777777" w:rsidR="0044304B" w:rsidRPr="00044DB3" w:rsidRDefault="0044304B" w:rsidP="00B4285D">
      <w:pPr>
        <w:rPr>
          <w:rFonts w:ascii="Calibri" w:hAnsi="Calibri" w:cs="Calibri"/>
          <w:sz w:val="20"/>
        </w:rPr>
      </w:pPr>
    </w:p>
    <w:p w14:paraId="02D1F126" w14:textId="0E7874FB" w:rsidR="00B63AFC" w:rsidRDefault="00B63AFC" w:rsidP="00B4285D">
      <w:pPr>
        <w:rPr>
          <w:rFonts w:ascii="Calibri" w:hAnsi="Calibri" w:cs="Calibri"/>
          <w:sz w:val="20"/>
        </w:rPr>
      </w:pPr>
      <w:r w:rsidRPr="00044DB3">
        <w:rPr>
          <w:rFonts w:ascii="Calibri" w:hAnsi="Calibri" w:cs="Calibri"/>
          <w:b/>
          <w:bCs/>
          <w:sz w:val="20"/>
        </w:rPr>
        <w:t>Růst vklad</w:t>
      </w:r>
      <w:r w:rsidR="00602381" w:rsidRPr="00044DB3">
        <w:rPr>
          <w:rFonts w:ascii="Calibri" w:hAnsi="Calibri" w:cs="Calibri"/>
          <w:b/>
          <w:bCs/>
          <w:sz w:val="20"/>
        </w:rPr>
        <w:t>ů</w:t>
      </w:r>
      <w:r w:rsidRPr="00044DB3">
        <w:rPr>
          <w:rFonts w:ascii="Calibri" w:hAnsi="Calibri" w:cs="Calibri"/>
          <w:b/>
          <w:bCs/>
          <w:sz w:val="20"/>
        </w:rPr>
        <w:t xml:space="preserve"> pokrač</w:t>
      </w:r>
      <w:r w:rsidR="00602381" w:rsidRPr="00044DB3">
        <w:rPr>
          <w:rFonts w:ascii="Calibri" w:hAnsi="Calibri" w:cs="Calibri"/>
          <w:b/>
          <w:bCs/>
          <w:sz w:val="20"/>
        </w:rPr>
        <w:t>oval v prvním čtvrtletí letošního roku v obdobném</w:t>
      </w:r>
      <w:r w:rsidRPr="00044DB3">
        <w:rPr>
          <w:rFonts w:ascii="Calibri" w:hAnsi="Calibri" w:cs="Calibri"/>
          <w:b/>
          <w:bCs/>
          <w:sz w:val="20"/>
        </w:rPr>
        <w:t xml:space="preserve"> </w:t>
      </w:r>
      <w:r w:rsidR="00602381" w:rsidRPr="00044DB3">
        <w:rPr>
          <w:rFonts w:ascii="Calibri" w:hAnsi="Calibri" w:cs="Calibri"/>
          <w:b/>
          <w:bCs/>
          <w:sz w:val="20"/>
        </w:rPr>
        <w:t>meziročním tempu jako za celý loňský rok</w:t>
      </w:r>
      <w:r w:rsidR="00602381" w:rsidRPr="00044DB3">
        <w:rPr>
          <w:rFonts w:ascii="Calibri" w:hAnsi="Calibri" w:cs="Calibri"/>
          <w:sz w:val="20"/>
        </w:rPr>
        <w:t>. V případě domácností pak zrychlil a přesáhl 8 %. Vzhledem k tomu že z</w:t>
      </w:r>
      <w:r w:rsidRPr="00044DB3">
        <w:rPr>
          <w:rFonts w:ascii="Calibri" w:hAnsi="Calibri" w:cs="Calibri"/>
          <w:sz w:val="20"/>
        </w:rPr>
        <w:t>hruba třetina z růstu vkladů domácnost</w:t>
      </w:r>
      <w:r w:rsidR="00DF32E5">
        <w:rPr>
          <w:rFonts w:ascii="Calibri" w:hAnsi="Calibri" w:cs="Calibri"/>
          <w:sz w:val="20"/>
        </w:rPr>
        <w:t>í</w:t>
      </w:r>
      <w:r w:rsidRPr="00044DB3">
        <w:rPr>
          <w:rFonts w:ascii="Calibri" w:hAnsi="Calibri" w:cs="Calibri"/>
          <w:sz w:val="20"/>
        </w:rPr>
        <w:t xml:space="preserve"> v loňském roce byla tvořena úrokovými výnosy</w:t>
      </w:r>
      <w:r w:rsidR="00602381" w:rsidRPr="00044DB3">
        <w:rPr>
          <w:rFonts w:ascii="Calibri" w:hAnsi="Calibri" w:cs="Calibri"/>
          <w:sz w:val="20"/>
        </w:rPr>
        <w:t>, lze očekávat, že s poklesem úrokových sazeb ČNB bude meziroční dynamika vkladů zpomalovat.</w:t>
      </w:r>
      <w:r w:rsidR="00602381">
        <w:rPr>
          <w:rFonts w:ascii="Calibri" w:hAnsi="Calibri" w:cs="Calibri"/>
          <w:sz w:val="20"/>
        </w:rPr>
        <w:t xml:space="preserve"> </w:t>
      </w:r>
    </w:p>
    <w:p w14:paraId="3EF8A742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70AC83F7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77F50BA4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5A66E61F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1853F3CC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4A136983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1FF96A96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08C834B4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5A4D167C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5C165697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30CC6F39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2EAB223B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025209A7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2AB348A7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3033EA3D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769C44AE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7EC12DF1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7A465DB0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24046461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37A7B71A" w14:textId="77777777" w:rsidR="0044304B" w:rsidRDefault="0044304B" w:rsidP="00B4285D">
      <w:pPr>
        <w:rPr>
          <w:rFonts w:ascii="Calibri" w:hAnsi="Calibri" w:cs="Calibri"/>
          <w:sz w:val="20"/>
        </w:rPr>
      </w:pPr>
    </w:p>
    <w:p w14:paraId="5AA039FF" w14:textId="4FDDE505" w:rsidR="00FC1601" w:rsidRDefault="00C93158" w:rsidP="00B4285D">
      <w:pPr>
        <w:rPr>
          <w:rFonts w:ascii="Calibri" w:hAnsi="Calibri" w:cs="Calibri"/>
          <w:b/>
          <w:color w:val="13576B"/>
          <w:sz w:val="22"/>
          <w:szCs w:val="22"/>
        </w:rPr>
      </w:pPr>
      <w:r w:rsidRPr="00AD0B10">
        <w:rPr>
          <w:rFonts w:ascii="Calibri" w:hAnsi="Calibri" w:cs="Calibri"/>
          <w:b/>
          <w:color w:val="13576B"/>
          <w:sz w:val="22"/>
          <w:szCs w:val="22"/>
        </w:rPr>
        <w:lastRenderedPageBreak/>
        <w:t>Makroekonomická prognóza ČBA v</w:t>
      </w:r>
      <w:r w:rsidR="00FC1884">
        <w:rPr>
          <w:rFonts w:ascii="Calibri" w:hAnsi="Calibri" w:cs="Calibri"/>
          <w:b/>
          <w:color w:val="13576B"/>
          <w:sz w:val="22"/>
          <w:szCs w:val="22"/>
        </w:rPr>
        <w:t> </w:t>
      </w:r>
      <w:r w:rsidRPr="00AD0B10">
        <w:rPr>
          <w:rFonts w:ascii="Calibri" w:hAnsi="Calibri" w:cs="Calibri"/>
          <w:b/>
          <w:color w:val="13576B"/>
          <w:sz w:val="22"/>
          <w:szCs w:val="22"/>
        </w:rPr>
        <w:t>číslech</w:t>
      </w:r>
      <w:r w:rsidR="00FC1884">
        <w:rPr>
          <w:rFonts w:ascii="Calibri" w:hAnsi="Calibri" w:cs="Calibri"/>
          <w:b/>
          <w:color w:val="13576B"/>
          <w:sz w:val="22"/>
          <w:szCs w:val="22"/>
        </w:rPr>
        <w:t>:</w:t>
      </w: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680"/>
        <w:gridCol w:w="680"/>
        <w:gridCol w:w="680"/>
      </w:tblGrid>
      <w:tr w:rsidR="00743530" w:rsidRPr="00743530" w14:paraId="60D62E88" w14:textId="77777777" w:rsidTr="00743530">
        <w:trPr>
          <w:trHeight w:val="225"/>
        </w:trPr>
        <w:tc>
          <w:tcPr>
            <w:tcW w:w="4720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7CE6FD0" w14:textId="77777777" w:rsidR="00743530" w:rsidRPr="00743530" w:rsidRDefault="00743530" w:rsidP="007435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Ukazatel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75A47C37" w14:textId="03911F29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202</w:t>
            </w:r>
            <w:r w:rsidR="00437356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423E3B46" w14:textId="4C9BD6EB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202</w:t>
            </w:r>
            <w:r w:rsidR="00437356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874B87B" w14:textId="7D8683F9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202</w:t>
            </w:r>
            <w:r w:rsidR="00437356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5</w:t>
            </w:r>
          </w:p>
        </w:tc>
      </w:tr>
      <w:tr w:rsidR="00743530" w:rsidRPr="00743530" w14:paraId="47415891" w14:textId="77777777" w:rsidTr="0018297A">
        <w:trPr>
          <w:trHeight w:val="28"/>
        </w:trPr>
        <w:tc>
          <w:tcPr>
            <w:tcW w:w="4720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3C40E2C" w14:textId="77777777" w:rsidR="00743530" w:rsidRPr="00743530" w:rsidRDefault="00743530" w:rsidP="007435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3605DA3" w14:textId="77777777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2F52424" w14:textId="77777777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178181A" w14:textId="77777777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 </w:t>
            </w:r>
          </w:p>
        </w:tc>
      </w:tr>
      <w:tr w:rsidR="009573F6" w:rsidRPr="00743530" w14:paraId="044CFE1A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30EF8938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reálného HDP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06FFB50" w14:textId="45CF41B5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3092154" w14:textId="3913F9DE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0505154" w14:textId="26BBB7E8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2.7</w:t>
            </w:r>
          </w:p>
        </w:tc>
      </w:tr>
      <w:tr w:rsidR="009573F6" w:rsidRPr="00743530" w14:paraId="707DEC5D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8BCE538" w14:textId="77777777" w:rsidR="009573F6" w:rsidRPr="00743530" w:rsidRDefault="009573F6" w:rsidP="009573F6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spotřeby domácností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1B24A8C" w14:textId="13D6FCE1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-3.1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FE28EFC" w14:textId="2F04E6A5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194473E" w14:textId="2C52BDF6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3.2</w:t>
            </w:r>
          </w:p>
        </w:tc>
      </w:tr>
      <w:tr w:rsidR="009573F6" w:rsidRPr="00743530" w14:paraId="028F0641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9E199A2" w14:textId="77777777" w:rsidR="009573F6" w:rsidRPr="00743530" w:rsidRDefault="009573F6" w:rsidP="009573F6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vládní spotřeby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ECF9A6B" w14:textId="41945106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D63C80D" w14:textId="64123E67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7FE51A5" w14:textId="7659C578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1.5</w:t>
            </w:r>
          </w:p>
        </w:tc>
      </w:tr>
      <w:tr w:rsidR="009573F6" w:rsidRPr="00743530" w14:paraId="73DC9EC3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43EFA0E3" w14:textId="77777777" w:rsidR="009573F6" w:rsidRPr="00743530" w:rsidRDefault="009573F6" w:rsidP="009573F6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investic (bez zásob, 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AFC03ED" w14:textId="3B480F1E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12F7551" w14:textId="724CAD6B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4B44C36" w14:textId="2D3B6E8D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3.5</w:t>
            </w:r>
          </w:p>
        </w:tc>
      </w:tr>
      <w:tr w:rsidR="009573F6" w:rsidRPr="00743530" w14:paraId="38CECFC0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71C3954C" w14:textId="77777777" w:rsidR="009573F6" w:rsidRPr="00743530" w:rsidRDefault="009573F6" w:rsidP="009573F6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 xml:space="preserve">Růst vývozů (%)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7438B8D" w14:textId="77637D2A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54DA5AB" w14:textId="42835AC9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ED97E4B" w14:textId="33362B35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4.6</w:t>
            </w:r>
          </w:p>
        </w:tc>
      </w:tr>
      <w:tr w:rsidR="009573F6" w:rsidRPr="00743530" w14:paraId="515AAEEA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7104BDAE" w14:textId="77777777" w:rsidR="009573F6" w:rsidRPr="00743530" w:rsidRDefault="009573F6" w:rsidP="009573F6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dovozů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DEDC09C" w14:textId="4E1B6281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-0.4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502F904" w14:textId="67947B65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E17C7D9" w14:textId="54FD1C39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4.5</w:t>
            </w:r>
          </w:p>
        </w:tc>
      </w:tr>
      <w:tr w:rsidR="009573F6" w:rsidRPr="00743530" w14:paraId="0DC3A4B1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EF5341B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Míra inflace: CPI (%)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CB544" w14:textId="1A31C787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10.7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122DA28" w14:textId="241ACD1A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117EBF4" w14:textId="7EAC7691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2.3</w:t>
            </w:r>
          </w:p>
        </w:tc>
      </w:tr>
      <w:tr w:rsidR="009573F6" w:rsidRPr="00743530" w14:paraId="6E4F03DF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591E4DC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Míra inflace: CPI (%) konec roku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580A2" w14:textId="6FC3CEEF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324AB99" w14:textId="38D9D4F3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0D7B533" w14:textId="6A08362F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2.3</w:t>
            </w:r>
          </w:p>
        </w:tc>
      </w:tr>
      <w:tr w:rsidR="009573F6" w:rsidRPr="00743530" w14:paraId="0DE3628B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8547181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Podíl nezaměstnaných osob (MPSV): průměr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935209" w14:textId="02F355C2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3.6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0BED386" w14:textId="0C6DE735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3C5949F" w14:textId="444B22C6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3.6</w:t>
            </w:r>
          </w:p>
        </w:tc>
      </w:tr>
      <w:tr w:rsidR="009573F6" w:rsidRPr="00743530" w14:paraId="38BAB062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7482C9C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Průměrná nominální mzda (růst v 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6E44CC3" w14:textId="3DE86072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7.5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F61CADB" w14:textId="319878B7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6.0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5AFEA42" w14:textId="7CA63EDF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5.1</w:t>
            </w:r>
          </w:p>
        </w:tc>
      </w:tr>
      <w:tr w:rsidR="009573F6" w:rsidRPr="00743530" w14:paraId="242798A9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D0D613C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Průměrná reálná mzda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5583F7F" w14:textId="3A34E755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-2.9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588B8FD" w14:textId="5AACA2F0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92D912F" w14:textId="3EEF11F7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2.7</w:t>
            </w:r>
          </w:p>
        </w:tc>
      </w:tr>
      <w:tr w:rsidR="009573F6" w:rsidRPr="00743530" w14:paraId="70256837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E18440B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Vládní deficit/přebytek (% HDP)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3F719C3" w14:textId="79414C60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-3.7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9A4176B" w14:textId="20100B4B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7234BF3" w14:textId="3D1ADC62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-2.2</w:t>
            </w:r>
          </w:p>
        </w:tc>
      </w:tr>
      <w:tr w:rsidR="009573F6" w:rsidRPr="00743530" w14:paraId="74A8DC91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61BF5FF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 xml:space="preserve">Vládní dluh (% HDP)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9B926C1" w14:textId="7DEB96BA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44.0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F10A244" w14:textId="3F027031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44.8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C2DD09D" w14:textId="4777B572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45.0</w:t>
            </w:r>
          </w:p>
        </w:tc>
      </w:tr>
      <w:tr w:rsidR="009573F6" w:rsidRPr="00743530" w14:paraId="65F307F0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D229619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Základní sazba ČNB 2T REPO (%): konec období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2E4F475" w14:textId="7116C7E0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6.75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482E8E6" w14:textId="76C329B8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D2D8278" w14:textId="668EFF2D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3.50</w:t>
            </w:r>
          </w:p>
        </w:tc>
      </w:tr>
      <w:tr w:rsidR="009573F6" w:rsidRPr="00743530" w14:paraId="2336A020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378473EE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3M-PRIBOR (%):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F6040F5" w14:textId="359E7757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7.12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AA8EC7D" w14:textId="2A10BD83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D85706C" w14:textId="2BBA1A14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3.70</w:t>
            </w:r>
          </w:p>
        </w:tc>
      </w:tr>
      <w:tr w:rsidR="009573F6" w:rsidRPr="00743530" w14:paraId="198C040A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1A9AAA5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Výnos 10letého vládního dluhopisu (%):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5042633" w14:textId="6645AB6C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4.50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B3A5D73" w14:textId="1A8A1187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91FF1CC" w14:textId="4D1D71F6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3.75</w:t>
            </w:r>
          </w:p>
        </w:tc>
      </w:tr>
      <w:tr w:rsidR="009573F6" w:rsidRPr="00743530" w14:paraId="120C9020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B83C0CF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Základní sazba ECB (%): konec období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888A27B" w14:textId="777C7888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4.50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CCE4E5B" w14:textId="2686F83C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1A0D4B3" w14:textId="18188B0D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2.75</w:t>
            </w:r>
          </w:p>
        </w:tc>
      </w:tr>
      <w:tr w:rsidR="009573F6" w:rsidRPr="00743530" w14:paraId="1D98EB59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701DED7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Kurz CZK/EUR: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DCE9A75" w14:textId="5DA0C829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24.00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A08737A" w14:textId="32D909BA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142E005" w14:textId="5FEFBBE8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24.65</w:t>
            </w:r>
          </w:p>
        </w:tc>
      </w:tr>
      <w:tr w:rsidR="009573F6" w:rsidRPr="00743530" w14:paraId="6F368A67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E896C68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Kurz CZK/EUR: konec roku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91098AA" w14:textId="63C41CCB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24.70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CBD8528" w14:textId="68439337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24.80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DAA0961" w14:textId="011A0CDC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24.43</w:t>
            </w:r>
          </w:p>
        </w:tc>
      </w:tr>
      <w:tr w:rsidR="009573F6" w:rsidRPr="00743530" w14:paraId="506560F9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A688C27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reálného HDP v eurozóně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7D57C06" w14:textId="50C04A92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403D371" w14:textId="3074A763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1D340AF" w14:textId="53A367AE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1.4</w:t>
            </w:r>
          </w:p>
        </w:tc>
      </w:tr>
      <w:tr w:rsidR="009573F6" w:rsidRPr="00743530" w14:paraId="00C55435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5C4623C5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Ceny ropy (USD za barel): brent průměr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9D72B50" w14:textId="685B6983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EA56160" w14:textId="0D36D976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9955406" w14:textId="3E482D61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80</w:t>
            </w:r>
          </w:p>
        </w:tc>
      </w:tr>
      <w:tr w:rsidR="009573F6" w:rsidRPr="00743530" w14:paraId="27D7FB94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D3C298E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úvěrů klientských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812FE2E" w14:textId="4965083F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5.9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BAE2F00" w14:textId="6F59682C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6.7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44DCDAB" w14:textId="5F303508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5.5</w:t>
            </w:r>
          </w:p>
        </w:tc>
      </w:tr>
      <w:tr w:rsidR="009573F6" w:rsidRPr="00743530" w14:paraId="75D898FC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3DB2A2B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úvěrů domácnostem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9ED7F73" w14:textId="63FDCA72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4.8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73F31BA" w14:textId="7E9F07B8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E6362F7" w14:textId="0A1E6A1D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6.0</w:t>
            </w:r>
          </w:p>
        </w:tc>
      </w:tr>
      <w:tr w:rsidR="009573F6" w:rsidRPr="00743530" w14:paraId="71E39703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171F41C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úvěrů (nefinančním) podnikům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BAE93B0" w14:textId="7460784D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4.7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364A5A5" w14:textId="37824D83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8.9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7339B8F" w14:textId="02AF9902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7.3</w:t>
            </w:r>
          </w:p>
        </w:tc>
      </w:tr>
      <w:tr w:rsidR="009573F6" w:rsidRPr="00743530" w14:paraId="1395FEF0" w14:textId="77777777" w:rsidTr="0073410F">
        <w:trPr>
          <w:trHeight w:val="270"/>
        </w:trPr>
        <w:tc>
          <w:tcPr>
            <w:tcW w:w="47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432534AB" w14:textId="77777777" w:rsidR="009573F6" w:rsidRPr="00743530" w:rsidRDefault="009573F6" w:rsidP="009573F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vkladů klientských celkem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62513A" w14:textId="44459631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7.9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7D2CE07" w14:textId="57CE1978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7.4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D369F9C" w14:textId="4BA25A10" w:rsidR="009573F6" w:rsidRPr="00743530" w:rsidRDefault="009573F6" w:rsidP="009573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5.7</w:t>
            </w:r>
          </w:p>
        </w:tc>
      </w:tr>
      <w:tr w:rsidR="0073410F" w:rsidRPr="00743530" w14:paraId="40B3B8B7" w14:textId="77777777" w:rsidTr="0073410F">
        <w:trPr>
          <w:trHeight w:val="270"/>
        </w:trPr>
        <w:tc>
          <w:tcPr>
            <w:tcW w:w="47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3576B"/>
            <w:vAlign w:val="center"/>
          </w:tcPr>
          <w:p w14:paraId="784A2D1B" w14:textId="77777777" w:rsidR="0073410F" w:rsidRPr="00743530" w:rsidRDefault="0073410F" w:rsidP="007270C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B15C3E" w14:textId="77777777" w:rsidR="0073410F" w:rsidRDefault="0073410F" w:rsidP="007270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3F2CA50B" w14:textId="77777777" w:rsidR="0073410F" w:rsidRDefault="0073410F" w:rsidP="007270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2EC46DC4" w14:textId="77777777" w:rsidR="0073410F" w:rsidRDefault="0073410F" w:rsidP="007270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</w:p>
        </w:tc>
      </w:tr>
    </w:tbl>
    <w:p w14:paraId="4D1810CE" w14:textId="77777777" w:rsidR="00FC11E3" w:rsidRDefault="00FC11E3" w:rsidP="00B4285D">
      <w:pPr>
        <w:rPr>
          <w:rFonts w:ascii="Calibri" w:eastAsiaTheme="minorEastAsia" w:hAnsi="Calibri" w:cs="Calibri"/>
        </w:rPr>
      </w:pPr>
    </w:p>
    <w:p w14:paraId="7561C03E" w14:textId="48A06A3A" w:rsidR="00F37DC9" w:rsidRDefault="003161ED" w:rsidP="00B4285D">
      <w:pPr>
        <w:rPr>
          <w:rFonts w:ascii="Calibri" w:eastAsiaTheme="minorEastAsia" w:hAnsi="Calibri" w:cs="Calibri"/>
        </w:rPr>
      </w:pPr>
      <w:r w:rsidRPr="00C9674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 wp14:anchorId="3801A402" wp14:editId="55458A3A">
                <wp:simplePos x="0" y="0"/>
                <wp:positionH relativeFrom="margin">
                  <wp:align>right</wp:align>
                </wp:positionH>
                <wp:positionV relativeFrom="paragraph">
                  <wp:posOffset>13005</wp:posOffset>
                </wp:positionV>
                <wp:extent cx="6476365" cy="1168842"/>
                <wp:effectExtent l="0" t="0" r="635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365" cy="11688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13D1E" w14:textId="77777777" w:rsidR="00F37DC9" w:rsidRPr="0073410F" w:rsidRDefault="00F37DC9" w:rsidP="00F37DC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</w:pPr>
                            <w:r w:rsidRPr="0073410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  <w:t xml:space="preserve">O prognóze ČBA </w:t>
                            </w:r>
                          </w:p>
                          <w:p w14:paraId="04BF716D" w14:textId="541FE623" w:rsidR="00EE7B05" w:rsidRPr="0073410F" w:rsidRDefault="00EE7B05" w:rsidP="00EE7B05">
                            <w:pPr>
                              <w:spacing w:line="276" w:lineRule="auto"/>
                              <w:ind w:left="28" w:hanging="28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Tato prognóza vznikla na základě příspěvků analytiků 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9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členských bank ČBA: Petr Dufek (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hlavní ekonom</w:t>
                            </w:r>
                            <w:r w:rsidR="0067582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,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Banka CREDITAS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), 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Jan Bureš (ekonomický analytik ČSOB), 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Petr Gapko (hlavní ekonom</w:t>
                            </w:r>
                            <w:r w:rsidR="0067582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,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MONETA Money Bank), </w:t>
                            </w:r>
                            <w:r w:rsidR="008659F5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Helena Horská a </w:t>
                            </w:r>
                            <w:r w:rsidR="00A941CA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Vratislav Zámiš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(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ekonomický </w:t>
                            </w:r>
                            <w:r w:rsidR="008659F5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výzkum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Raiffeisenbank), Michal Skořepa (makroekonomický analytik České spořitelny), Petr Sklenář (hlavní ekonom</w:t>
                            </w:r>
                            <w:r w:rsidR="0067582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,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J&amp;T Bank), Pavel Sobíšek (hlavní ekonom, UniCredit Bank), Jaromír Šindel (hlavní ekonom Citibank), Jan Vejmělek (hlavní ekonom Komerční banky). Za ČBA se na tvorbě prognózy podílel Jakub Seidler</w:t>
                            </w:r>
                            <w:r w:rsidR="00361DD8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</w:p>
                          <w:p w14:paraId="77C1A42D" w14:textId="77777777" w:rsidR="00F37DC9" w:rsidRPr="00A55BDD" w:rsidRDefault="00F37DC9" w:rsidP="00F37DC9">
                            <w:pPr>
                              <w:spacing w:line="276" w:lineRule="auto"/>
                              <w:ind w:left="28" w:hanging="28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1A402" id="Obdélník 4" o:spid="_x0000_s1029" style="position:absolute;left:0;text-align:left;margin-left:458.75pt;margin-top:1pt;width:509.95pt;height:92.0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" fillcolor="#bfbfbf [2412]" stroked="f" strokeweight="1pt">
                <v:textbox inset="3mm,3mm,3mm,3mm">
                  <w:txbxContent>
                    <w:p w14:paraId="7E313D1E" w14:textId="77777777" w:rsidR="00F37DC9" w:rsidRPr="0073410F" w:rsidRDefault="00F37DC9" w:rsidP="00F37DC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</w:pPr>
                      <w:r w:rsidRPr="0073410F"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  <w:t xml:space="preserve">O prognóze ČBA </w:t>
                      </w:r>
                    </w:p>
                    <w:p w14:paraId="04BF716D" w14:textId="541FE623" w:rsidR="00EE7B05" w:rsidRPr="0073410F" w:rsidRDefault="00EE7B05" w:rsidP="00EE7B05">
                      <w:pPr>
                        <w:spacing w:line="276" w:lineRule="auto"/>
                        <w:ind w:left="28" w:hanging="28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Tato prognóza vznikla na základě příspěvků analytiků 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9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členských bank ČBA: Petr Dufek (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hlavní ekonom</w:t>
                      </w:r>
                      <w:r w:rsidR="0067582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,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Banka CREDITAS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), 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Jan Bureš (ekonomický analytik ČSOB), 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Petr Gapko (hlavní ekonom</w:t>
                      </w:r>
                      <w:r w:rsidR="0067582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,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MONETA Money Bank), </w:t>
                      </w:r>
                      <w:r w:rsidR="008659F5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Helena Horská a </w:t>
                      </w:r>
                      <w:r w:rsidR="00A941CA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Vratislav Zámiš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(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ekonomický </w:t>
                      </w:r>
                      <w:r w:rsidR="008659F5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výzkum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Raiffeisenbank), Michal Skořepa (makroekonomický analytik České spořitelny), Petr Sklenář (hlavní ekonom</w:t>
                      </w:r>
                      <w:r w:rsidR="0067582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,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J&amp;T Bank), Pavel Sobíšek (hlavní ekonom, UniCredit Bank), Jaromír Šindel (hlavní ekonom Citibank), Jan Vejmělek (hlavní ekonom Komerční banky). Za ČBA se na tvorbě prognózy podílel Jakub Seidler</w:t>
                      </w:r>
                      <w:r w:rsidR="00361DD8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</w:p>
                    <w:p w14:paraId="77C1A42D" w14:textId="77777777" w:rsidR="00F37DC9" w:rsidRPr="00A55BDD" w:rsidRDefault="00F37DC9" w:rsidP="00F37DC9">
                      <w:pPr>
                        <w:spacing w:line="276" w:lineRule="auto"/>
                        <w:ind w:left="28" w:hanging="28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5D62" w:rsidRPr="00F37DC9">
        <w:rPr>
          <w:rFonts w:ascii="Calibri" w:eastAsiaTheme="minorEastAsia" w:hAnsi="Calibri" w:cs="Calibri"/>
        </w:rPr>
        <w:tab/>
      </w:r>
    </w:p>
    <w:p w14:paraId="17CF7A7C" w14:textId="77777777" w:rsidR="005547BF" w:rsidRDefault="005547BF" w:rsidP="00B4285D">
      <w:pPr>
        <w:rPr>
          <w:rFonts w:ascii="Calibri" w:eastAsiaTheme="minorEastAsia" w:hAnsi="Calibri" w:cs="Calibri"/>
        </w:rPr>
      </w:pPr>
    </w:p>
    <w:p w14:paraId="3B70CAB7" w14:textId="77777777" w:rsidR="005547BF" w:rsidRDefault="005547BF" w:rsidP="00B4285D">
      <w:pPr>
        <w:rPr>
          <w:rFonts w:ascii="Calibri" w:eastAsiaTheme="minorEastAsia" w:hAnsi="Calibri" w:cs="Calibri"/>
        </w:rPr>
      </w:pPr>
    </w:p>
    <w:p w14:paraId="6DB62AD1" w14:textId="5086AED3" w:rsidR="001642C0" w:rsidRDefault="001642C0" w:rsidP="00B4285D">
      <w:pPr>
        <w:rPr>
          <w:rFonts w:ascii="Calibri" w:eastAsiaTheme="minorEastAsia" w:hAnsi="Calibri" w:cs="Calibri"/>
        </w:rPr>
      </w:pPr>
    </w:p>
    <w:p w14:paraId="52E6141C" w14:textId="16E75886" w:rsidR="00F37DC9" w:rsidRDefault="00F37DC9" w:rsidP="00B4285D">
      <w:pPr>
        <w:rPr>
          <w:rFonts w:ascii="Calibri" w:eastAsiaTheme="minorEastAsia" w:hAnsi="Calibri" w:cs="Calibri"/>
        </w:rPr>
      </w:pPr>
    </w:p>
    <w:p w14:paraId="59DD5F85" w14:textId="14AD5D2F" w:rsidR="00F37DC9" w:rsidRDefault="00F37DC9" w:rsidP="00B4285D">
      <w:pPr>
        <w:rPr>
          <w:rFonts w:ascii="Calibri" w:eastAsiaTheme="minorEastAsia" w:hAnsi="Calibri" w:cs="Calibri"/>
        </w:rPr>
      </w:pPr>
    </w:p>
    <w:p w14:paraId="333F07F6" w14:textId="217C26C9" w:rsidR="00F37DC9" w:rsidRDefault="00F37DC9" w:rsidP="00B4285D">
      <w:pPr>
        <w:rPr>
          <w:rFonts w:ascii="Calibri" w:eastAsiaTheme="minorEastAsia" w:hAnsi="Calibri" w:cs="Calibri"/>
        </w:rPr>
      </w:pPr>
    </w:p>
    <w:p w14:paraId="5ACD7EBC" w14:textId="267566DC" w:rsidR="00F37DC9" w:rsidRDefault="00F37DC9" w:rsidP="00272A8E">
      <w:pPr>
        <w:tabs>
          <w:tab w:val="left" w:pos="2532"/>
        </w:tabs>
        <w:rPr>
          <w:rFonts w:ascii="Calibri" w:eastAsiaTheme="minorEastAsia" w:hAnsi="Calibri" w:cs="Calibri"/>
        </w:rPr>
      </w:pPr>
    </w:p>
    <w:p w14:paraId="77090A9B" w14:textId="5B92B9DD" w:rsidR="00F37DC9" w:rsidRDefault="00F37DC9" w:rsidP="00B4285D">
      <w:pPr>
        <w:rPr>
          <w:rFonts w:ascii="Calibri" w:eastAsiaTheme="minorEastAsia" w:hAnsi="Calibri" w:cs="Calibri"/>
        </w:rPr>
      </w:pPr>
    </w:p>
    <w:p w14:paraId="5D41C5D7" w14:textId="77777777" w:rsidR="0073410F" w:rsidRDefault="0073410F" w:rsidP="00B4285D">
      <w:pPr>
        <w:rPr>
          <w:rFonts w:ascii="Calibri" w:eastAsiaTheme="minorEastAsia" w:hAnsi="Calibri" w:cs="Calibri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817"/>
        <w:gridCol w:w="3384"/>
      </w:tblGrid>
      <w:tr w:rsidR="0073410F" w:rsidRPr="00635D8B" w14:paraId="2BB4B9D8" w14:textId="77777777" w:rsidTr="001726CC">
        <w:trPr>
          <w:trHeight w:val="1364"/>
        </w:trPr>
        <w:tc>
          <w:tcPr>
            <w:tcW w:w="6817" w:type="dxa"/>
            <w:shd w:val="clear" w:color="auto" w:fill="13576B"/>
          </w:tcPr>
          <w:p w14:paraId="32CA9EB7" w14:textId="77777777" w:rsidR="0073410F" w:rsidRDefault="0073410F" w:rsidP="001726CC">
            <w:pPr>
              <w:pStyle w:val="CBANadpisvTABULCE"/>
              <w:jc w:val="both"/>
              <w:rPr>
                <w:rFonts w:ascii="IBM Plex Sans" w:hAnsi="IBM Plex Sans" w:cs="Poppins"/>
                <w:color w:val="FFFFFF"/>
                <w:szCs w:val="18"/>
              </w:rPr>
            </w:pPr>
            <w:r>
              <w:rPr>
                <w:rFonts w:ascii="IBM Plex Sans" w:hAnsi="IBM Plex Sans" w:cs="Poppins"/>
                <w:color w:val="FFFFFF"/>
                <w:szCs w:val="18"/>
              </w:rPr>
              <w:t>O České bankovní asociaci</w:t>
            </w:r>
          </w:p>
          <w:p w14:paraId="22379D56" w14:textId="057F3E4D" w:rsidR="0073410F" w:rsidRDefault="0073410F" w:rsidP="001726CC">
            <w:pPr>
              <w:rPr>
                <w:rFonts w:ascii="Calibri" w:hAnsi="Calibri"/>
                <w:color w:val="FFFFFF"/>
                <w:sz w:val="22"/>
              </w:rPr>
            </w:pPr>
            <w:bookmarkStart w:id="4" w:name="_Hlk128734138"/>
            <w:r>
              <w:rPr>
                <w:color w:val="FFFFFF"/>
              </w:rPr>
              <w:t>Česká bankovní asociace (ČBA) je dobrovolné sdružení 3</w:t>
            </w:r>
            <w:r w:rsidR="004E3E95">
              <w:rPr>
                <w:color w:val="FFFFFF"/>
              </w:rPr>
              <w:t>3</w:t>
            </w:r>
            <w:r>
              <w:rPr>
                <w:color w:val="FFFFFF"/>
              </w:rPr>
              <w:t xml:space="preserve"> bank působících v České republice a reprezentuje tak 99 % trhu. Již 30 let podporuje nejen rozvoj bankovního sektoru, ale i celé ekonomiky a všeobecné finanční gramotnosti. ČBA je členem Evropské bankovní federace (EBF).</w:t>
            </w:r>
          </w:p>
          <w:bookmarkEnd w:id="4"/>
          <w:p w14:paraId="4A9BB153" w14:textId="77777777" w:rsidR="0073410F" w:rsidRDefault="0073410F" w:rsidP="001726CC">
            <w:pPr>
              <w:pStyle w:val="CBAodstavecvTABULCE"/>
              <w:jc w:val="both"/>
              <w:rPr>
                <w:rFonts w:ascii="IBM Plex Sans" w:hAnsi="IBM Plex Sans" w:cs="Poppins"/>
                <w:color w:val="FFFFFF"/>
                <w:szCs w:val="18"/>
              </w:rPr>
            </w:pPr>
            <w:r>
              <w:rPr>
                <w:rFonts w:ascii="IBM Plex Sans" w:hAnsi="IBM Plex Sans" w:cs="Poppins"/>
                <w:color w:val="FFFFFF"/>
                <w:szCs w:val="18"/>
              </w:rPr>
              <w:t xml:space="preserve">Více informací na </w:t>
            </w:r>
            <w:r>
              <w:rPr>
                <w:rFonts w:ascii="IBM Plex Sans" w:hAnsi="IBM Plex Sans" w:cs="Poppins"/>
                <w:color w:val="FFFFFF"/>
                <w:szCs w:val="18"/>
                <w:u w:val="single"/>
              </w:rPr>
              <w:t>www.cbaonline.cz.</w:t>
            </w:r>
            <w:r>
              <w:rPr>
                <w:rFonts w:ascii="IBM Plex Sans" w:hAnsi="IBM Plex Sans" w:cs="Poppins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51EEA920" w14:textId="77777777" w:rsidR="0073410F" w:rsidRDefault="0073410F" w:rsidP="001726CC">
            <w:pPr>
              <w:pStyle w:val="CBAodstavecvTABULCE"/>
              <w:rPr>
                <w:rFonts w:ascii="IBM Plex Sans" w:hAnsi="IBM Plex Sans" w:cs="Poppins"/>
                <w:b/>
                <w:bCs/>
                <w:color w:val="FFFFFF"/>
                <w:szCs w:val="18"/>
              </w:rPr>
            </w:pPr>
            <w:r>
              <w:rPr>
                <w:rFonts w:ascii="IBM Plex Sans" w:hAnsi="IBM Plex Sans" w:cs="Poppins"/>
                <w:b/>
                <w:bCs/>
                <w:color w:val="FFFFFF"/>
                <w:szCs w:val="18"/>
              </w:rPr>
              <w:t xml:space="preserve">                Dotazy posílejte na</w:t>
            </w:r>
          </w:p>
          <w:p w14:paraId="4BDB00A6" w14:textId="77777777" w:rsidR="0073410F" w:rsidRDefault="0073410F" w:rsidP="001726CC">
            <w:pPr>
              <w:pStyle w:val="CBAodstavecvTABULCE"/>
              <w:jc w:val="center"/>
              <w:rPr>
                <w:rFonts w:ascii="IBM Plex Sans" w:hAnsi="IBM Plex Sans" w:cs="Poppins"/>
                <w:color w:val="FFFFFF"/>
                <w:szCs w:val="18"/>
              </w:rPr>
            </w:pPr>
            <w:r>
              <w:rPr>
                <w:rFonts w:ascii="IBM Plex Sans" w:hAnsi="IBM Plex Sans" w:cs="Poppins"/>
                <w:b/>
                <w:bCs/>
                <w:color w:val="FFFFFF"/>
                <w:szCs w:val="18"/>
              </w:rPr>
              <w:t>radek.salsa@cbaonline.cz</w:t>
            </w:r>
          </w:p>
        </w:tc>
      </w:tr>
    </w:tbl>
    <w:p w14:paraId="1AE6FC8E" w14:textId="01CA802E" w:rsidR="005C1943" w:rsidRPr="00F37DC9" w:rsidRDefault="005C1943" w:rsidP="00B4285D">
      <w:pPr>
        <w:rPr>
          <w:rFonts w:ascii="Calibri" w:eastAsiaTheme="minorEastAsia" w:hAnsi="Calibri" w:cs="Calibri"/>
        </w:rPr>
      </w:pPr>
    </w:p>
    <w:sectPr w:rsidR="005C1943" w:rsidRPr="00F37DC9" w:rsidSect="00B551C7">
      <w:headerReference w:type="default" r:id="rId8"/>
      <w:footerReference w:type="default" r:id="rId9"/>
      <w:pgSz w:w="11906" w:h="16838"/>
      <w:pgMar w:top="2552" w:right="851" w:bottom="1418" w:left="85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AA652" w14:textId="77777777" w:rsidR="00B551C7" w:rsidRDefault="00B551C7" w:rsidP="00F573F1">
      <w:r>
        <w:separator/>
      </w:r>
    </w:p>
  </w:endnote>
  <w:endnote w:type="continuationSeparator" w:id="0">
    <w:p w14:paraId="480E0CAB" w14:textId="77777777" w:rsidR="00B551C7" w:rsidRDefault="00B551C7" w:rsidP="00F573F1">
      <w:r>
        <w:continuationSeparator/>
      </w:r>
    </w:p>
  </w:endnote>
  <w:endnote w:type="continuationNotice" w:id="1">
    <w:p w14:paraId="11E008BE" w14:textId="77777777" w:rsidR="00B551C7" w:rsidRDefault="00B55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Cs w:val="18"/>
      </w:rPr>
      <w:id w:val="114994418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54F1F5" w14:textId="19327CD8" w:rsidR="00F37DC9" w:rsidRPr="00F37DC9" w:rsidRDefault="00F37DC9">
            <w:pPr>
              <w:pStyle w:val="Zpat"/>
              <w:jc w:val="right"/>
              <w:rPr>
                <w:rFonts w:ascii="Calibri" w:hAnsi="Calibri" w:cs="Calibri"/>
                <w:szCs w:val="18"/>
              </w:rPr>
            </w:pPr>
            <w:r w:rsidRPr="001E31AB">
              <w:rPr>
                <w:rFonts w:ascii="Calibri" w:hAnsi="Calibri"/>
                <w:noProof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40EC3339" wp14:editId="625B1AC4">
                  <wp:simplePos x="0" y="0"/>
                  <wp:positionH relativeFrom="column">
                    <wp:posOffset>-541020</wp:posOffset>
                  </wp:positionH>
                  <wp:positionV relativeFrom="paragraph">
                    <wp:posOffset>-137160</wp:posOffset>
                  </wp:positionV>
                  <wp:extent cx="3042285" cy="701040"/>
                  <wp:effectExtent l="0" t="0" r="5715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DC9">
              <w:rPr>
                <w:rFonts w:ascii="Calibri" w:hAnsi="Calibri" w:cs="Calibri"/>
                <w:szCs w:val="18"/>
              </w:rPr>
              <w:t xml:space="preserve">Stránka 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begin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instrText>PAGE</w:instrTex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t>2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r w:rsidRPr="00F37DC9">
              <w:rPr>
                <w:rFonts w:ascii="Calibri" w:hAnsi="Calibri" w:cs="Calibri"/>
                <w:szCs w:val="18"/>
              </w:rPr>
              <w:t xml:space="preserve"> z 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begin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instrText>NUMPAGES</w:instrTex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t>2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6B2FBE8E" w14:textId="77777777" w:rsidR="00536B9B" w:rsidRPr="00FB4A1C" w:rsidRDefault="00536B9B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BCAB0" w14:textId="77777777" w:rsidR="00B551C7" w:rsidRDefault="00B551C7" w:rsidP="00F573F1">
      <w:r>
        <w:separator/>
      </w:r>
    </w:p>
  </w:footnote>
  <w:footnote w:type="continuationSeparator" w:id="0">
    <w:p w14:paraId="31B33472" w14:textId="77777777" w:rsidR="00B551C7" w:rsidRDefault="00B551C7" w:rsidP="00F573F1">
      <w:r>
        <w:continuationSeparator/>
      </w:r>
    </w:p>
  </w:footnote>
  <w:footnote w:type="continuationNotice" w:id="1">
    <w:p w14:paraId="068DCA85" w14:textId="77777777" w:rsidR="00B551C7" w:rsidRDefault="00B551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D6A72" w14:textId="2B5E0211" w:rsidR="00F37DC9" w:rsidRDefault="00F37DC9" w:rsidP="00F37DC9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F98975" wp14:editId="270559D0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BA7D056" wp14:editId="7FF03F24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7EE12" w14:textId="508204F7" w:rsidR="00F37DC9" w:rsidRDefault="002B1A4A">
    <w:pPr>
      <w:pStyle w:val="Zhlav"/>
    </w:pPr>
    <w:r w:rsidRPr="00F615BD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5203F4D" wp14:editId="7D6E81C2">
              <wp:simplePos x="0" y="0"/>
              <wp:positionH relativeFrom="margin">
                <wp:posOffset>2425453</wp:posOffset>
              </wp:positionH>
              <wp:positionV relativeFrom="paragraph">
                <wp:posOffset>72859</wp:posOffset>
              </wp:positionV>
              <wp:extent cx="1709530" cy="1404620"/>
              <wp:effectExtent l="0" t="0" r="0" b="254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5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A903D" w14:textId="039996AF" w:rsidR="002B1A4A" w:rsidRPr="002B1A4A" w:rsidRDefault="002B1A4A" w:rsidP="002B1A4A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</w:pPr>
                          <w:r w:rsidRPr="002B1A4A"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 xml:space="preserve">EMBARGO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 xml:space="preserve">do </w:t>
                          </w:r>
                          <w:r w:rsidR="00A46AFF"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>9</w:t>
                          </w:r>
                          <w:r w:rsidRPr="002B1A4A"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>.</w:t>
                          </w:r>
                          <w:r w:rsidR="00A46AFF"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>5</w:t>
                          </w:r>
                          <w:r w:rsidRPr="002B1A4A"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>2</w:t>
                          </w:r>
                          <w:r w:rsidR="00483BB7"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>02</w:t>
                          </w:r>
                          <w:r w:rsidR="00FF1673"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>4</w:t>
                          </w:r>
                          <w:r w:rsidRPr="002B1A4A"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 xml:space="preserve"> </w:t>
                          </w:r>
                          <w:r w:rsidR="00525ABD"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>10</w:t>
                          </w:r>
                          <w:r w:rsidRPr="002B1A4A"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  <w:t>.00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203F4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91pt;margin-top:5.75pt;width:134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" filled="f" stroked="f">
              <v:textbox style="mso-fit-shape-to-text:t">
                <w:txbxContent>
                  <w:p w14:paraId="1F1A903D" w14:textId="039996AF" w:rsidR="002B1A4A" w:rsidRPr="002B1A4A" w:rsidRDefault="002B1A4A" w:rsidP="002B1A4A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</w:pPr>
                    <w:r w:rsidRPr="002B1A4A"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 xml:space="preserve">EMBARGO </w:t>
                    </w:r>
                    <w:r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 xml:space="preserve">do </w:t>
                    </w:r>
                    <w:r w:rsidR="00A46AFF"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>9</w:t>
                    </w:r>
                    <w:r w:rsidRPr="002B1A4A"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>.</w:t>
                    </w:r>
                    <w:r w:rsidR="00A46AFF"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>5</w:t>
                    </w:r>
                    <w:r w:rsidRPr="002B1A4A"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>.</w:t>
                    </w:r>
                    <w:r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>2</w:t>
                    </w:r>
                    <w:r w:rsidR="00483BB7"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>02</w:t>
                    </w:r>
                    <w:r w:rsidR="00FF1673"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>4</w:t>
                    </w:r>
                    <w:r w:rsidRPr="002B1A4A"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 xml:space="preserve"> </w:t>
                    </w:r>
                    <w:r w:rsidR="00525ABD"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>10</w:t>
                    </w:r>
                    <w:r w:rsidRPr="002B1A4A"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  <w:t>.00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37DC9" w:rsidRPr="00F615BD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CB3763" wp14:editId="0D54C2D8">
              <wp:simplePos x="0" y="0"/>
              <wp:positionH relativeFrom="margin">
                <wp:posOffset>5289974</wp:posOffset>
              </wp:positionH>
              <wp:positionV relativeFrom="paragraph">
                <wp:posOffset>6985</wp:posOffset>
              </wp:positionV>
              <wp:extent cx="1239520" cy="1404620"/>
              <wp:effectExtent l="0" t="0" r="0" b="0"/>
              <wp:wrapNone/>
              <wp:docPr id="20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D1CFE" w14:textId="77777777" w:rsidR="00F37DC9" w:rsidRPr="00F37DC9" w:rsidRDefault="00F37DC9" w:rsidP="00F37DC9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2"/>
                              <w:szCs w:val="24"/>
                            </w:rPr>
                          </w:pPr>
                          <w:r w:rsidRPr="00F37DC9">
                            <w:rPr>
                              <w:rFonts w:ascii="Calibri" w:hAnsi="Calibri" w:cs="Calibri"/>
                              <w:b/>
                              <w:color w:val="13576B"/>
                              <w:sz w:val="22"/>
                              <w:szCs w:val="24"/>
                            </w:rPr>
                            <w:t xml:space="preserve">TISKOVÁ ZPRÁVA </w:t>
                          </w:r>
                        </w:p>
                        <w:p w14:paraId="5CDE064D" w14:textId="2E0F8A99" w:rsidR="00F37DC9" w:rsidRPr="00F37DC9" w:rsidRDefault="00A46AFF" w:rsidP="00F37DC9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9</w:t>
                          </w:r>
                          <w:r w:rsidR="00F37DC9" w:rsidRPr="00F37DC9"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5</w:t>
                          </w:r>
                          <w:r w:rsidR="00F37DC9" w:rsidRPr="00F37DC9"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. 202</w:t>
                          </w:r>
                          <w:r w:rsidR="00FF1673"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CB3763" id="_x0000_s1031" type="#_x0000_t202" style="position:absolute;left:0;text-align:left;margin-left:416.55pt;margin-top:.55pt;width:9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" filled="f" stroked="f">
              <v:textbox style="mso-fit-shape-to-text:t">
                <w:txbxContent>
                  <w:p w14:paraId="49CD1CFE" w14:textId="77777777" w:rsidR="00F37DC9" w:rsidRPr="00F37DC9" w:rsidRDefault="00F37DC9" w:rsidP="00F37DC9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2"/>
                        <w:szCs w:val="24"/>
                      </w:rPr>
                    </w:pPr>
                    <w:r w:rsidRPr="00F37DC9">
                      <w:rPr>
                        <w:rFonts w:ascii="Calibri" w:hAnsi="Calibri" w:cs="Calibri"/>
                        <w:b/>
                        <w:color w:val="13576B"/>
                        <w:sz w:val="22"/>
                        <w:szCs w:val="24"/>
                      </w:rPr>
                      <w:t xml:space="preserve">TISKOVÁ ZPRÁVA </w:t>
                    </w:r>
                  </w:p>
                  <w:p w14:paraId="5CDE064D" w14:textId="2E0F8A99" w:rsidR="00F37DC9" w:rsidRPr="00F37DC9" w:rsidRDefault="00A46AFF" w:rsidP="00F37DC9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2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9</w:t>
                    </w:r>
                    <w:r w:rsidR="00F37DC9" w:rsidRPr="00F37DC9"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 xml:space="preserve">. </w:t>
                    </w:r>
                    <w:r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5</w:t>
                    </w:r>
                    <w:r w:rsidR="00F37DC9" w:rsidRPr="00F37DC9"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. 202</w:t>
                    </w:r>
                    <w:r w:rsidR="00FF1673"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8A7"/>
    <w:multiLevelType w:val="hybridMultilevel"/>
    <w:tmpl w:val="ADD42E08"/>
    <w:lvl w:ilvl="0" w:tplc="9B0CB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C4DCE"/>
    <w:multiLevelType w:val="hybridMultilevel"/>
    <w:tmpl w:val="D4D47A08"/>
    <w:lvl w:ilvl="0" w:tplc="F062A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6F60"/>
    <w:multiLevelType w:val="hybridMultilevel"/>
    <w:tmpl w:val="3232EEBE"/>
    <w:lvl w:ilvl="0" w:tplc="491E84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B2CEC"/>
    <w:multiLevelType w:val="hybridMultilevel"/>
    <w:tmpl w:val="FDB00238"/>
    <w:lvl w:ilvl="0" w:tplc="BD9EF86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BCF"/>
    <w:multiLevelType w:val="hybridMultilevel"/>
    <w:tmpl w:val="3554269C"/>
    <w:lvl w:ilvl="0" w:tplc="F52C1D16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F41FF"/>
    <w:multiLevelType w:val="hybridMultilevel"/>
    <w:tmpl w:val="06ECF1A8"/>
    <w:lvl w:ilvl="0" w:tplc="72161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69B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4D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E1B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445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EB5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2F4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686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A8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F3628E"/>
    <w:multiLevelType w:val="hybridMultilevel"/>
    <w:tmpl w:val="771602E6"/>
    <w:lvl w:ilvl="0" w:tplc="30548F9A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763A7"/>
    <w:multiLevelType w:val="hybridMultilevel"/>
    <w:tmpl w:val="F904BEEC"/>
    <w:lvl w:ilvl="0" w:tplc="E0A2536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A73130"/>
    <w:multiLevelType w:val="hybridMultilevel"/>
    <w:tmpl w:val="65281904"/>
    <w:lvl w:ilvl="0" w:tplc="DF56ABD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451B"/>
    <w:multiLevelType w:val="hybridMultilevel"/>
    <w:tmpl w:val="C1DEF65C"/>
    <w:lvl w:ilvl="0" w:tplc="0E7285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6527">
    <w:abstractNumId w:val="1"/>
  </w:num>
  <w:num w:numId="2" w16cid:durableId="433785663">
    <w:abstractNumId w:val="2"/>
  </w:num>
  <w:num w:numId="3" w16cid:durableId="1729918350">
    <w:abstractNumId w:val="10"/>
  </w:num>
  <w:num w:numId="4" w16cid:durableId="253903565">
    <w:abstractNumId w:val="7"/>
  </w:num>
  <w:num w:numId="5" w16cid:durableId="802504195">
    <w:abstractNumId w:val="3"/>
  </w:num>
  <w:num w:numId="6" w16cid:durableId="197862842">
    <w:abstractNumId w:val="4"/>
  </w:num>
  <w:num w:numId="7" w16cid:durableId="1431047350">
    <w:abstractNumId w:val="6"/>
  </w:num>
  <w:num w:numId="8" w16cid:durableId="1469476053">
    <w:abstractNumId w:val="12"/>
  </w:num>
  <w:num w:numId="9" w16cid:durableId="1848516986">
    <w:abstractNumId w:val="0"/>
  </w:num>
  <w:num w:numId="10" w16cid:durableId="2118717874">
    <w:abstractNumId w:val="9"/>
  </w:num>
  <w:num w:numId="11" w16cid:durableId="185876810">
    <w:abstractNumId w:val="8"/>
  </w:num>
  <w:num w:numId="12" w16cid:durableId="2013485861">
    <w:abstractNumId w:val="5"/>
  </w:num>
  <w:num w:numId="13" w16cid:durableId="754328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email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169"/>
    <w:rsid w:val="000013D3"/>
    <w:rsid w:val="00001E30"/>
    <w:rsid w:val="00004B58"/>
    <w:rsid w:val="00005244"/>
    <w:rsid w:val="00006087"/>
    <w:rsid w:val="00006860"/>
    <w:rsid w:val="00014977"/>
    <w:rsid w:val="0001513F"/>
    <w:rsid w:val="000158F1"/>
    <w:rsid w:val="000162B2"/>
    <w:rsid w:val="00017461"/>
    <w:rsid w:val="00017F00"/>
    <w:rsid w:val="000221D6"/>
    <w:rsid w:val="00023000"/>
    <w:rsid w:val="00026596"/>
    <w:rsid w:val="00032B41"/>
    <w:rsid w:val="00032EF8"/>
    <w:rsid w:val="00033084"/>
    <w:rsid w:val="00034035"/>
    <w:rsid w:val="000349D8"/>
    <w:rsid w:val="00034F87"/>
    <w:rsid w:val="000366C2"/>
    <w:rsid w:val="00036DD3"/>
    <w:rsid w:val="000419CA"/>
    <w:rsid w:val="00044002"/>
    <w:rsid w:val="00044266"/>
    <w:rsid w:val="00044DB3"/>
    <w:rsid w:val="0005001B"/>
    <w:rsid w:val="0005108F"/>
    <w:rsid w:val="0005493C"/>
    <w:rsid w:val="00054E8F"/>
    <w:rsid w:val="00055376"/>
    <w:rsid w:val="00055B74"/>
    <w:rsid w:val="00062A8A"/>
    <w:rsid w:val="00062D67"/>
    <w:rsid w:val="00062DC6"/>
    <w:rsid w:val="000650ED"/>
    <w:rsid w:val="00066333"/>
    <w:rsid w:val="00067501"/>
    <w:rsid w:val="0006786A"/>
    <w:rsid w:val="0007096D"/>
    <w:rsid w:val="00071B9F"/>
    <w:rsid w:val="0007438C"/>
    <w:rsid w:val="000766D5"/>
    <w:rsid w:val="00076970"/>
    <w:rsid w:val="0007755C"/>
    <w:rsid w:val="0008071A"/>
    <w:rsid w:val="0008238B"/>
    <w:rsid w:val="00082CD7"/>
    <w:rsid w:val="00082E1D"/>
    <w:rsid w:val="000831A0"/>
    <w:rsid w:val="0008323B"/>
    <w:rsid w:val="00087711"/>
    <w:rsid w:val="00087849"/>
    <w:rsid w:val="00087A3D"/>
    <w:rsid w:val="00092245"/>
    <w:rsid w:val="00092ACE"/>
    <w:rsid w:val="00093C64"/>
    <w:rsid w:val="00095A11"/>
    <w:rsid w:val="00097B97"/>
    <w:rsid w:val="000A00DE"/>
    <w:rsid w:val="000A086B"/>
    <w:rsid w:val="000A1677"/>
    <w:rsid w:val="000A1D30"/>
    <w:rsid w:val="000A1E1A"/>
    <w:rsid w:val="000A1EA1"/>
    <w:rsid w:val="000A2025"/>
    <w:rsid w:val="000A2144"/>
    <w:rsid w:val="000A2EC0"/>
    <w:rsid w:val="000A337A"/>
    <w:rsid w:val="000A34D4"/>
    <w:rsid w:val="000A5EDA"/>
    <w:rsid w:val="000A6730"/>
    <w:rsid w:val="000A72B8"/>
    <w:rsid w:val="000A7E0A"/>
    <w:rsid w:val="000B1B0C"/>
    <w:rsid w:val="000B27C5"/>
    <w:rsid w:val="000B4814"/>
    <w:rsid w:val="000B6BEC"/>
    <w:rsid w:val="000C1155"/>
    <w:rsid w:val="000C1D98"/>
    <w:rsid w:val="000C2287"/>
    <w:rsid w:val="000C552C"/>
    <w:rsid w:val="000C6B0C"/>
    <w:rsid w:val="000C779F"/>
    <w:rsid w:val="000D0BFE"/>
    <w:rsid w:val="000D12F8"/>
    <w:rsid w:val="000D1977"/>
    <w:rsid w:val="000D2B81"/>
    <w:rsid w:val="000D314F"/>
    <w:rsid w:val="000D5D2B"/>
    <w:rsid w:val="000D7C38"/>
    <w:rsid w:val="000E1A02"/>
    <w:rsid w:val="000E1DF8"/>
    <w:rsid w:val="000E3A69"/>
    <w:rsid w:val="000E5E2A"/>
    <w:rsid w:val="000E7086"/>
    <w:rsid w:val="000F0B99"/>
    <w:rsid w:val="000F34A7"/>
    <w:rsid w:val="000F39C3"/>
    <w:rsid w:val="000F4797"/>
    <w:rsid w:val="000F790F"/>
    <w:rsid w:val="00100481"/>
    <w:rsid w:val="00100B73"/>
    <w:rsid w:val="001045A6"/>
    <w:rsid w:val="00104E9B"/>
    <w:rsid w:val="001058E0"/>
    <w:rsid w:val="00105C84"/>
    <w:rsid w:val="0010643C"/>
    <w:rsid w:val="001064A7"/>
    <w:rsid w:val="0011443F"/>
    <w:rsid w:val="0011497E"/>
    <w:rsid w:val="00114D42"/>
    <w:rsid w:val="00115103"/>
    <w:rsid w:val="00115379"/>
    <w:rsid w:val="00115462"/>
    <w:rsid w:val="00116565"/>
    <w:rsid w:val="00120A0D"/>
    <w:rsid w:val="0012304F"/>
    <w:rsid w:val="001246BC"/>
    <w:rsid w:val="00124A05"/>
    <w:rsid w:val="00124FA1"/>
    <w:rsid w:val="00125474"/>
    <w:rsid w:val="0012566F"/>
    <w:rsid w:val="001262D3"/>
    <w:rsid w:val="00126D6F"/>
    <w:rsid w:val="00127A07"/>
    <w:rsid w:val="001309A9"/>
    <w:rsid w:val="00131552"/>
    <w:rsid w:val="0013261F"/>
    <w:rsid w:val="00134800"/>
    <w:rsid w:val="00135CBF"/>
    <w:rsid w:val="00135CD7"/>
    <w:rsid w:val="001362D6"/>
    <w:rsid w:val="00142834"/>
    <w:rsid w:val="00142FD3"/>
    <w:rsid w:val="00144F4C"/>
    <w:rsid w:val="00146670"/>
    <w:rsid w:val="00146F24"/>
    <w:rsid w:val="00147E43"/>
    <w:rsid w:val="0015008F"/>
    <w:rsid w:val="00150BD1"/>
    <w:rsid w:val="00151610"/>
    <w:rsid w:val="00153984"/>
    <w:rsid w:val="00153D1F"/>
    <w:rsid w:val="00154824"/>
    <w:rsid w:val="00156D1E"/>
    <w:rsid w:val="00156EF2"/>
    <w:rsid w:val="001607D6"/>
    <w:rsid w:val="001610CA"/>
    <w:rsid w:val="001613CA"/>
    <w:rsid w:val="00161A57"/>
    <w:rsid w:val="00161E9D"/>
    <w:rsid w:val="00162CD4"/>
    <w:rsid w:val="001642C0"/>
    <w:rsid w:val="001645F1"/>
    <w:rsid w:val="00164D55"/>
    <w:rsid w:val="00165709"/>
    <w:rsid w:val="00165D62"/>
    <w:rsid w:val="00166404"/>
    <w:rsid w:val="0016743F"/>
    <w:rsid w:val="00174667"/>
    <w:rsid w:val="001766F5"/>
    <w:rsid w:val="001768A6"/>
    <w:rsid w:val="001802DE"/>
    <w:rsid w:val="001828E8"/>
    <w:rsid w:val="0018297A"/>
    <w:rsid w:val="001855FF"/>
    <w:rsid w:val="00186E9F"/>
    <w:rsid w:val="00187BEF"/>
    <w:rsid w:val="00190861"/>
    <w:rsid w:val="001914C2"/>
    <w:rsid w:val="00191CB2"/>
    <w:rsid w:val="00193933"/>
    <w:rsid w:val="00194F73"/>
    <w:rsid w:val="001951E8"/>
    <w:rsid w:val="00195399"/>
    <w:rsid w:val="00195C6D"/>
    <w:rsid w:val="001960B2"/>
    <w:rsid w:val="0019625C"/>
    <w:rsid w:val="0019764B"/>
    <w:rsid w:val="001A19BA"/>
    <w:rsid w:val="001A3800"/>
    <w:rsid w:val="001A7447"/>
    <w:rsid w:val="001A7E43"/>
    <w:rsid w:val="001B33B0"/>
    <w:rsid w:val="001B44EF"/>
    <w:rsid w:val="001B4FA1"/>
    <w:rsid w:val="001B5613"/>
    <w:rsid w:val="001B5FE5"/>
    <w:rsid w:val="001B69C3"/>
    <w:rsid w:val="001B79B9"/>
    <w:rsid w:val="001B7A61"/>
    <w:rsid w:val="001B7FB3"/>
    <w:rsid w:val="001C03DD"/>
    <w:rsid w:val="001C0DF4"/>
    <w:rsid w:val="001C1FEF"/>
    <w:rsid w:val="001C25B6"/>
    <w:rsid w:val="001C297A"/>
    <w:rsid w:val="001C333D"/>
    <w:rsid w:val="001C3443"/>
    <w:rsid w:val="001C48A4"/>
    <w:rsid w:val="001C576C"/>
    <w:rsid w:val="001C7F27"/>
    <w:rsid w:val="001D20AB"/>
    <w:rsid w:val="001D245F"/>
    <w:rsid w:val="001D5BB9"/>
    <w:rsid w:val="001E0DB9"/>
    <w:rsid w:val="001E1D50"/>
    <w:rsid w:val="001E4A94"/>
    <w:rsid w:val="001E4E51"/>
    <w:rsid w:val="001E6405"/>
    <w:rsid w:val="001E6A1E"/>
    <w:rsid w:val="001F5756"/>
    <w:rsid w:val="001F64CB"/>
    <w:rsid w:val="001F6807"/>
    <w:rsid w:val="001F783F"/>
    <w:rsid w:val="001F7C24"/>
    <w:rsid w:val="00202169"/>
    <w:rsid w:val="00202BDA"/>
    <w:rsid w:val="00203F12"/>
    <w:rsid w:val="002050D0"/>
    <w:rsid w:val="00205254"/>
    <w:rsid w:val="00213F46"/>
    <w:rsid w:val="00213FC6"/>
    <w:rsid w:val="00217AD4"/>
    <w:rsid w:val="00217E6B"/>
    <w:rsid w:val="002207A6"/>
    <w:rsid w:val="00221E42"/>
    <w:rsid w:val="00224038"/>
    <w:rsid w:val="00224284"/>
    <w:rsid w:val="00224F0E"/>
    <w:rsid w:val="002401B0"/>
    <w:rsid w:val="002418DB"/>
    <w:rsid w:val="00242192"/>
    <w:rsid w:val="00244B0F"/>
    <w:rsid w:val="00245099"/>
    <w:rsid w:val="0024553D"/>
    <w:rsid w:val="00246F10"/>
    <w:rsid w:val="00247943"/>
    <w:rsid w:val="0025106C"/>
    <w:rsid w:val="002511A0"/>
    <w:rsid w:val="00251963"/>
    <w:rsid w:val="00252997"/>
    <w:rsid w:val="00253ECD"/>
    <w:rsid w:val="00254030"/>
    <w:rsid w:val="00254EB5"/>
    <w:rsid w:val="00261296"/>
    <w:rsid w:val="00261512"/>
    <w:rsid w:val="002624E9"/>
    <w:rsid w:val="002636B5"/>
    <w:rsid w:val="00263F96"/>
    <w:rsid w:val="00264CED"/>
    <w:rsid w:val="00264F1B"/>
    <w:rsid w:val="00266E32"/>
    <w:rsid w:val="00267813"/>
    <w:rsid w:val="00267ACA"/>
    <w:rsid w:val="0027007C"/>
    <w:rsid w:val="002728A8"/>
    <w:rsid w:val="00272A8E"/>
    <w:rsid w:val="00272AB0"/>
    <w:rsid w:val="00273B83"/>
    <w:rsid w:val="0027402B"/>
    <w:rsid w:val="00275FB5"/>
    <w:rsid w:val="0027655E"/>
    <w:rsid w:val="0028253D"/>
    <w:rsid w:val="00282A5F"/>
    <w:rsid w:val="00284DD5"/>
    <w:rsid w:val="002858AE"/>
    <w:rsid w:val="002878FD"/>
    <w:rsid w:val="00292C2B"/>
    <w:rsid w:val="0029614D"/>
    <w:rsid w:val="002A2B40"/>
    <w:rsid w:val="002A2D5A"/>
    <w:rsid w:val="002A2ED6"/>
    <w:rsid w:val="002A3E47"/>
    <w:rsid w:val="002A60DC"/>
    <w:rsid w:val="002A7837"/>
    <w:rsid w:val="002B1A4A"/>
    <w:rsid w:val="002B273C"/>
    <w:rsid w:val="002B3725"/>
    <w:rsid w:val="002B5D56"/>
    <w:rsid w:val="002C063C"/>
    <w:rsid w:val="002C1004"/>
    <w:rsid w:val="002C1871"/>
    <w:rsid w:val="002C2AE2"/>
    <w:rsid w:val="002C4547"/>
    <w:rsid w:val="002C4F14"/>
    <w:rsid w:val="002C5839"/>
    <w:rsid w:val="002C752B"/>
    <w:rsid w:val="002D12BD"/>
    <w:rsid w:val="002D1376"/>
    <w:rsid w:val="002D2DEC"/>
    <w:rsid w:val="002D34FC"/>
    <w:rsid w:val="002D3F33"/>
    <w:rsid w:val="002D4C1A"/>
    <w:rsid w:val="002D57C2"/>
    <w:rsid w:val="002D6131"/>
    <w:rsid w:val="002D615E"/>
    <w:rsid w:val="002D6B03"/>
    <w:rsid w:val="002E1078"/>
    <w:rsid w:val="002E18D7"/>
    <w:rsid w:val="002E1F2F"/>
    <w:rsid w:val="002E39FF"/>
    <w:rsid w:val="002E3DF7"/>
    <w:rsid w:val="002E5008"/>
    <w:rsid w:val="002E732D"/>
    <w:rsid w:val="002E7CA6"/>
    <w:rsid w:val="002F1A0F"/>
    <w:rsid w:val="002F3D6C"/>
    <w:rsid w:val="002F477C"/>
    <w:rsid w:val="002F6016"/>
    <w:rsid w:val="00302451"/>
    <w:rsid w:val="00302716"/>
    <w:rsid w:val="00303B8A"/>
    <w:rsid w:val="00303D8D"/>
    <w:rsid w:val="00303DD6"/>
    <w:rsid w:val="00304E17"/>
    <w:rsid w:val="00310201"/>
    <w:rsid w:val="00310D0B"/>
    <w:rsid w:val="00310ECE"/>
    <w:rsid w:val="003123D0"/>
    <w:rsid w:val="00312467"/>
    <w:rsid w:val="0031389C"/>
    <w:rsid w:val="003152F5"/>
    <w:rsid w:val="00315BAC"/>
    <w:rsid w:val="00315F30"/>
    <w:rsid w:val="003161ED"/>
    <w:rsid w:val="00316A23"/>
    <w:rsid w:val="003172F8"/>
    <w:rsid w:val="00320075"/>
    <w:rsid w:val="00320A31"/>
    <w:rsid w:val="00320A3F"/>
    <w:rsid w:val="003215CA"/>
    <w:rsid w:val="0032171F"/>
    <w:rsid w:val="0032297D"/>
    <w:rsid w:val="0032343F"/>
    <w:rsid w:val="003239D9"/>
    <w:rsid w:val="00324583"/>
    <w:rsid w:val="00325C91"/>
    <w:rsid w:val="00327407"/>
    <w:rsid w:val="00327E59"/>
    <w:rsid w:val="003305B2"/>
    <w:rsid w:val="003306A1"/>
    <w:rsid w:val="00334A50"/>
    <w:rsid w:val="00335332"/>
    <w:rsid w:val="003366D7"/>
    <w:rsid w:val="0033687A"/>
    <w:rsid w:val="00336B96"/>
    <w:rsid w:val="00337931"/>
    <w:rsid w:val="003401BC"/>
    <w:rsid w:val="00343CB8"/>
    <w:rsid w:val="0034583B"/>
    <w:rsid w:val="00346FF6"/>
    <w:rsid w:val="00350D3F"/>
    <w:rsid w:val="00351068"/>
    <w:rsid w:val="00355435"/>
    <w:rsid w:val="0035571B"/>
    <w:rsid w:val="00356262"/>
    <w:rsid w:val="00360F61"/>
    <w:rsid w:val="00361426"/>
    <w:rsid w:val="00361DD8"/>
    <w:rsid w:val="00362759"/>
    <w:rsid w:val="00364050"/>
    <w:rsid w:val="00364371"/>
    <w:rsid w:val="0036442C"/>
    <w:rsid w:val="003654CD"/>
    <w:rsid w:val="00365B2D"/>
    <w:rsid w:val="00365D50"/>
    <w:rsid w:val="003668D4"/>
    <w:rsid w:val="00366C7D"/>
    <w:rsid w:val="00367443"/>
    <w:rsid w:val="00367D3B"/>
    <w:rsid w:val="00367F9E"/>
    <w:rsid w:val="0037051A"/>
    <w:rsid w:val="00370F35"/>
    <w:rsid w:val="003713E7"/>
    <w:rsid w:val="003724E9"/>
    <w:rsid w:val="003727EB"/>
    <w:rsid w:val="0037353B"/>
    <w:rsid w:val="00373AE4"/>
    <w:rsid w:val="00373D9D"/>
    <w:rsid w:val="003745FD"/>
    <w:rsid w:val="00380C99"/>
    <w:rsid w:val="003831B6"/>
    <w:rsid w:val="00383E25"/>
    <w:rsid w:val="003909E1"/>
    <w:rsid w:val="00391FA6"/>
    <w:rsid w:val="00393731"/>
    <w:rsid w:val="003947A8"/>
    <w:rsid w:val="003952ED"/>
    <w:rsid w:val="00395434"/>
    <w:rsid w:val="00395A5D"/>
    <w:rsid w:val="00397D2D"/>
    <w:rsid w:val="00397F9F"/>
    <w:rsid w:val="003A1647"/>
    <w:rsid w:val="003A2F89"/>
    <w:rsid w:val="003A30BE"/>
    <w:rsid w:val="003A5DED"/>
    <w:rsid w:val="003A6E43"/>
    <w:rsid w:val="003A6F74"/>
    <w:rsid w:val="003B29C5"/>
    <w:rsid w:val="003B2E15"/>
    <w:rsid w:val="003B2E74"/>
    <w:rsid w:val="003B3F77"/>
    <w:rsid w:val="003B48EF"/>
    <w:rsid w:val="003B61CD"/>
    <w:rsid w:val="003B6752"/>
    <w:rsid w:val="003C2B53"/>
    <w:rsid w:val="003C2DA2"/>
    <w:rsid w:val="003C3D7F"/>
    <w:rsid w:val="003C4F56"/>
    <w:rsid w:val="003C7352"/>
    <w:rsid w:val="003C7394"/>
    <w:rsid w:val="003D104A"/>
    <w:rsid w:val="003D1132"/>
    <w:rsid w:val="003D14D7"/>
    <w:rsid w:val="003D424E"/>
    <w:rsid w:val="003D5446"/>
    <w:rsid w:val="003D6D17"/>
    <w:rsid w:val="003E0E58"/>
    <w:rsid w:val="003E2BA3"/>
    <w:rsid w:val="003E31EA"/>
    <w:rsid w:val="003E3DCB"/>
    <w:rsid w:val="003E6581"/>
    <w:rsid w:val="003E6B52"/>
    <w:rsid w:val="003E75D1"/>
    <w:rsid w:val="003F1CB9"/>
    <w:rsid w:val="003F2B91"/>
    <w:rsid w:val="003F3510"/>
    <w:rsid w:val="003F618A"/>
    <w:rsid w:val="003F7F31"/>
    <w:rsid w:val="0040072F"/>
    <w:rsid w:val="00401262"/>
    <w:rsid w:val="00401322"/>
    <w:rsid w:val="00402738"/>
    <w:rsid w:val="00404CED"/>
    <w:rsid w:val="00405C26"/>
    <w:rsid w:val="00407468"/>
    <w:rsid w:val="00410C72"/>
    <w:rsid w:val="00416028"/>
    <w:rsid w:val="00416A62"/>
    <w:rsid w:val="00420888"/>
    <w:rsid w:val="00421049"/>
    <w:rsid w:val="0042113A"/>
    <w:rsid w:val="00422611"/>
    <w:rsid w:val="00425C7D"/>
    <w:rsid w:val="004300C6"/>
    <w:rsid w:val="00430E68"/>
    <w:rsid w:val="004333DE"/>
    <w:rsid w:val="00433E42"/>
    <w:rsid w:val="00435968"/>
    <w:rsid w:val="00435AAD"/>
    <w:rsid w:val="00435C21"/>
    <w:rsid w:val="004366A2"/>
    <w:rsid w:val="00437356"/>
    <w:rsid w:val="00437589"/>
    <w:rsid w:val="004401B1"/>
    <w:rsid w:val="004403EB"/>
    <w:rsid w:val="00442322"/>
    <w:rsid w:val="0044304B"/>
    <w:rsid w:val="004475DD"/>
    <w:rsid w:val="00447B3F"/>
    <w:rsid w:val="00453E1C"/>
    <w:rsid w:val="00454547"/>
    <w:rsid w:val="004551CA"/>
    <w:rsid w:val="00455AD4"/>
    <w:rsid w:val="0045664E"/>
    <w:rsid w:val="00457A66"/>
    <w:rsid w:val="0046134F"/>
    <w:rsid w:val="00462589"/>
    <w:rsid w:val="00463781"/>
    <w:rsid w:val="00463F39"/>
    <w:rsid w:val="0047073B"/>
    <w:rsid w:val="00471FFB"/>
    <w:rsid w:val="004728A5"/>
    <w:rsid w:val="00472906"/>
    <w:rsid w:val="00474A86"/>
    <w:rsid w:val="0047616B"/>
    <w:rsid w:val="00476BD0"/>
    <w:rsid w:val="00477857"/>
    <w:rsid w:val="004817D8"/>
    <w:rsid w:val="00483BB7"/>
    <w:rsid w:val="00484A70"/>
    <w:rsid w:val="00484CE4"/>
    <w:rsid w:val="00484DC6"/>
    <w:rsid w:val="00485076"/>
    <w:rsid w:val="004852C9"/>
    <w:rsid w:val="00485870"/>
    <w:rsid w:val="00490B90"/>
    <w:rsid w:val="0049113D"/>
    <w:rsid w:val="0049132F"/>
    <w:rsid w:val="00495A30"/>
    <w:rsid w:val="0049605B"/>
    <w:rsid w:val="0049790B"/>
    <w:rsid w:val="004A03FB"/>
    <w:rsid w:val="004A1724"/>
    <w:rsid w:val="004A2FAE"/>
    <w:rsid w:val="004A6443"/>
    <w:rsid w:val="004A6B15"/>
    <w:rsid w:val="004A7ABD"/>
    <w:rsid w:val="004A7D28"/>
    <w:rsid w:val="004B49EC"/>
    <w:rsid w:val="004B4C95"/>
    <w:rsid w:val="004B4E22"/>
    <w:rsid w:val="004C133B"/>
    <w:rsid w:val="004C1B31"/>
    <w:rsid w:val="004C297A"/>
    <w:rsid w:val="004C389E"/>
    <w:rsid w:val="004C3EBA"/>
    <w:rsid w:val="004C5DF3"/>
    <w:rsid w:val="004C5ED8"/>
    <w:rsid w:val="004C6901"/>
    <w:rsid w:val="004D1CED"/>
    <w:rsid w:val="004D5EDF"/>
    <w:rsid w:val="004D63E3"/>
    <w:rsid w:val="004D6922"/>
    <w:rsid w:val="004D7651"/>
    <w:rsid w:val="004E1A7D"/>
    <w:rsid w:val="004E1AC6"/>
    <w:rsid w:val="004E27AE"/>
    <w:rsid w:val="004E3A25"/>
    <w:rsid w:val="004E3E95"/>
    <w:rsid w:val="004E4AD6"/>
    <w:rsid w:val="004E6615"/>
    <w:rsid w:val="004E6814"/>
    <w:rsid w:val="004F0729"/>
    <w:rsid w:val="004F09E3"/>
    <w:rsid w:val="004F1275"/>
    <w:rsid w:val="004F24F2"/>
    <w:rsid w:val="004F2700"/>
    <w:rsid w:val="004F29DA"/>
    <w:rsid w:val="004F4A74"/>
    <w:rsid w:val="005024DC"/>
    <w:rsid w:val="00503095"/>
    <w:rsid w:val="00504443"/>
    <w:rsid w:val="005044E1"/>
    <w:rsid w:val="00504A5F"/>
    <w:rsid w:val="00505601"/>
    <w:rsid w:val="00505850"/>
    <w:rsid w:val="00505C9C"/>
    <w:rsid w:val="005061AA"/>
    <w:rsid w:val="00506DF1"/>
    <w:rsid w:val="00507B3C"/>
    <w:rsid w:val="0051322A"/>
    <w:rsid w:val="005142C0"/>
    <w:rsid w:val="00517111"/>
    <w:rsid w:val="00520AEA"/>
    <w:rsid w:val="00520BE6"/>
    <w:rsid w:val="00520C82"/>
    <w:rsid w:val="00521B07"/>
    <w:rsid w:val="005228D2"/>
    <w:rsid w:val="00524989"/>
    <w:rsid w:val="00525ABD"/>
    <w:rsid w:val="00525F88"/>
    <w:rsid w:val="0052644D"/>
    <w:rsid w:val="00527304"/>
    <w:rsid w:val="00527C61"/>
    <w:rsid w:val="00532363"/>
    <w:rsid w:val="005354AE"/>
    <w:rsid w:val="00536B9B"/>
    <w:rsid w:val="00537515"/>
    <w:rsid w:val="00537656"/>
    <w:rsid w:val="005376D6"/>
    <w:rsid w:val="00537A4D"/>
    <w:rsid w:val="00537C68"/>
    <w:rsid w:val="00540AD1"/>
    <w:rsid w:val="00545533"/>
    <w:rsid w:val="0054647F"/>
    <w:rsid w:val="0054661B"/>
    <w:rsid w:val="00550C81"/>
    <w:rsid w:val="00551B4C"/>
    <w:rsid w:val="005531EC"/>
    <w:rsid w:val="00553FBC"/>
    <w:rsid w:val="005547BF"/>
    <w:rsid w:val="00554D9D"/>
    <w:rsid w:val="005552E9"/>
    <w:rsid w:val="00555B91"/>
    <w:rsid w:val="00561FE2"/>
    <w:rsid w:val="00562D02"/>
    <w:rsid w:val="0056315C"/>
    <w:rsid w:val="0056335A"/>
    <w:rsid w:val="00563E7E"/>
    <w:rsid w:val="005642DD"/>
    <w:rsid w:val="00564C9B"/>
    <w:rsid w:val="00571647"/>
    <w:rsid w:val="00571819"/>
    <w:rsid w:val="00572DA2"/>
    <w:rsid w:val="00576028"/>
    <w:rsid w:val="005763DB"/>
    <w:rsid w:val="005775FE"/>
    <w:rsid w:val="00577677"/>
    <w:rsid w:val="0058017E"/>
    <w:rsid w:val="00581327"/>
    <w:rsid w:val="00581C97"/>
    <w:rsid w:val="0058265B"/>
    <w:rsid w:val="0058388D"/>
    <w:rsid w:val="005839E3"/>
    <w:rsid w:val="00585A0A"/>
    <w:rsid w:val="00585B36"/>
    <w:rsid w:val="005864AD"/>
    <w:rsid w:val="00587061"/>
    <w:rsid w:val="00587F82"/>
    <w:rsid w:val="00591B8C"/>
    <w:rsid w:val="00593090"/>
    <w:rsid w:val="005954B4"/>
    <w:rsid w:val="00595CAD"/>
    <w:rsid w:val="00596CED"/>
    <w:rsid w:val="005A2501"/>
    <w:rsid w:val="005A2AF1"/>
    <w:rsid w:val="005A3968"/>
    <w:rsid w:val="005A44FF"/>
    <w:rsid w:val="005A5299"/>
    <w:rsid w:val="005A7A4D"/>
    <w:rsid w:val="005A7E70"/>
    <w:rsid w:val="005B006B"/>
    <w:rsid w:val="005B12FA"/>
    <w:rsid w:val="005B1718"/>
    <w:rsid w:val="005B2A69"/>
    <w:rsid w:val="005B4768"/>
    <w:rsid w:val="005B493E"/>
    <w:rsid w:val="005B7249"/>
    <w:rsid w:val="005C01AE"/>
    <w:rsid w:val="005C11B5"/>
    <w:rsid w:val="005C1943"/>
    <w:rsid w:val="005C3C3C"/>
    <w:rsid w:val="005C41EF"/>
    <w:rsid w:val="005C575F"/>
    <w:rsid w:val="005C60BB"/>
    <w:rsid w:val="005C6A0D"/>
    <w:rsid w:val="005C6BBE"/>
    <w:rsid w:val="005C6D52"/>
    <w:rsid w:val="005C6DB6"/>
    <w:rsid w:val="005C7415"/>
    <w:rsid w:val="005D053D"/>
    <w:rsid w:val="005D0910"/>
    <w:rsid w:val="005D42A6"/>
    <w:rsid w:val="005D42B1"/>
    <w:rsid w:val="005D59CD"/>
    <w:rsid w:val="005D738B"/>
    <w:rsid w:val="005E0B44"/>
    <w:rsid w:val="005E1864"/>
    <w:rsid w:val="005E236A"/>
    <w:rsid w:val="005E3B90"/>
    <w:rsid w:val="005E419A"/>
    <w:rsid w:val="005E51FF"/>
    <w:rsid w:val="005E58E1"/>
    <w:rsid w:val="005E5B24"/>
    <w:rsid w:val="005E5B52"/>
    <w:rsid w:val="005E5ECB"/>
    <w:rsid w:val="005E6125"/>
    <w:rsid w:val="005E7020"/>
    <w:rsid w:val="005F084E"/>
    <w:rsid w:val="005F0A8A"/>
    <w:rsid w:val="005F3FF0"/>
    <w:rsid w:val="005F4524"/>
    <w:rsid w:val="005F4ABC"/>
    <w:rsid w:val="005F5EB0"/>
    <w:rsid w:val="005F772B"/>
    <w:rsid w:val="005F7A84"/>
    <w:rsid w:val="0060060A"/>
    <w:rsid w:val="00602381"/>
    <w:rsid w:val="006028B1"/>
    <w:rsid w:val="00602E5F"/>
    <w:rsid w:val="00603141"/>
    <w:rsid w:val="00603B79"/>
    <w:rsid w:val="00603B91"/>
    <w:rsid w:val="00604274"/>
    <w:rsid w:val="0060552B"/>
    <w:rsid w:val="00611326"/>
    <w:rsid w:val="00611C5C"/>
    <w:rsid w:val="00611EFE"/>
    <w:rsid w:val="00612725"/>
    <w:rsid w:val="006146A8"/>
    <w:rsid w:val="00614E76"/>
    <w:rsid w:val="006155CF"/>
    <w:rsid w:val="006160C8"/>
    <w:rsid w:val="00621963"/>
    <w:rsid w:val="006223AD"/>
    <w:rsid w:val="00623B0C"/>
    <w:rsid w:val="006257D7"/>
    <w:rsid w:val="00626065"/>
    <w:rsid w:val="00626382"/>
    <w:rsid w:val="00632A2F"/>
    <w:rsid w:val="00634862"/>
    <w:rsid w:val="00635DD9"/>
    <w:rsid w:val="00635F63"/>
    <w:rsid w:val="00640878"/>
    <w:rsid w:val="00643505"/>
    <w:rsid w:val="0064499D"/>
    <w:rsid w:val="006454CC"/>
    <w:rsid w:val="0064654D"/>
    <w:rsid w:val="0064668C"/>
    <w:rsid w:val="006478ED"/>
    <w:rsid w:val="00647974"/>
    <w:rsid w:val="00650A3A"/>
    <w:rsid w:val="00650A73"/>
    <w:rsid w:val="006529D6"/>
    <w:rsid w:val="00653FBB"/>
    <w:rsid w:val="0065523B"/>
    <w:rsid w:val="0065675B"/>
    <w:rsid w:val="00660A8C"/>
    <w:rsid w:val="0066376E"/>
    <w:rsid w:val="00663D34"/>
    <w:rsid w:val="006642E5"/>
    <w:rsid w:val="0066436B"/>
    <w:rsid w:val="00664659"/>
    <w:rsid w:val="006648C4"/>
    <w:rsid w:val="006669D1"/>
    <w:rsid w:val="00667BA1"/>
    <w:rsid w:val="0067027E"/>
    <w:rsid w:val="00670BEE"/>
    <w:rsid w:val="0067115A"/>
    <w:rsid w:val="0067201E"/>
    <w:rsid w:val="006723C7"/>
    <w:rsid w:val="006733E8"/>
    <w:rsid w:val="006756EC"/>
    <w:rsid w:val="006756FC"/>
    <w:rsid w:val="00675820"/>
    <w:rsid w:val="00675D0C"/>
    <w:rsid w:val="00675EBD"/>
    <w:rsid w:val="00676F20"/>
    <w:rsid w:val="00680B54"/>
    <w:rsid w:val="00682D20"/>
    <w:rsid w:val="0068337D"/>
    <w:rsid w:val="00683E88"/>
    <w:rsid w:val="00685126"/>
    <w:rsid w:val="0068657C"/>
    <w:rsid w:val="006952F0"/>
    <w:rsid w:val="006963D2"/>
    <w:rsid w:val="006973A5"/>
    <w:rsid w:val="00697575"/>
    <w:rsid w:val="006A00DF"/>
    <w:rsid w:val="006A062A"/>
    <w:rsid w:val="006A1E09"/>
    <w:rsid w:val="006A3419"/>
    <w:rsid w:val="006A3C9A"/>
    <w:rsid w:val="006A4148"/>
    <w:rsid w:val="006A437E"/>
    <w:rsid w:val="006A54C3"/>
    <w:rsid w:val="006A5DB5"/>
    <w:rsid w:val="006A640B"/>
    <w:rsid w:val="006A7A3C"/>
    <w:rsid w:val="006A7ECC"/>
    <w:rsid w:val="006B03F0"/>
    <w:rsid w:val="006B19D1"/>
    <w:rsid w:val="006B2ADD"/>
    <w:rsid w:val="006B2CA3"/>
    <w:rsid w:val="006B2F86"/>
    <w:rsid w:val="006B3936"/>
    <w:rsid w:val="006B3B72"/>
    <w:rsid w:val="006B5123"/>
    <w:rsid w:val="006B5EA5"/>
    <w:rsid w:val="006B60A6"/>
    <w:rsid w:val="006B650F"/>
    <w:rsid w:val="006B68CC"/>
    <w:rsid w:val="006B7DE5"/>
    <w:rsid w:val="006C035F"/>
    <w:rsid w:val="006C3AF8"/>
    <w:rsid w:val="006C3BE5"/>
    <w:rsid w:val="006C4385"/>
    <w:rsid w:val="006C5A37"/>
    <w:rsid w:val="006C6CFF"/>
    <w:rsid w:val="006C6D8D"/>
    <w:rsid w:val="006C6DCB"/>
    <w:rsid w:val="006C7AFD"/>
    <w:rsid w:val="006D0B7D"/>
    <w:rsid w:val="006D1635"/>
    <w:rsid w:val="006D182D"/>
    <w:rsid w:val="006D23EF"/>
    <w:rsid w:val="006D3D9F"/>
    <w:rsid w:val="006D5E66"/>
    <w:rsid w:val="006D7467"/>
    <w:rsid w:val="006D74B0"/>
    <w:rsid w:val="006D7A25"/>
    <w:rsid w:val="006E0634"/>
    <w:rsid w:val="006E0B29"/>
    <w:rsid w:val="006E0DB3"/>
    <w:rsid w:val="006E18EC"/>
    <w:rsid w:val="006E1DBB"/>
    <w:rsid w:val="006E27F8"/>
    <w:rsid w:val="006E335A"/>
    <w:rsid w:val="006E3A3B"/>
    <w:rsid w:val="006E6C76"/>
    <w:rsid w:val="006E7261"/>
    <w:rsid w:val="006F0636"/>
    <w:rsid w:val="006F0FDF"/>
    <w:rsid w:val="006F4A34"/>
    <w:rsid w:val="006F5022"/>
    <w:rsid w:val="007000AB"/>
    <w:rsid w:val="0070077F"/>
    <w:rsid w:val="00700BFA"/>
    <w:rsid w:val="00704FBA"/>
    <w:rsid w:val="00705401"/>
    <w:rsid w:val="007075B3"/>
    <w:rsid w:val="00710350"/>
    <w:rsid w:val="007201F3"/>
    <w:rsid w:val="007204F9"/>
    <w:rsid w:val="00720B0E"/>
    <w:rsid w:val="00722BC3"/>
    <w:rsid w:val="007243C9"/>
    <w:rsid w:val="00724502"/>
    <w:rsid w:val="007251C1"/>
    <w:rsid w:val="00725295"/>
    <w:rsid w:val="00725BE6"/>
    <w:rsid w:val="00726439"/>
    <w:rsid w:val="007270C0"/>
    <w:rsid w:val="00730B38"/>
    <w:rsid w:val="00732A91"/>
    <w:rsid w:val="0073410F"/>
    <w:rsid w:val="00734471"/>
    <w:rsid w:val="007366FE"/>
    <w:rsid w:val="007403DA"/>
    <w:rsid w:val="00742303"/>
    <w:rsid w:val="00742971"/>
    <w:rsid w:val="00743530"/>
    <w:rsid w:val="0074441D"/>
    <w:rsid w:val="00744504"/>
    <w:rsid w:val="00744C93"/>
    <w:rsid w:val="00746582"/>
    <w:rsid w:val="00747A85"/>
    <w:rsid w:val="00747C2E"/>
    <w:rsid w:val="0075147D"/>
    <w:rsid w:val="00751801"/>
    <w:rsid w:val="00752180"/>
    <w:rsid w:val="0075302C"/>
    <w:rsid w:val="00754744"/>
    <w:rsid w:val="0075587C"/>
    <w:rsid w:val="00755B46"/>
    <w:rsid w:val="007560A8"/>
    <w:rsid w:val="00757607"/>
    <w:rsid w:val="00757E86"/>
    <w:rsid w:val="00757EA3"/>
    <w:rsid w:val="00760C39"/>
    <w:rsid w:val="00761A85"/>
    <w:rsid w:val="00761C3F"/>
    <w:rsid w:val="0076384E"/>
    <w:rsid w:val="007642B3"/>
    <w:rsid w:val="007656CF"/>
    <w:rsid w:val="00766022"/>
    <w:rsid w:val="00766D42"/>
    <w:rsid w:val="007673D0"/>
    <w:rsid w:val="0077118A"/>
    <w:rsid w:val="007725F7"/>
    <w:rsid w:val="00772999"/>
    <w:rsid w:val="00772E8C"/>
    <w:rsid w:val="00773BB4"/>
    <w:rsid w:val="00774F0B"/>
    <w:rsid w:val="00777FD3"/>
    <w:rsid w:val="00781826"/>
    <w:rsid w:val="007836B5"/>
    <w:rsid w:val="00783B41"/>
    <w:rsid w:val="00785CFA"/>
    <w:rsid w:val="00786866"/>
    <w:rsid w:val="00790AE2"/>
    <w:rsid w:val="007948B6"/>
    <w:rsid w:val="00794DCF"/>
    <w:rsid w:val="00794FB6"/>
    <w:rsid w:val="00796120"/>
    <w:rsid w:val="0079753B"/>
    <w:rsid w:val="007A1BB8"/>
    <w:rsid w:val="007A35E0"/>
    <w:rsid w:val="007A6FBF"/>
    <w:rsid w:val="007A7909"/>
    <w:rsid w:val="007A7D73"/>
    <w:rsid w:val="007B02A8"/>
    <w:rsid w:val="007B17AD"/>
    <w:rsid w:val="007B5891"/>
    <w:rsid w:val="007B5D5A"/>
    <w:rsid w:val="007B5FE5"/>
    <w:rsid w:val="007B657D"/>
    <w:rsid w:val="007C0171"/>
    <w:rsid w:val="007C1FCA"/>
    <w:rsid w:val="007C2872"/>
    <w:rsid w:val="007C2F0D"/>
    <w:rsid w:val="007C4A76"/>
    <w:rsid w:val="007C4C83"/>
    <w:rsid w:val="007C5704"/>
    <w:rsid w:val="007C58D4"/>
    <w:rsid w:val="007C64E9"/>
    <w:rsid w:val="007D02A1"/>
    <w:rsid w:val="007D1A1C"/>
    <w:rsid w:val="007D4025"/>
    <w:rsid w:val="007D4AC5"/>
    <w:rsid w:val="007D52B7"/>
    <w:rsid w:val="007D666C"/>
    <w:rsid w:val="007D6C66"/>
    <w:rsid w:val="007E029B"/>
    <w:rsid w:val="007E0BF1"/>
    <w:rsid w:val="007E0CE4"/>
    <w:rsid w:val="007E2C86"/>
    <w:rsid w:val="007E33A6"/>
    <w:rsid w:val="007E37FD"/>
    <w:rsid w:val="007E4E82"/>
    <w:rsid w:val="007E5F13"/>
    <w:rsid w:val="007E78B4"/>
    <w:rsid w:val="007E7B36"/>
    <w:rsid w:val="007F07AB"/>
    <w:rsid w:val="007F0A89"/>
    <w:rsid w:val="007F10A4"/>
    <w:rsid w:val="007F16CA"/>
    <w:rsid w:val="007F1F07"/>
    <w:rsid w:val="007F2D02"/>
    <w:rsid w:val="007F40D6"/>
    <w:rsid w:val="007F45C8"/>
    <w:rsid w:val="007F61C7"/>
    <w:rsid w:val="007F6300"/>
    <w:rsid w:val="00801132"/>
    <w:rsid w:val="008030F5"/>
    <w:rsid w:val="00803E55"/>
    <w:rsid w:val="0080505A"/>
    <w:rsid w:val="0080589F"/>
    <w:rsid w:val="00805B5F"/>
    <w:rsid w:val="00805FC0"/>
    <w:rsid w:val="00806205"/>
    <w:rsid w:val="008066BB"/>
    <w:rsid w:val="00806F9C"/>
    <w:rsid w:val="00807F85"/>
    <w:rsid w:val="008102BB"/>
    <w:rsid w:val="00811FE2"/>
    <w:rsid w:val="0081429A"/>
    <w:rsid w:val="00816AF0"/>
    <w:rsid w:val="008175B9"/>
    <w:rsid w:val="00821693"/>
    <w:rsid w:val="0082348D"/>
    <w:rsid w:val="008268CD"/>
    <w:rsid w:val="008270D7"/>
    <w:rsid w:val="008315F2"/>
    <w:rsid w:val="00833844"/>
    <w:rsid w:val="0083413A"/>
    <w:rsid w:val="00835E99"/>
    <w:rsid w:val="008404DA"/>
    <w:rsid w:val="008454CD"/>
    <w:rsid w:val="008456CB"/>
    <w:rsid w:val="00846667"/>
    <w:rsid w:val="008466DF"/>
    <w:rsid w:val="00847E22"/>
    <w:rsid w:val="00850043"/>
    <w:rsid w:val="00851A29"/>
    <w:rsid w:val="00851DC6"/>
    <w:rsid w:val="0085398E"/>
    <w:rsid w:val="00854190"/>
    <w:rsid w:val="00855C1D"/>
    <w:rsid w:val="00856019"/>
    <w:rsid w:val="00857D12"/>
    <w:rsid w:val="008611A0"/>
    <w:rsid w:val="00862465"/>
    <w:rsid w:val="00864495"/>
    <w:rsid w:val="00864784"/>
    <w:rsid w:val="00864AC0"/>
    <w:rsid w:val="008659F5"/>
    <w:rsid w:val="008667B0"/>
    <w:rsid w:val="008676B2"/>
    <w:rsid w:val="00870102"/>
    <w:rsid w:val="00870714"/>
    <w:rsid w:val="00870D1C"/>
    <w:rsid w:val="00871DD4"/>
    <w:rsid w:val="008722D9"/>
    <w:rsid w:val="00872847"/>
    <w:rsid w:val="00872976"/>
    <w:rsid w:val="00873666"/>
    <w:rsid w:val="008743BF"/>
    <w:rsid w:val="0087441A"/>
    <w:rsid w:val="00877D52"/>
    <w:rsid w:val="00881CB5"/>
    <w:rsid w:val="00881D23"/>
    <w:rsid w:val="008820E6"/>
    <w:rsid w:val="00882583"/>
    <w:rsid w:val="008825F4"/>
    <w:rsid w:val="0088279B"/>
    <w:rsid w:val="00884E72"/>
    <w:rsid w:val="008857AA"/>
    <w:rsid w:val="0089060C"/>
    <w:rsid w:val="00890D45"/>
    <w:rsid w:val="00891074"/>
    <w:rsid w:val="008910AF"/>
    <w:rsid w:val="00892903"/>
    <w:rsid w:val="00892B10"/>
    <w:rsid w:val="00893782"/>
    <w:rsid w:val="00893FAA"/>
    <w:rsid w:val="00895ED5"/>
    <w:rsid w:val="00895EF3"/>
    <w:rsid w:val="00897332"/>
    <w:rsid w:val="008A0F96"/>
    <w:rsid w:val="008A1BEE"/>
    <w:rsid w:val="008A21AE"/>
    <w:rsid w:val="008A304A"/>
    <w:rsid w:val="008A389F"/>
    <w:rsid w:val="008A3A35"/>
    <w:rsid w:val="008A531D"/>
    <w:rsid w:val="008A594F"/>
    <w:rsid w:val="008B0EB9"/>
    <w:rsid w:val="008B1328"/>
    <w:rsid w:val="008B3232"/>
    <w:rsid w:val="008B3FEF"/>
    <w:rsid w:val="008B6D55"/>
    <w:rsid w:val="008C3B72"/>
    <w:rsid w:val="008C3E6D"/>
    <w:rsid w:val="008C4379"/>
    <w:rsid w:val="008C5FB5"/>
    <w:rsid w:val="008C67EB"/>
    <w:rsid w:val="008C782F"/>
    <w:rsid w:val="008C7E08"/>
    <w:rsid w:val="008D0F71"/>
    <w:rsid w:val="008D1230"/>
    <w:rsid w:val="008D2512"/>
    <w:rsid w:val="008D487B"/>
    <w:rsid w:val="008D49F6"/>
    <w:rsid w:val="008D5313"/>
    <w:rsid w:val="008D576F"/>
    <w:rsid w:val="008D6C27"/>
    <w:rsid w:val="008D7CA2"/>
    <w:rsid w:val="008E02B4"/>
    <w:rsid w:val="008E0A13"/>
    <w:rsid w:val="008E1318"/>
    <w:rsid w:val="008E1BD7"/>
    <w:rsid w:val="008E265E"/>
    <w:rsid w:val="008E31EC"/>
    <w:rsid w:val="008E48CE"/>
    <w:rsid w:val="008E56B6"/>
    <w:rsid w:val="008F06AA"/>
    <w:rsid w:val="008F11D5"/>
    <w:rsid w:val="008F472D"/>
    <w:rsid w:val="008F621B"/>
    <w:rsid w:val="008F659D"/>
    <w:rsid w:val="008F69D5"/>
    <w:rsid w:val="008F6F41"/>
    <w:rsid w:val="0090211A"/>
    <w:rsid w:val="009025CC"/>
    <w:rsid w:val="00903A4E"/>
    <w:rsid w:val="009047C8"/>
    <w:rsid w:val="00904D42"/>
    <w:rsid w:val="0090528F"/>
    <w:rsid w:val="009065D8"/>
    <w:rsid w:val="00906FDC"/>
    <w:rsid w:val="00907436"/>
    <w:rsid w:val="00907818"/>
    <w:rsid w:val="009100B7"/>
    <w:rsid w:val="00910CBA"/>
    <w:rsid w:val="00912FA3"/>
    <w:rsid w:val="00912FEF"/>
    <w:rsid w:val="009139AF"/>
    <w:rsid w:val="00914FD1"/>
    <w:rsid w:val="00915B01"/>
    <w:rsid w:val="00915CEC"/>
    <w:rsid w:val="0091603D"/>
    <w:rsid w:val="009224FC"/>
    <w:rsid w:val="00926110"/>
    <w:rsid w:val="009263C2"/>
    <w:rsid w:val="009308CD"/>
    <w:rsid w:val="00930E42"/>
    <w:rsid w:val="009330DE"/>
    <w:rsid w:val="009331BD"/>
    <w:rsid w:val="00934899"/>
    <w:rsid w:val="009358CC"/>
    <w:rsid w:val="00937940"/>
    <w:rsid w:val="009420E7"/>
    <w:rsid w:val="009430BD"/>
    <w:rsid w:val="00943C78"/>
    <w:rsid w:val="00943FFA"/>
    <w:rsid w:val="00944D10"/>
    <w:rsid w:val="00945AF2"/>
    <w:rsid w:val="009471C7"/>
    <w:rsid w:val="00947AC8"/>
    <w:rsid w:val="00947BA5"/>
    <w:rsid w:val="00950AD8"/>
    <w:rsid w:val="00951A46"/>
    <w:rsid w:val="0095568B"/>
    <w:rsid w:val="009563E8"/>
    <w:rsid w:val="009573F6"/>
    <w:rsid w:val="00957974"/>
    <w:rsid w:val="00957FF9"/>
    <w:rsid w:val="00960232"/>
    <w:rsid w:val="00961386"/>
    <w:rsid w:val="00962A49"/>
    <w:rsid w:val="009638B3"/>
    <w:rsid w:val="00970450"/>
    <w:rsid w:val="00970853"/>
    <w:rsid w:val="0097099D"/>
    <w:rsid w:val="00975546"/>
    <w:rsid w:val="00976AD3"/>
    <w:rsid w:val="00977317"/>
    <w:rsid w:val="009774DC"/>
    <w:rsid w:val="00977832"/>
    <w:rsid w:val="009808F6"/>
    <w:rsid w:val="0098288C"/>
    <w:rsid w:val="00983579"/>
    <w:rsid w:val="0098366D"/>
    <w:rsid w:val="009836A6"/>
    <w:rsid w:val="0098573B"/>
    <w:rsid w:val="00996EDA"/>
    <w:rsid w:val="009977AA"/>
    <w:rsid w:val="009A05A6"/>
    <w:rsid w:val="009A1DCA"/>
    <w:rsid w:val="009A24CC"/>
    <w:rsid w:val="009A3086"/>
    <w:rsid w:val="009A4429"/>
    <w:rsid w:val="009A4D08"/>
    <w:rsid w:val="009A5048"/>
    <w:rsid w:val="009A515B"/>
    <w:rsid w:val="009A6092"/>
    <w:rsid w:val="009A6859"/>
    <w:rsid w:val="009A7905"/>
    <w:rsid w:val="009B0181"/>
    <w:rsid w:val="009B4613"/>
    <w:rsid w:val="009B4FEE"/>
    <w:rsid w:val="009B6DA6"/>
    <w:rsid w:val="009B7C12"/>
    <w:rsid w:val="009B7D7F"/>
    <w:rsid w:val="009C181E"/>
    <w:rsid w:val="009C4DDF"/>
    <w:rsid w:val="009C5136"/>
    <w:rsid w:val="009C63C2"/>
    <w:rsid w:val="009C6555"/>
    <w:rsid w:val="009D150F"/>
    <w:rsid w:val="009D5E6C"/>
    <w:rsid w:val="009D73C5"/>
    <w:rsid w:val="009E2261"/>
    <w:rsid w:val="009E2662"/>
    <w:rsid w:val="009E36B5"/>
    <w:rsid w:val="009E3AA1"/>
    <w:rsid w:val="009F012D"/>
    <w:rsid w:val="009F0CA8"/>
    <w:rsid w:val="009F1744"/>
    <w:rsid w:val="009F1949"/>
    <w:rsid w:val="009F1A8B"/>
    <w:rsid w:val="009F4198"/>
    <w:rsid w:val="009F569C"/>
    <w:rsid w:val="009F5B5C"/>
    <w:rsid w:val="009F5C2E"/>
    <w:rsid w:val="009F7CC2"/>
    <w:rsid w:val="00A00BF5"/>
    <w:rsid w:val="00A01EB4"/>
    <w:rsid w:val="00A020B8"/>
    <w:rsid w:val="00A02527"/>
    <w:rsid w:val="00A0532F"/>
    <w:rsid w:val="00A06127"/>
    <w:rsid w:val="00A071F3"/>
    <w:rsid w:val="00A07E80"/>
    <w:rsid w:val="00A1037F"/>
    <w:rsid w:val="00A10A9C"/>
    <w:rsid w:val="00A114A1"/>
    <w:rsid w:val="00A12522"/>
    <w:rsid w:val="00A144A3"/>
    <w:rsid w:val="00A14650"/>
    <w:rsid w:val="00A14763"/>
    <w:rsid w:val="00A16762"/>
    <w:rsid w:val="00A1688A"/>
    <w:rsid w:val="00A177F0"/>
    <w:rsid w:val="00A22DEF"/>
    <w:rsid w:val="00A22F5D"/>
    <w:rsid w:val="00A2430B"/>
    <w:rsid w:val="00A257D9"/>
    <w:rsid w:val="00A25F05"/>
    <w:rsid w:val="00A26182"/>
    <w:rsid w:val="00A26EDB"/>
    <w:rsid w:val="00A2750F"/>
    <w:rsid w:val="00A278C7"/>
    <w:rsid w:val="00A414E1"/>
    <w:rsid w:val="00A41BA7"/>
    <w:rsid w:val="00A42EAA"/>
    <w:rsid w:val="00A43387"/>
    <w:rsid w:val="00A43682"/>
    <w:rsid w:val="00A46AFF"/>
    <w:rsid w:val="00A4779D"/>
    <w:rsid w:val="00A50114"/>
    <w:rsid w:val="00A51840"/>
    <w:rsid w:val="00A520B1"/>
    <w:rsid w:val="00A55739"/>
    <w:rsid w:val="00A60208"/>
    <w:rsid w:val="00A60B81"/>
    <w:rsid w:val="00A6286E"/>
    <w:rsid w:val="00A6400E"/>
    <w:rsid w:val="00A64535"/>
    <w:rsid w:val="00A666C1"/>
    <w:rsid w:val="00A7019E"/>
    <w:rsid w:val="00A70AFB"/>
    <w:rsid w:val="00A7149F"/>
    <w:rsid w:val="00A71A8B"/>
    <w:rsid w:val="00A71F9A"/>
    <w:rsid w:val="00A72EC7"/>
    <w:rsid w:val="00A73218"/>
    <w:rsid w:val="00A732A1"/>
    <w:rsid w:val="00A757DD"/>
    <w:rsid w:val="00A80ECC"/>
    <w:rsid w:val="00A81442"/>
    <w:rsid w:val="00A84275"/>
    <w:rsid w:val="00A85E41"/>
    <w:rsid w:val="00A8617F"/>
    <w:rsid w:val="00A8750A"/>
    <w:rsid w:val="00A87E96"/>
    <w:rsid w:val="00A90878"/>
    <w:rsid w:val="00A908BE"/>
    <w:rsid w:val="00A9273C"/>
    <w:rsid w:val="00A928C2"/>
    <w:rsid w:val="00A929EE"/>
    <w:rsid w:val="00A941CA"/>
    <w:rsid w:val="00A95C21"/>
    <w:rsid w:val="00A97B14"/>
    <w:rsid w:val="00AA0055"/>
    <w:rsid w:val="00AA0A59"/>
    <w:rsid w:val="00AA1435"/>
    <w:rsid w:val="00AA16B8"/>
    <w:rsid w:val="00AA24D9"/>
    <w:rsid w:val="00AA2604"/>
    <w:rsid w:val="00AA2D4E"/>
    <w:rsid w:val="00AA3035"/>
    <w:rsid w:val="00AA6103"/>
    <w:rsid w:val="00AA6453"/>
    <w:rsid w:val="00AA66C1"/>
    <w:rsid w:val="00AA6BA4"/>
    <w:rsid w:val="00AB018D"/>
    <w:rsid w:val="00AB0580"/>
    <w:rsid w:val="00AB12AC"/>
    <w:rsid w:val="00AB1947"/>
    <w:rsid w:val="00AB24BA"/>
    <w:rsid w:val="00AB342B"/>
    <w:rsid w:val="00AB352D"/>
    <w:rsid w:val="00AB36AC"/>
    <w:rsid w:val="00AB39A4"/>
    <w:rsid w:val="00AB4419"/>
    <w:rsid w:val="00AC08E3"/>
    <w:rsid w:val="00AC0E0C"/>
    <w:rsid w:val="00AC1037"/>
    <w:rsid w:val="00AC12D8"/>
    <w:rsid w:val="00AC3C60"/>
    <w:rsid w:val="00AC57E5"/>
    <w:rsid w:val="00AC5A00"/>
    <w:rsid w:val="00AC75B5"/>
    <w:rsid w:val="00AD068B"/>
    <w:rsid w:val="00AD0B10"/>
    <w:rsid w:val="00AD2C6F"/>
    <w:rsid w:val="00AD4CC5"/>
    <w:rsid w:val="00AE125F"/>
    <w:rsid w:val="00AE1994"/>
    <w:rsid w:val="00AE3164"/>
    <w:rsid w:val="00AE69C7"/>
    <w:rsid w:val="00AF11ED"/>
    <w:rsid w:val="00AF218D"/>
    <w:rsid w:val="00AF36FE"/>
    <w:rsid w:val="00AF38C7"/>
    <w:rsid w:val="00AF3F59"/>
    <w:rsid w:val="00AF4DF3"/>
    <w:rsid w:val="00B03E8F"/>
    <w:rsid w:val="00B04775"/>
    <w:rsid w:val="00B05188"/>
    <w:rsid w:val="00B05DAB"/>
    <w:rsid w:val="00B067AB"/>
    <w:rsid w:val="00B06E15"/>
    <w:rsid w:val="00B07CAE"/>
    <w:rsid w:val="00B10A25"/>
    <w:rsid w:val="00B10C17"/>
    <w:rsid w:val="00B10FE5"/>
    <w:rsid w:val="00B11E30"/>
    <w:rsid w:val="00B13428"/>
    <w:rsid w:val="00B16925"/>
    <w:rsid w:val="00B16F18"/>
    <w:rsid w:val="00B1705E"/>
    <w:rsid w:val="00B20BCD"/>
    <w:rsid w:val="00B22F63"/>
    <w:rsid w:val="00B235CA"/>
    <w:rsid w:val="00B2588D"/>
    <w:rsid w:val="00B25E96"/>
    <w:rsid w:val="00B2642F"/>
    <w:rsid w:val="00B2720B"/>
    <w:rsid w:val="00B27646"/>
    <w:rsid w:val="00B3003D"/>
    <w:rsid w:val="00B30573"/>
    <w:rsid w:val="00B3068D"/>
    <w:rsid w:val="00B32114"/>
    <w:rsid w:val="00B3228D"/>
    <w:rsid w:val="00B33525"/>
    <w:rsid w:val="00B337FB"/>
    <w:rsid w:val="00B34EF4"/>
    <w:rsid w:val="00B36071"/>
    <w:rsid w:val="00B403E8"/>
    <w:rsid w:val="00B4285D"/>
    <w:rsid w:val="00B4316B"/>
    <w:rsid w:val="00B44088"/>
    <w:rsid w:val="00B445A6"/>
    <w:rsid w:val="00B447B3"/>
    <w:rsid w:val="00B45293"/>
    <w:rsid w:val="00B461D8"/>
    <w:rsid w:val="00B4671E"/>
    <w:rsid w:val="00B4716E"/>
    <w:rsid w:val="00B506AC"/>
    <w:rsid w:val="00B5087D"/>
    <w:rsid w:val="00B518BF"/>
    <w:rsid w:val="00B52170"/>
    <w:rsid w:val="00B521E9"/>
    <w:rsid w:val="00B547AE"/>
    <w:rsid w:val="00B551C7"/>
    <w:rsid w:val="00B56AE5"/>
    <w:rsid w:val="00B57E29"/>
    <w:rsid w:val="00B639BE"/>
    <w:rsid w:val="00B63AFC"/>
    <w:rsid w:val="00B64423"/>
    <w:rsid w:val="00B64486"/>
    <w:rsid w:val="00B65809"/>
    <w:rsid w:val="00B717E7"/>
    <w:rsid w:val="00B729D5"/>
    <w:rsid w:val="00B7479B"/>
    <w:rsid w:val="00B74A72"/>
    <w:rsid w:val="00B76371"/>
    <w:rsid w:val="00B8098A"/>
    <w:rsid w:val="00B80CC0"/>
    <w:rsid w:val="00B82C4A"/>
    <w:rsid w:val="00B83E9D"/>
    <w:rsid w:val="00B8455A"/>
    <w:rsid w:val="00B85767"/>
    <w:rsid w:val="00B858E0"/>
    <w:rsid w:val="00B87B58"/>
    <w:rsid w:val="00B87C49"/>
    <w:rsid w:val="00B93346"/>
    <w:rsid w:val="00B941DB"/>
    <w:rsid w:val="00B95673"/>
    <w:rsid w:val="00B960DB"/>
    <w:rsid w:val="00B9723F"/>
    <w:rsid w:val="00B97579"/>
    <w:rsid w:val="00B97D6A"/>
    <w:rsid w:val="00BA0841"/>
    <w:rsid w:val="00BA172A"/>
    <w:rsid w:val="00BA49C9"/>
    <w:rsid w:val="00BA4F26"/>
    <w:rsid w:val="00BA56E2"/>
    <w:rsid w:val="00BA5EDD"/>
    <w:rsid w:val="00BB1FC3"/>
    <w:rsid w:val="00BB3F99"/>
    <w:rsid w:val="00BB5FA5"/>
    <w:rsid w:val="00BB751C"/>
    <w:rsid w:val="00BC0374"/>
    <w:rsid w:val="00BC15D2"/>
    <w:rsid w:val="00BC3556"/>
    <w:rsid w:val="00BC3E1C"/>
    <w:rsid w:val="00BC61FC"/>
    <w:rsid w:val="00BC646D"/>
    <w:rsid w:val="00BD1211"/>
    <w:rsid w:val="00BD42F8"/>
    <w:rsid w:val="00BD4DA9"/>
    <w:rsid w:val="00BD51B7"/>
    <w:rsid w:val="00BD55D6"/>
    <w:rsid w:val="00BD64FB"/>
    <w:rsid w:val="00BD6A3F"/>
    <w:rsid w:val="00BD7B5A"/>
    <w:rsid w:val="00BD7BF3"/>
    <w:rsid w:val="00BE1009"/>
    <w:rsid w:val="00BE143A"/>
    <w:rsid w:val="00BE4AFD"/>
    <w:rsid w:val="00BF0D5A"/>
    <w:rsid w:val="00BF1E98"/>
    <w:rsid w:val="00BF48A4"/>
    <w:rsid w:val="00BF58BD"/>
    <w:rsid w:val="00BF590E"/>
    <w:rsid w:val="00BF5C5A"/>
    <w:rsid w:val="00BF73F4"/>
    <w:rsid w:val="00C019C0"/>
    <w:rsid w:val="00C01A39"/>
    <w:rsid w:val="00C01CB1"/>
    <w:rsid w:val="00C01FF9"/>
    <w:rsid w:val="00C04531"/>
    <w:rsid w:val="00C05636"/>
    <w:rsid w:val="00C05857"/>
    <w:rsid w:val="00C0609E"/>
    <w:rsid w:val="00C10771"/>
    <w:rsid w:val="00C1402D"/>
    <w:rsid w:val="00C154B0"/>
    <w:rsid w:val="00C15C17"/>
    <w:rsid w:val="00C168B8"/>
    <w:rsid w:val="00C16997"/>
    <w:rsid w:val="00C17244"/>
    <w:rsid w:val="00C212A4"/>
    <w:rsid w:val="00C224C2"/>
    <w:rsid w:val="00C23A88"/>
    <w:rsid w:val="00C253FE"/>
    <w:rsid w:val="00C25EA6"/>
    <w:rsid w:val="00C26803"/>
    <w:rsid w:val="00C311F5"/>
    <w:rsid w:val="00C31BC2"/>
    <w:rsid w:val="00C31CD3"/>
    <w:rsid w:val="00C320FB"/>
    <w:rsid w:val="00C322BF"/>
    <w:rsid w:val="00C33B31"/>
    <w:rsid w:val="00C35854"/>
    <w:rsid w:val="00C35F67"/>
    <w:rsid w:val="00C407F3"/>
    <w:rsid w:val="00C4207F"/>
    <w:rsid w:val="00C46358"/>
    <w:rsid w:val="00C4653C"/>
    <w:rsid w:val="00C50104"/>
    <w:rsid w:val="00C50233"/>
    <w:rsid w:val="00C50E1A"/>
    <w:rsid w:val="00C53046"/>
    <w:rsid w:val="00C53807"/>
    <w:rsid w:val="00C53C29"/>
    <w:rsid w:val="00C552C2"/>
    <w:rsid w:val="00C60A8B"/>
    <w:rsid w:val="00C617BE"/>
    <w:rsid w:val="00C62B5E"/>
    <w:rsid w:val="00C62C4C"/>
    <w:rsid w:val="00C64001"/>
    <w:rsid w:val="00C64546"/>
    <w:rsid w:val="00C65737"/>
    <w:rsid w:val="00C659ED"/>
    <w:rsid w:val="00C65E53"/>
    <w:rsid w:val="00C66678"/>
    <w:rsid w:val="00C66EF2"/>
    <w:rsid w:val="00C6774E"/>
    <w:rsid w:val="00C70439"/>
    <w:rsid w:val="00C71B8F"/>
    <w:rsid w:val="00C720E9"/>
    <w:rsid w:val="00C7355E"/>
    <w:rsid w:val="00C73708"/>
    <w:rsid w:val="00C7383D"/>
    <w:rsid w:val="00C74048"/>
    <w:rsid w:val="00C745AE"/>
    <w:rsid w:val="00C74E3F"/>
    <w:rsid w:val="00C77572"/>
    <w:rsid w:val="00C77948"/>
    <w:rsid w:val="00C83793"/>
    <w:rsid w:val="00C84C93"/>
    <w:rsid w:val="00C8570C"/>
    <w:rsid w:val="00C867C8"/>
    <w:rsid w:val="00C900FE"/>
    <w:rsid w:val="00C92683"/>
    <w:rsid w:val="00C92B88"/>
    <w:rsid w:val="00C93158"/>
    <w:rsid w:val="00C93EFF"/>
    <w:rsid w:val="00C94438"/>
    <w:rsid w:val="00C94867"/>
    <w:rsid w:val="00C94C33"/>
    <w:rsid w:val="00C94DCE"/>
    <w:rsid w:val="00C94E04"/>
    <w:rsid w:val="00C9579A"/>
    <w:rsid w:val="00C9744E"/>
    <w:rsid w:val="00C975C9"/>
    <w:rsid w:val="00C97815"/>
    <w:rsid w:val="00CA0CF8"/>
    <w:rsid w:val="00CA1CBA"/>
    <w:rsid w:val="00CA3DD4"/>
    <w:rsid w:val="00CA69A8"/>
    <w:rsid w:val="00CA6B72"/>
    <w:rsid w:val="00CA7415"/>
    <w:rsid w:val="00CA74FD"/>
    <w:rsid w:val="00CA7866"/>
    <w:rsid w:val="00CB0619"/>
    <w:rsid w:val="00CB0FD3"/>
    <w:rsid w:val="00CB1B94"/>
    <w:rsid w:val="00CB1D5F"/>
    <w:rsid w:val="00CB1D9D"/>
    <w:rsid w:val="00CB2CC6"/>
    <w:rsid w:val="00CB3A76"/>
    <w:rsid w:val="00CB5392"/>
    <w:rsid w:val="00CB5C47"/>
    <w:rsid w:val="00CB608D"/>
    <w:rsid w:val="00CB6D21"/>
    <w:rsid w:val="00CB6D60"/>
    <w:rsid w:val="00CB6EC2"/>
    <w:rsid w:val="00CB79A1"/>
    <w:rsid w:val="00CC0530"/>
    <w:rsid w:val="00CC05B2"/>
    <w:rsid w:val="00CC060E"/>
    <w:rsid w:val="00CC2DDE"/>
    <w:rsid w:val="00CC3338"/>
    <w:rsid w:val="00CC3C89"/>
    <w:rsid w:val="00CC7510"/>
    <w:rsid w:val="00CC7D61"/>
    <w:rsid w:val="00CD149B"/>
    <w:rsid w:val="00CD214E"/>
    <w:rsid w:val="00CD5288"/>
    <w:rsid w:val="00CD67B5"/>
    <w:rsid w:val="00CD7450"/>
    <w:rsid w:val="00CE0212"/>
    <w:rsid w:val="00CE1014"/>
    <w:rsid w:val="00CE165F"/>
    <w:rsid w:val="00CE21CF"/>
    <w:rsid w:val="00CE2F5F"/>
    <w:rsid w:val="00CE5236"/>
    <w:rsid w:val="00CE5BFC"/>
    <w:rsid w:val="00CE5DCA"/>
    <w:rsid w:val="00CE6DF9"/>
    <w:rsid w:val="00CF04CA"/>
    <w:rsid w:val="00CF1CB7"/>
    <w:rsid w:val="00CF2169"/>
    <w:rsid w:val="00CF3F39"/>
    <w:rsid w:val="00CF5488"/>
    <w:rsid w:val="00CF6D15"/>
    <w:rsid w:val="00CF7040"/>
    <w:rsid w:val="00D0203A"/>
    <w:rsid w:val="00D021DB"/>
    <w:rsid w:val="00D03D9E"/>
    <w:rsid w:val="00D03EA1"/>
    <w:rsid w:val="00D04098"/>
    <w:rsid w:val="00D04BC7"/>
    <w:rsid w:val="00D071A8"/>
    <w:rsid w:val="00D10717"/>
    <w:rsid w:val="00D108D2"/>
    <w:rsid w:val="00D10FC9"/>
    <w:rsid w:val="00D13645"/>
    <w:rsid w:val="00D14C65"/>
    <w:rsid w:val="00D15085"/>
    <w:rsid w:val="00D15281"/>
    <w:rsid w:val="00D157A4"/>
    <w:rsid w:val="00D168FB"/>
    <w:rsid w:val="00D16D29"/>
    <w:rsid w:val="00D1792F"/>
    <w:rsid w:val="00D17D09"/>
    <w:rsid w:val="00D20916"/>
    <w:rsid w:val="00D20E42"/>
    <w:rsid w:val="00D2261D"/>
    <w:rsid w:val="00D236FC"/>
    <w:rsid w:val="00D242FD"/>
    <w:rsid w:val="00D24ACA"/>
    <w:rsid w:val="00D27F2C"/>
    <w:rsid w:val="00D30A6F"/>
    <w:rsid w:val="00D31368"/>
    <w:rsid w:val="00D32547"/>
    <w:rsid w:val="00D33278"/>
    <w:rsid w:val="00D347D2"/>
    <w:rsid w:val="00D358D2"/>
    <w:rsid w:val="00D36FE1"/>
    <w:rsid w:val="00D40CC6"/>
    <w:rsid w:val="00D42B95"/>
    <w:rsid w:val="00D43613"/>
    <w:rsid w:val="00D45BA3"/>
    <w:rsid w:val="00D462C7"/>
    <w:rsid w:val="00D47140"/>
    <w:rsid w:val="00D4786E"/>
    <w:rsid w:val="00D47FD0"/>
    <w:rsid w:val="00D517DA"/>
    <w:rsid w:val="00D520B2"/>
    <w:rsid w:val="00D53F73"/>
    <w:rsid w:val="00D546E7"/>
    <w:rsid w:val="00D5614B"/>
    <w:rsid w:val="00D568EE"/>
    <w:rsid w:val="00D56D0F"/>
    <w:rsid w:val="00D57204"/>
    <w:rsid w:val="00D57A51"/>
    <w:rsid w:val="00D61603"/>
    <w:rsid w:val="00D6204C"/>
    <w:rsid w:val="00D62AF6"/>
    <w:rsid w:val="00D6328E"/>
    <w:rsid w:val="00D65B0A"/>
    <w:rsid w:val="00D676D5"/>
    <w:rsid w:val="00D67A35"/>
    <w:rsid w:val="00D7105D"/>
    <w:rsid w:val="00D72373"/>
    <w:rsid w:val="00D72C77"/>
    <w:rsid w:val="00D73A84"/>
    <w:rsid w:val="00D73B30"/>
    <w:rsid w:val="00D7485D"/>
    <w:rsid w:val="00D7566D"/>
    <w:rsid w:val="00D768EB"/>
    <w:rsid w:val="00D7765B"/>
    <w:rsid w:val="00D77C73"/>
    <w:rsid w:val="00D8042C"/>
    <w:rsid w:val="00D80DD5"/>
    <w:rsid w:val="00D81A21"/>
    <w:rsid w:val="00D823C6"/>
    <w:rsid w:val="00D85ED3"/>
    <w:rsid w:val="00D87B97"/>
    <w:rsid w:val="00D90D8D"/>
    <w:rsid w:val="00D91982"/>
    <w:rsid w:val="00D9338E"/>
    <w:rsid w:val="00D95BCC"/>
    <w:rsid w:val="00D967BD"/>
    <w:rsid w:val="00D97A26"/>
    <w:rsid w:val="00D97E49"/>
    <w:rsid w:val="00DA1EE9"/>
    <w:rsid w:val="00DA268C"/>
    <w:rsid w:val="00DA293A"/>
    <w:rsid w:val="00DA2C5D"/>
    <w:rsid w:val="00DA347B"/>
    <w:rsid w:val="00DA4328"/>
    <w:rsid w:val="00DA4796"/>
    <w:rsid w:val="00DA61AD"/>
    <w:rsid w:val="00DB3C8F"/>
    <w:rsid w:val="00DB46CC"/>
    <w:rsid w:val="00DB4B28"/>
    <w:rsid w:val="00DB4EAB"/>
    <w:rsid w:val="00DB5DA9"/>
    <w:rsid w:val="00DB7417"/>
    <w:rsid w:val="00DC0C11"/>
    <w:rsid w:val="00DC328A"/>
    <w:rsid w:val="00DC4924"/>
    <w:rsid w:val="00DC556E"/>
    <w:rsid w:val="00DC6426"/>
    <w:rsid w:val="00DC674C"/>
    <w:rsid w:val="00DC7164"/>
    <w:rsid w:val="00DD0F97"/>
    <w:rsid w:val="00DD2360"/>
    <w:rsid w:val="00DD24D1"/>
    <w:rsid w:val="00DD45CD"/>
    <w:rsid w:val="00DD4A8E"/>
    <w:rsid w:val="00DD5178"/>
    <w:rsid w:val="00DE07EE"/>
    <w:rsid w:val="00DE0976"/>
    <w:rsid w:val="00DE3055"/>
    <w:rsid w:val="00DE3268"/>
    <w:rsid w:val="00DE5733"/>
    <w:rsid w:val="00DE70AE"/>
    <w:rsid w:val="00DF00E0"/>
    <w:rsid w:val="00DF0C5E"/>
    <w:rsid w:val="00DF153D"/>
    <w:rsid w:val="00DF1C2C"/>
    <w:rsid w:val="00DF2C13"/>
    <w:rsid w:val="00DF2CEF"/>
    <w:rsid w:val="00DF32E5"/>
    <w:rsid w:val="00DF4577"/>
    <w:rsid w:val="00DF7A07"/>
    <w:rsid w:val="00E00755"/>
    <w:rsid w:val="00E00EC4"/>
    <w:rsid w:val="00E03E1A"/>
    <w:rsid w:val="00E0427D"/>
    <w:rsid w:val="00E04FC0"/>
    <w:rsid w:val="00E05BD0"/>
    <w:rsid w:val="00E07861"/>
    <w:rsid w:val="00E10053"/>
    <w:rsid w:val="00E10472"/>
    <w:rsid w:val="00E11110"/>
    <w:rsid w:val="00E14498"/>
    <w:rsid w:val="00E15014"/>
    <w:rsid w:val="00E1785E"/>
    <w:rsid w:val="00E22F3F"/>
    <w:rsid w:val="00E23BAB"/>
    <w:rsid w:val="00E23E0B"/>
    <w:rsid w:val="00E23F00"/>
    <w:rsid w:val="00E27281"/>
    <w:rsid w:val="00E27B5F"/>
    <w:rsid w:val="00E27F6D"/>
    <w:rsid w:val="00E30032"/>
    <w:rsid w:val="00E3112C"/>
    <w:rsid w:val="00E3213E"/>
    <w:rsid w:val="00E3317B"/>
    <w:rsid w:val="00E3386F"/>
    <w:rsid w:val="00E3424D"/>
    <w:rsid w:val="00E40B49"/>
    <w:rsid w:val="00E44BCD"/>
    <w:rsid w:val="00E454BA"/>
    <w:rsid w:val="00E463A1"/>
    <w:rsid w:val="00E5038F"/>
    <w:rsid w:val="00E50F70"/>
    <w:rsid w:val="00E52382"/>
    <w:rsid w:val="00E52BFC"/>
    <w:rsid w:val="00E52EE1"/>
    <w:rsid w:val="00E62677"/>
    <w:rsid w:val="00E63F7F"/>
    <w:rsid w:val="00E63FE0"/>
    <w:rsid w:val="00E708D5"/>
    <w:rsid w:val="00E729C3"/>
    <w:rsid w:val="00E732C9"/>
    <w:rsid w:val="00E74C2F"/>
    <w:rsid w:val="00E76C3A"/>
    <w:rsid w:val="00E77101"/>
    <w:rsid w:val="00E77BCA"/>
    <w:rsid w:val="00E77EE7"/>
    <w:rsid w:val="00E81FB1"/>
    <w:rsid w:val="00E820A2"/>
    <w:rsid w:val="00E8230A"/>
    <w:rsid w:val="00E82950"/>
    <w:rsid w:val="00E82C0C"/>
    <w:rsid w:val="00E836B3"/>
    <w:rsid w:val="00E858A7"/>
    <w:rsid w:val="00E868F3"/>
    <w:rsid w:val="00E8716B"/>
    <w:rsid w:val="00E8787F"/>
    <w:rsid w:val="00E900AF"/>
    <w:rsid w:val="00E90D21"/>
    <w:rsid w:val="00E9176D"/>
    <w:rsid w:val="00E91C6C"/>
    <w:rsid w:val="00E92D8C"/>
    <w:rsid w:val="00E95359"/>
    <w:rsid w:val="00E966FD"/>
    <w:rsid w:val="00E96BF7"/>
    <w:rsid w:val="00EA05BA"/>
    <w:rsid w:val="00EA0A1C"/>
    <w:rsid w:val="00EA2DCF"/>
    <w:rsid w:val="00EA3EEC"/>
    <w:rsid w:val="00EA57B1"/>
    <w:rsid w:val="00EA5E6A"/>
    <w:rsid w:val="00EA6FE9"/>
    <w:rsid w:val="00EB0399"/>
    <w:rsid w:val="00EB1AD7"/>
    <w:rsid w:val="00EB2C64"/>
    <w:rsid w:val="00EB2EED"/>
    <w:rsid w:val="00EB2F2C"/>
    <w:rsid w:val="00EB36AD"/>
    <w:rsid w:val="00EB3C69"/>
    <w:rsid w:val="00EB3D5F"/>
    <w:rsid w:val="00EB3E5F"/>
    <w:rsid w:val="00EB531D"/>
    <w:rsid w:val="00EB5451"/>
    <w:rsid w:val="00EB5CBD"/>
    <w:rsid w:val="00EB62D7"/>
    <w:rsid w:val="00EB6C50"/>
    <w:rsid w:val="00EB6F2B"/>
    <w:rsid w:val="00EC126D"/>
    <w:rsid w:val="00EC4A5C"/>
    <w:rsid w:val="00EC5F71"/>
    <w:rsid w:val="00EC720E"/>
    <w:rsid w:val="00ED1237"/>
    <w:rsid w:val="00ED1277"/>
    <w:rsid w:val="00ED2F8C"/>
    <w:rsid w:val="00ED452D"/>
    <w:rsid w:val="00ED4B86"/>
    <w:rsid w:val="00ED525B"/>
    <w:rsid w:val="00EE0272"/>
    <w:rsid w:val="00EE3BCE"/>
    <w:rsid w:val="00EE53AB"/>
    <w:rsid w:val="00EE6358"/>
    <w:rsid w:val="00EE6EA2"/>
    <w:rsid w:val="00EE7B05"/>
    <w:rsid w:val="00EE7D8D"/>
    <w:rsid w:val="00EF0D43"/>
    <w:rsid w:val="00EF1FB7"/>
    <w:rsid w:val="00F00B3C"/>
    <w:rsid w:val="00F01005"/>
    <w:rsid w:val="00F0109D"/>
    <w:rsid w:val="00F01F41"/>
    <w:rsid w:val="00F039E2"/>
    <w:rsid w:val="00F052DC"/>
    <w:rsid w:val="00F05700"/>
    <w:rsid w:val="00F10CEF"/>
    <w:rsid w:val="00F110B1"/>
    <w:rsid w:val="00F120F4"/>
    <w:rsid w:val="00F123D1"/>
    <w:rsid w:val="00F1406D"/>
    <w:rsid w:val="00F14133"/>
    <w:rsid w:val="00F201D6"/>
    <w:rsid w:val="00F20CC6"/>
    <w:rsid w:val="00F20F0C"/>
    <w:rsid w:val="00F21173"/>
    <w:rsid w:val="00F21E02"/>
    <w:rsid w:val="00F21EDB"/>
    <w:rsid w:val="00F21FAB"/>
    <w:rsid w:val="00F23321"/>
    <w:rsid w:val="00F24239"/>
    <w:rsid w:val="00F24AFC"/>
    <w:rsid w:val="00F24D61"/>
    <w:rsid w:val="00F32F3A"/>
    <w:rsid w:val="00F331B0"/>
    <w:rsid w:val="00F345FE"/>
    <w:rsid w:val="00F34E21"/>
    <w:rsid w:val="00F35ABF"/>
    <w:rsid w:val="00F37DC9"/>
    <w:rsid w:val="00F40053"/>
    <w:rsid w:val="00F438E3"/>
    <w:rsid w:val="00F43D1E"/>
    <w:rsid w:val="00F464BF"/>
    <w:rsid w:val="00F46BA9"/>
    <w:rsid w:val="00F52243"/>
    <w:rsid w:val="00F528A9"/>
    <w:rsid w:val="00F52FD1"/>
    <w:rsid w:val="00F531A0"/>
    <w:rsid w:val="00F54329"/>
    <w:rsid w:val="00F545AC"/>
    <w:rsid w:val="00F54FF2"/>
    <w:rsid w:val="00F55212"/>
    <w:rsid w:val="00F55301"/>
    <w:rsid w:val="00F554B9"/>
    <w:rsid w:val="00F56999"/>
    <w:rsid w:val="00F573F1"/>
    <w:rsid w:val="00F602AA"/>
    <w:rsid w:val="00F60422"/>
    <w:rsid w:val="00F60644"/>
    <w:rsid w:val="00F60F91"/>
    <w:rsid w:val="00F615BD"/>
    <w:rsid w:val="00F65020"/>
    <w:rsid w:val="00F662FA"/>
    <w:rsid w:val="00F664D1"/>
    <w:rsid w:val="00F6767A"/>
    <w:rsid w:val="00F67E6A"/>
    <w:rsid w:val="00F71485"/>
    <w:rsid w:val="00F714C4"/>
    <w:rsid w:val="00F71F1F"/>
    <w:rsid w:val="00F72FB2"/>
    <w:rsid w:val="00F73328"/>
    <w:rsid w:val="00F73F74"/>
    <w:rsid w:val="00F7521F"/>
    <w:rsid w:val="00F75A88"/>
    <w:rsid w:val="00F7728A"/>
    <w:rsid w:val="00F80A00"/>
    <w:rsid w:val="00F811EE"/>
    <w:rsid w:val="00F848CC"/>
    <w:rsid w:val="00F854D8"/>
    <w:rsid w:val="00F860E1"/>
    <w:rsid w:val="00F860F7"/>
    <w:rsid w:val="00F8682A"/>
    <w:rsid w:val="00F8777E"/>
    <w:rsid w:val="00F91687"/>
    <w:rsid w:val="00F9181B"/>
    <w:rsid w:val="00F93181"/>
    <w:rsid w:val="00F934FC"/>
    <w:rsid w:val="00F9553E"/>
    <w:rsid w:val="00F97C75"/>
    <w:rsid w:val="00FA03BC"/>
    <w:rsid w:val="00FA2AD8"/>
    <w:rsid w:val="00FA2D2A"/>
    <w:rsid w:val="00FA2E41"/>
    <w:rsid w:val="00FA325B"/>
    <w:rsid w:val="00FA3413"/>
    <w:rsid w:val="00FA5F5A"/>
    <w:rsid w:val="00FA68D2"/>
    <w:rsid w:val="00FA7186"/>
    <w:rsid w:val="00FA7D6B"/>
    <w:rsid w:val="00FB115F"/>
    <w:rsid w:val="00FB19F5"/>
    <w:rsid w:val="00FB355A"/>
    <w:rsid w:val="00FB4A1C"/>
    <w:rsid w:val="00FB504D"/>
    <w:rsid w:val="00FB51DC"/>
    <w:rsid w:val="00FB5BF0"/>
    <w:rsid w:val="00FB5CD9"/>
    <w:rsid w:val="00FB66CC"/>
    <w:rsid w:val="00FB6924"/>
    <w:rsid w:val="00FB795F"/>
    <w:rsid w:val="00FC11E3"/>
    <w:rsid w:val="00FC1601"/>
    <w:rsid w:val="00FC1884"/>
    <w:rsid w:val="00FC2DE4"/>
    <w:rsid w:val="00FC3DEC"/>
    <w:rsid w:val="00FC6275"/>
    <w:rsid w:val="00FC7377"/>
    <w:rsid w:val="00FD0E2D"/>
    <w:rsid w:val="00FD0F4E"/>
    <w:rsid w:val="00FD12DB"/>
    <w:rsid w:val="00FD1A61"/>
    <w:rsid w:val="00FD3C84"/>
    <w:rsid w:val="00FD4088"/>
    <w:rsid w:val="00FD41A6"/>
    <w:rsid w:val="00FD57E2"/>
    <w:rsid w:val="00FD58B6"/>
    <w:rsid w:val="00FD5D61"/>
    <w:rsid w:val="00FD64E5"/>
    <w:rsid w:val="00FE03F5"/>
    <w:rsid w:val="00FE2E40"/>
    <w:rsid w:val="00FE493E"/>
    <w:rsid w:val="00FE5DF6"/>
    <w:rsid w:val="00FF07EE"/>
    <w:rsid w:val="00FF1673"/>
    <w:rsid w:val="00FF1D71"/>
    <w:rsid w:val="00FF2AE4"/>
    <w:rsid w:val="00FF3C7C"/>
    <w:rsid w:val="00FF5794"/>
    <w:rsid w:val="00FF69E1"/>
    <w:rsid w:val="00FF6B3D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3594D"/>
  <w15:docId w15:val="{AE278A13-9C2A-4D53-8A14-E27E9B8F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45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450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50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5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50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E1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47C2E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645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645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A6453"/>
    <w:rPr>
      <w:vertAlign w:val="superscript"/>
    </w:rPr>
  </w:style>
  <w:style w:type="character" w:customStyle="1" w:styleId="cf01">
    <w:name w:val="cf01"/>
    <w:basedOn w:val="Standardnpsmoodstavce"/>
    <w:rsid w:val="00983579"/>
    <w:rPr>
      <w:rFonts w:ascii="Segoe UI" w:hAnsi="Segoe UI" w:cs="Segoe UI" w:hint="default"/>
      <w:sz w:val="18"/>
      <w:szCs w:val="18"/>
    </w:rPr>
  </w:style>
  <w:style w:type="paragraph" w:customStyle="1" w:styleId="CBANadpisvTABULCE">
    <w:name w:val="CBA Nadpis v TABULCE"/>
    <w:basedOn w:val="Normln"/>
    <w:qFormat/>
    <w:rsid w:val="007341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73410F"/>
    <w:pPr>
      <w:spacing w:before="120" w:after="120"/>
      <w:jc w:val="left"/>
    </w:pPr>
    <w:rPr>
      <w:color w:val="13576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8650-8B43-417C-931A-06049C16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1932</Words>
  <Characters>11400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UGIS</Company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3</cp:revision>
  <cp:lastPrinted>2024-05-07T09:49:00Z</cp:lastPrinted>
  <dcterms:created xsi:type="dcterms:W3CDTF">2024-05-09T09:49:00Z</dcterms:created>
  <dcterms:modified xsi:type="dcterms:W3CDTF">2024-05-09T09:56:00Z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0254f4-34d0-49c5-b888-af4abf762ef7_Enabled">
    <vt:lpwstr>True</vt:lpwstr>
  </property>
  <property fmtid="{D5CDD505-2E9C-101B-9397-08002B2CF9AE}" pid="3" name="MSIP_Label_390254f4-34d0-49c5-b888-af4abf762ef7_SiteId">
    <vt:lpwstr>2cc49ce9-66a1-41ac-a96b-bdc54247696a</vt:lpwstr>
  </property>
  <property fmtid="{D5CDD505-2E9C-101B-9397-08002B2CF9AE}" pid="4" name="MSIP_Label_390254f4-34d0-49c5-b888-af4abf762ef7_Owner">
    <vt:lpwstr>Pavel.Sobisek@unicreditgroup.cz</vt:lpwstr>
  </property>
  <property fmtid="{D5CDD505-2E9C-101B-9397-08002B2CF9AE}" pid="5" name="MSIP_Label_390254f4-34d0-49c5-b888-af4abf762ef7_SetDate">
    <vt:lpwstr>2020-01-15T16:11:29.8787231Z</vt:lpwstr>
  </property>
  <property fmtid="{D5CDD505-2E9C-101B-9397-08002B2CF9AE}" pid="6" name="MSIP_Label_390254f4-34d0-49c5-b888-af4abf762ef7_Name">
    <vt:lpwstr>Internal Use Only</vt:lpwstr>
  </property>
  <property fmtid="{D5CDD505-2E9C-101B-9397-08002B2CF9AE}" pid="7" name="MSIP_Label_390254f4-34d0-49c5-b888-af4abf762ef7_Application">
    <vt:lpwstr>Microsoft Azure Information Protection</vt:lpwstr>
  </property>
  <property fmtid="{D5CDD505-2E9C-101B-9397-08002B2CF9AE}" pid="8" name="MSIP_Label_390254f4-34d0-49c5-b888-af4abf762ef7_ActionId">
    <vt:lpwstr>43f3763f-d3c6-435c-ae50-a4a40081b5fb</vt:lpwstr>
  </property>
  <property fmtid="{D5CDD505-2E9C-101B-9397-08002B2CF9AE}" pid="9" name="MSIP_Label_390254f4-34d0-49c5-b888-af4abf762ef7_Extended_MSFT_Method">
    <vt:lpwstr>Automatic</vt:lpwstr>
  </property>
  <property fmtid="{D5CDD505-2E9C-101B-9397-08002B2CF9AE}" pid="10" name="MSIP_Label_faa92781-1fcb-4da3-a1a2-e534c28a25f3_Enabled">
    <vt:lpwstr>True</vt:lpwstr>
  </property>
  <property fmtid="{D5CDD505-2E9C-101B-9397-08002B2CF9AE}" pid="11" name="MSIP_Label_faa92781-1fcb-4da3-a1a2-e534c28a25f3_SiteId">
    <vt:lpwstr>2cc49ce9-66a1-41ac-a96b-bdc54247696a</vt:lpwstr>
  </property>
  <property fmtid="{D5CDD505-2E9C-101B-9397-08002B2CF9AE}" pid="12" name="MSIP_Label_faa92781-1fcb-4da3-a1a2-e534c28a25f3_Owner">
    <vt:lpwstr>Pavel.Sobisek@unicreditgroup.cz</vt:lpwstr>
  </property>
  <property fmtid="{D5CDD505-2E9C-101B-9397-08002B2CF9AE}" pid="13" name="MSIP_Label_faa92781-1fcb-4da3-a1a2-e534c28a25f3_SetDate">
    <vt:lpwstr>2020-01-15T16:11:29.8787231Z</vt:lpwstr>
  </property>
  <property fmtid="{D5CDD505-2E9C-101B-9397-08002B2CF9AE}" pid="14" name="MSIP_Label_faa92781-1fcb-4da3-a1a2-e534c28a25f3_Name">
    <vt:lpwstr>in UniCredit Group - no visual markings</vt:lpwstr>
  </property>
  <property fmtid="{D5CDD505-2E9C-101B-9397-08002B2CF9AE}" pid="15" name="MSIP_Label_faa92781-1fcb-4da3-a1a2-e534c28a25f3_Application">
    <vt:lpwstr>Microsoft Azure Information Protection</vt:lpwstr>
  </property>
  <property fmtid="{D5CDD505-2E9C-101B-9397-08002B2CF9AE}" pid="16" name="MSIP_Label_faa92781-1fcb-4da3-a1a2-e534c28a25f3_ActionId">
    <vt:lpwstr>43f3763f-d3c6-435c-ae50-a4a40081b5fb</vt:lpwstr>
  </property>
  <property fmtid="{D5CDD505-2E9C-101B-9397-08002B2CF9AE}" pid="17" name="MSIP_Label_faa92781-1fcb-4da3-a1a2-e534c28a25f3_Parent">
    <vt:lpwstr>390254f4-34d0-49c5-b888-af4abf762ef7</vt:lpwstr>
  </property>
  <property fmtid="{D5CDD505-2E9C-101B-9397-08002B2CF9AE}" pid="18" name="MSIP_Label_faa92781-1fcb-4da3-a1a2-e534c28a25f3_Extended_MSFT_Method">
    <vt:lpwstr>Automatic</vt:lpwstr>
  </property>
  <property fmtid="{D5CDD505-2E9C-101B-9397-08002B2CF9AE}" pid="19" name="MSIP_Label_2b3a104e-2916-42dc-a2f6-6210338509ed_Enabled">
    <vt:lpwstr>True</vt:lpwstr>
  </property>
  <property fmtid="{D5CDD505-2E9C-101B-9397-08002B2CF9AE}" pid="20" name="MSIP_Label_2b3a104e-2916-42dc-a2f6-6210338509ed_SiteId">
    <vt:lpwstr>e70aafb3-2e89-46a5-ba50-66803e8a4411</vt:lpwstr>
  </property>
  <property fmtid="{D5CDD505-2E9C-101B-9397-08002B2CF9AE}" pid="21" name="MSIP_Label_2b3a104e-2916-42dc-a2f6-6210338509ed_Owner">
    <vt:lpwstr>cen87316@csin.cz</vt:lpwstr>
  </property>
  <property fmtid="{D5CDD505-2E9C-101B-9397-08002B2CF9AE}" pid="22" name="MSIP_Label_2b3a104e-2916-42dc-a2f6-6210338509ed_SetDate">
    <vt:lpwstr>2020-01-17T08:10:02.3455520Z</vt:lpwstr>
  </property>
  <property fmtid="{D5CDD505-2E9C-101B-9397-08002B2CF9AE}" pid="23" name="MSIP_Label_2b3a104e-2916-42dc-a2f6-6210338509ed_Name">
    <vt:lpwstr>CS Internal</vt:lpwstr>
  </property>
  <property fmtid="{D5CDD505-2E9C-101B-9397-08002B2CF9AE}" pid="24" name="MSIP_Label_2b3a104e-2916-42dc-a2f6-6210338509ed_Application">
    <vt:lpwstr>Microsoft Azure Information Protection</vt:lpwstr>
  </property>
  <property fmtid="{D5CDD505-2E9C-101B-9397-08002B2CF9AE}" pid="25" name="MSIP_Label_2b3a104e-2916-42dc-a2f6-6210338509ed_ActionId">
    <vt:lpwstr>60b9ebe4-46ae-459c-bf59-6a05f328379e</vt:lpwstr>
  </property>
  <property fmtid="{D5CDD505-2E9C-101B-9397-08002B2CF9AE}" pid="26" name="MSIP_Label_2b3a104e-2916-42dc-a2f6-6210338509ed_Extended_MSFT_Method">
    <vt:lpwstr>Automatic</vt:lpwstr>
  </property>
  <property fmtid="{D5CDD505-2E9C-101B-9397-08002B2CF9AE}" pid="27" name="MSIP_Label_2a6524ed-fb1a-49fd-bafe-15c5e5ffd047_Enabled">
    <vt:lpwstr>true</vt:lpwstr>
  </property>
  <property fmtid="{D5CDD505-2E9C-101B-9397-08002B2CF9AE}" pid="28" name="MSIP_Label_2a6524ed-fb1a-49fd-bafe-15c5e5ffd047_SetDate">
    <vt:lpwstr>2021-05-10T05:54:55Z</vt:lpwstr>
  </property>
  <property fmtid="{D5CDD505-2E9C-101B-9397-08002B2CF9AE}" pid="29" name="MSIP_Label_2a6524ed-fb1a-49fd-bafe-15c5e5ffd047_Method">
    <vt:lpwstr>Standard</vt:lpwstr>
  </property>
  <property fmtid="{D5CDD505-2E9C-101B-9397-08002B2CF9AE}" pid="30" name="MSIP_Label_2a6524ed-fb1a-49fd-bafe-15c5e5ffd047_Name">
    <vt:lpwstr>Internal</vt:lpwstr>
  </property>
  <property fmtid="{D5CDD505-2E9C-101B-9397-08002B2CF9AE}" pid="31" name="MSIP_Label_2a6524ed-fb1a-49fd-bafe-15c5e5ffd047_SiteId">
    <vt:lpwstr>9b511fda-f0b1-43a5-b06e-1e720f64520a</vt:lpwstr>
  </property>
  <property fmtid="{D5CDD505-2E9C-101B-9397-08002B2CF9AE}" pid="32" name="MSIP_Label_2a6524ed-fb1a-49fd-bafe-15c5e5ffd047_ActionId">
    <vt:lpwstr>6e16e441-bca8-45fa-8e42-4b14b422a2ce</vt:lpwstr>
  </property>
  <property fmtid="{D5CDD505-2E9C-101B-9397-08002B2CF9AE}" pid="33" name="MSIP_Label_2a6524ed-fb1a-49fd-bafe-15c5e5ffd047_ContentBits">
    <vt:lpwstr>0</vt:lpwstr>
  </property>
  <property fmtid="{D5CDD505-2E9C-101B-9397-08002B2CF9AE}" pid="34" name="MSIP_Label_63f4bb52-bd44-4e71-98c6-b1e43e6be5b6_Enabled">
    <vt:lpwstr>true</vt:lpwstr>
  </property>
  <property fmtid="{D5CDD505-2E9C-101B-9397-08002B2CF9AE}" pid="35" name="MSIP_Label_63f4bb52-bd44-4e71-98c6-b1e43e6be5b6_SetDate">
    <vt:lpwstr>2022-08-10T09:54:41Z</vt:lpwstr>
  </property>
  <property fmtid="{D5CDD505-2E9C-101B-9397-08002B2CF9AE}" pid="36" name="MSIP_Label_63f4bb52-bd44-4e71-98c6-b1e43e6be5b6_Method">
    <vt:lpwstr>Standard</vt:lpwstr>
  </property>
  <property fmtid="{D5CDD505-2E9C-101B-9397-08002B2CF9AE}" pid="37" name="MSIP_Label_63f4bb52-bd44-4e71-98c6-b1e43e6be5b6_Name">
    <vt:lpwstr>Chráněné</vt:lpwstr>
  </property>
  <property fmtid="{D5CDD505-2E9C-101B-9397-08002B2CF9AE}" pid="38" name="MSIP_Label_63f4bb52-bd44-4e71-98c6-b1e43e6be5b6_SiteId">
    <vt:lpwstr>9cca307d-eed7-47e0-a567-a3b37ba0308b</vt:lpwstr>
  </property>
  <property fmtid="{D5CDD505-2E9C-101B-9397-08002B2CF9AE}" pid="39" name="MSIP_Label_63f4bb52-bd44-4e71-98c6-b1e43e6be5b6_ActionId">
    <vt:lpwstr>ca7f3bf3-cf89-4cf9-9bd8-fcbcfa83b433</vt:lpwstr>
  </property>
  <property fmtid="{D5CDD505-2E9C-101B-9397-08002B2CF9AE}" pid="40" name="MSIP_Label_63f4bb52-bd44-4e71-98c6-b1e43e6be5b6_ContentBits">
    <vt:lpwstr>0</vt:lpwstr>
  </property>
  <property fmtid="{D5CDD505-2E9C-101B-9397-08002B2CF9AE}" pid="41" name="MSIP_Label_95047c84-0a67-483c-b79b-e48654b86430_Enabled">
    <vt:lpwstr>true</vt:lpwstr>
  </property>
  <property fmtid="{D5CDD505-2E9C-101B-9397-08002B2CF9AE}" pid="42" name="MSIP_Label_95047c84-0a67-483c-b79b-e48654b86430_SetDate">
    <vt:lpwstr>2022-11-09T11:52:35Z</vt:lpwstr>
  </property>
  <property fmtid="{D5CDD505-2E9C-101B-9397-08002B2CF9AE}" pid="43" name="MSIP_Label_95047c84-0a67-483c-b79b-e48654b86430_Method">
    <vt:lpwstr>Standard</vt:lpwstr>
  </property>
  <property fmtid="{D5CDD505-2E9C-101B-9397-08002B2CF9AE}" pid="44" name="MSIP_Label_95047c84-0a67-483c-b79b-e48654b86430_Name">
    <vt:lpwstr>defa4170-0d19-0005-0004-bc88714345d2</vt:lpwstr>
  </property>
  <property fmtid="{D5CDD505-2E9C-101B-9397-08002B2CF9AE}" pid="45" name="MSIP_Label_95047c84-0a67-483c-b79b-e48654b86430_SiteId">
    <vt:lpwstr>3f20558b-6d29-4505-a3e9-96d02ae92fa1</vt:lpwstr>
  </property>
  <property fmtid="{D5CDD505-2E9C-101B-9397-08002B2CF9AE}" pid="46" name="MSIP_Label_95047c84-0a67-483c-b79b-e48654b86430_ActionId">
    <vt:lpwstr>09b031df-8fbf-4de6-9fcd-b47722a3820f</vt:lpwstr>
  </property>
  <property fmtid="{D5CDD505-2E9C-101B-9397-08002B2CF9AE}" pid="47" name="MSIP_Label_95047c84-0a67-483c-b79b-e48654b86430_ContentBits">
    <vt:lpwstr>0</vt:lpwstr>
  </property>
  <property fmtid="{D5CDD505-2E9C-101B-9397-08002B2CF9AE}" pid="48" name="MSIP_Label_38939b85-7e40-4a1d-91e1-0e84c3b219d7_Enabled">
    <vt:lpwstr>true</vt:lpwstr>
  </property>
  <property fmtid="{D5CDD505-2E9C-101B-9397-08002B2CF9AE}" pid="49" name="MSIP_Label_38939b85-7e40-4a1d-91e1-0e84c3b219d7_SetDate">
    <vt:lpwstr>2023-08-08T13:09:17Z</vt:lpwstr>
  </property>
  <property fmtid="{D5CDD505-2E9C-101B-9397-08002B2CF9AE}" pid="50" name="MSIP_Label_38939b85-7e40-4a1d-91e1-0e84c3b219d7_Method">
    <vt:lpwstr>Standard</vt:lpwstr>
  </property>
  <property fmtid="{D5CDD505-2E9C-101B-9397-08002B2CF9AE}" pid="51" name="MSIP_Label_38939b85-7e40-4a1d-91e1-0e84c3b219d7_Name">
    <vt:lpwstr>38939b85-7e40-4a1d-91e1-0e84c3b219d7</vt:lpwstr>
  </property>
  <property fmtid="{D5CDD505-2E9C-101B-9397-08002B2CF9AE}" pid="52" name="MSIP_Label_38939b85-7e40-4a1d-91e1-0e84c3b219d7_SiteId">
    <vt:lpwstr>3ad0376a-54d3-49a6-9e20-52de0a92fc89</vt:lpwstr>
  </property>
  <property fmtid="{D5CDD505-2E9C-101B-9397-08002B2CF9AE}" pid="53" name="MSIP_Label_38939b85-7e40-4a1d-91e1-0e84c3b219d7_ActionId">
    <vt:lpwstr>a9bfb157-61e9-41a9-8f12-7ab49d163955</vt:lpwstr>
  </property>
  <property fmtid="{D5CDD505-2E9C-101B-9397-08002B2CF9AE}" pid="54" name="MSIP_Label_38939b85-7e40-4a1d-91e1-0e84c3b219d7_ContentBits">
    <vt:lpwstr>0</vt:lpwstr>
  </property>
  <property fmtid="{D5CDD505-2E9C-101B-9397-08002B2CF9AE}" pid="55" name="MSIP_Label_076d9757-80ae-4c87-b4d7-9ffa7a0710d0_Enabled">
    <vt:lpwstr>true</vt:lpwstr>
  </property>
  <property fmtid="{D5CDD505-2E9C-101B-9397-08002B2CF9AE}" pid="56" name="MSIP_Label_076d9757-80ae-4c87-b4d7-9ffa7a0710d0_SetDate">
    <vt:lpwstr>2023-11-08T08:22:38Z</vt:lpwstr>
  </property>
  <property fmtid="{D5CDD505-2E9C-101B-9397-08002B2CF9AE}" pid="57" name="MSIP_Label_076d9757-80ae-4c87-b4d7-9ffa7a0710d0_Method">
    <vt:lpwstr>Standard</vt:lpwstr>
  </property>
  <property fmtid="{D5CDD505-2E9C-101B-9397-08002B2CF9AE}" pid="58" name="MSIP_Label_076d9757-80ae-4c87-b4d7-9ffa7a0710d0_Name">
    <vt:lpwstr>C1 - Internal</vt:lpwstr>
  </property>
  <property fmtid="{D5CDD505-2E9C-101B-9397-08002B2CF9AE}" pid="59" name="MSIP_Label_076d9757-80ae-4c87-b4d7-9ffa7a0710d0_SiteId">
    <vt:lpwstr>c79e7c80-cff5-4503-b468-3702cea89272</vt:lpwstr>
  </property>
  <property fmtid="{D5CDD505-2E9C-101B-9397-08002B2CF9AE}" pid="60" name="MSIP_Label_076d9757-80ae-4c87-b4d7-9ffa7a0710d0_ActionId">
    <vt:lpwstr>e6da5af1-39f2-4f2b-b59b-984e27099740</vt:lpwstr>
  </property>
  <property fmtid="{D5CDD505-2E9C-101B-9397-08002B2CF9AE}" pid="61" name="MSIP_Label_076d9757-80ae-4c87-b4d7-9ffa7a0710d0_ContentBits">
    <vt:lpwstr>0</vt:lpwstr>
  </property>
  <property fmtid="{D5CDD505-2E9C-101B-9397-08002B2CF9AE}" pid="62" name="Kod_Duvernosti">
    <vt:lpwstr>KB_C1_INTERNAL_992521</vt:lpwstr>
  </property>
</Properties>
</file>